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19CCEE1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F4F4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36DB1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4A9B3181" wp14:editId="3EC70166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F6F14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04F4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D0F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FD3C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6E652DB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0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F73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55A4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722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4FE65585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6BCE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AC49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161A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DC6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0BB443C3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B8D1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FA2D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586F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6FB14E1F" w14:textId="1CCBFD58" w:rsidR="008B08CD" w:rsidRPr="000F7081" w:rsidRDefault="008B08CD" w:rsidP="008B08CD">
      <w:pPr>
        <w:rPr>
          <w:rFonts w:cs="Arial"/>
          <w:b/>
          <w:sz w:val="22"/>
          <w:szCs w:val="22"/>
        </w:rPr>
      </w:pPr>
      <w:r w:rsidRPr="000F7081">
        <w:rPr>
          <w:rFonts w:cs="Arial"/>
          <w:b/>
          <w:sz w:val="22"/>
          <w:szCs w:val="22"/>
        </w:rPr>
        <w:t>Date:</w:t>
      </w:r>
      <w:r w:rsidRPr="000F7081">
        <w:rPr>
          <w:rFonts w:cs="Arial"/>
          <w:b/>
          <w:sz w:val="22"/>
          <w:szCs w:val="22"/>
        </w:rPr>
        <w:tab/>
      </w:r>
      <w:r w:rsidR="000F7081" w:rsidRPr="000F7081">
        <w:rPr>
          <w:rFonts w:cs="Arial"/>
          <w:b/>
          <w:sz w:val="22"/>
          <w:szCs w:val="22"/>
        </w:rPr>
        <w:t xml:space="preserve">10 March </w:t>
      </w:r>
      <w:r w:rsidRPr="000F7081">
        <w:rPr>
          <w:rFonts w:cs="Arial"/>
          <w:b/>
          <w:sz w:val="22"/>
          <w:szCs w:val="22"/>
        </w:rPr>
        <w:t>2022 @ 10:00 (Thursday)</w:t>
      </w:r>
    </w:p>
    <w:p w14:paraId="000EF446" w14:textId="77777777" w:rsidR="008B08CD" w:rsidRPr="000F7081" w:rsidRDefault="008B08CD" w:rsidP="008B08CD">
      <w:pPr>
        <w:rPr>
          <w:rFonts w:cs="Arial"/>
          <w:b/>
          <w:sz w:val="22"/>
          <w:szCs w:val="22"/>
        </w:rPr>
      </w:pPr>
      <w:r w:rsidRPr="000F7081">
        <w:rPr>
          <w:rFonts w:cs="Arial"/>
          <w:b/>
          <w:sz w:val="22"/>
          <w:szCs w:val="22"/>
        </w:rPr>
        <w:t>Time:</w:t>
      </w:r>
      <w:r w:rsidRPr="000F7081">
        <w:rPr>
          <w:rFonts w:cs="Arial"/>
          <w:b/>
          <w:sz w:val="22"/>
          <w:szCs w:val="22"/>
        </w:rPr>
        <w:tab/>
        <w:t>10:00</w:t>
      </w:r>
    </w:p>
    <w:p w14:paraId="58BDE264" w14:textId="77777777" w:rsidR="008B08CD" w:rsidRPr="000F7081" w:rsidRDefault="008B08CD" w:rsidP="008B08CD">
      <w:pPr>
        <w:pStyle w:val="Header"/>
        <w:tabs>
          <w:tab w:val="left" w:pos="0"/>
          <w:tab w:val="left" w:pos="1134"/>
        </w:tabs>
        <w:jc w:val="both"/>
        <w:rPr>
          <w:rFonts w:cs="Arial"/>
          <w:b/>
          <w:szCs w:val="22"/>
        </w:rPr>
      </w:pPr>
      <w:r w:rsidRPr="000F7081">
        <w:rPr>
          <w:rFonts w:cs="Arial"/>
          <w:b/>
          <w:szCs w:val="22"/>
        </w:rPr>
        <w:t>Venue: via Microsoft Teams</w:t>
      </w:r>
    </w:p>
    <w:p w14:paraId="77ED8E7B" w14:textId="77777777" w:rsidR="00253377" w:rsidRPr="000F7081" w:rsidRDefault="00253377" w:rsidP="00253377">
      <w:pPr>
        <w:rPr>
          <w:rFonts w:cs="Arial"/>
          <w:b/>
          <w:sz w:val="22"/>
          <w:szCs w:val="22"/>
        </w:rPr>
      </w:pPr>
    </w:p>
    <w:p w14:paraId="6F7FED6E" w14:textId="77777777" w:rsidR="00253377" w:rsidRPr="000F7081" w:rsidRDefault="00253377" w:rsidP="00253377">
      <w:pPr>
        <w:spacing w:line="240" w:lineRule="exact"/>
        <w:ind w:left="100"/>
        <w:jc w:val="center"/>
        <w:rPr>
          <w:rFonts w:cs="Arial"/>
          <w:sz w:val="22"/>
          <w:szCs w:val="22"/>
        </w:rPr>
      </w:pPr>
      <w:r w:rsidRPr="000F7081">
        <w:rPr>
          <w:rFonts w:cs="Arial"/>
          <w:sz w:val="22"/>
          <w:szCs w:val="22"/>
        </w:rPr>
        <w:t xml:space="preserve">   </w:t>
      </w:r>
    </w:p>
    <w:p w14:paraId="0CE8E719" w14:textId="55D3EDDB" w:rsidR="000F7081" w:rsidRPr="000F7081" w:rsidRDefault="000F7081" w:rsidP="000F7081">
      <w:pPr>
        <w:jc w:val="center"/>
        <w:rPr>
          <w:rFonts w:cs="Arial"/>
          <w:sz w:val="22"/>
          <w:szCs w:val="22"/>
        </w:rPr>
      </w:pPr>
      <w:r w:rsidRPr="000F7081">
        <w:rPr>
          <w:rFonts w:cs="Arial"/>
          <w:b/>
          <w:bCs/>
          <w:sz w:val="22"/>
          <w:szCs w:val="22"/>
        </w:rPr>
        <w:t xml:space="preserve">AIR QUALITY MONITORING FOR 5 YEARS </w:t>
      </w:r>
      <w:r w:rsidRPr="000F7081">
        <w:rPr>
          <w:rFonts w:cs="Arial"/>
          <w:b/>
          <w:bCs/>
          <w:i/>
          <w:sz w:val="22"/>
          <w:szCs w:val="22"/>
        </w:rPr>
        <w:t xml:space="preserve">AT GOURIKWA POWER </w:t>
      </w:r>
      <w:r w:rsidRPr="000F7081">
        <w:rPr>
          <w:rFonts w:cs="Arial"/>
          <w:b/>
          <w:bCs/>
          <w:i/>
          <w:sz w:val="22"/>
          <w:szCs w:val="22"/>
        </w:rPr>
        <w:t>STATION</w:t>
      </w:r>
      <w:r w:rsidRPr="000F7081">
        <w:rPr>
          <w:rFonts w:cs="Arial"/>
          <w:sz w:val="22"/>
          <w:szCs w:val="22"/>
        </w:rPr>
        <w:t xml:space="preserve"> - </w:t>
      </w:r>
      <w:r w:rsidRPr="000F7081">
        <w:rPr>
          <w:rFonts w:cs="Arial"/>
          <w:b/>
          <w:sz w:val="22"/>
          <w:szCs w:val="22"/>
          <w:lang w:val="en-US"/>
        </w:rPr>
        <w:t>WCPK1021LN</w:t>
      </w:r>
    </w:p>
    <w:p w14:paraId="4FA98609" w14:textId="77777777" w:rsidR="000F7081" w:rsidRDefault="000F7081" w:rsidP="00220B2B">
      <w:pPr>
        <w:rPr>
          <w:rFonts w:cs="Arial"/>
          <w:sz w:val="22"/>
          <w:szCs w:val="22"/>
        </w:rPr>
      </w:pPr>
    </w:p>
    <w:p w14:paraId="37E80B73" w14:textId="77777777" w:rsidR="000F7081" w:rsidRDefault="000F7081" w:rsidP="00220B2B">
      <w:pPr>
        <w:rPr>
          <w:rFonts w:cs="Arial"/>
          <w:sz w:val="22"/>
          <w:szCs w:val="22"/>
        </w:rPr>
      </w:pPr>
    </w:p>
    <w:p w14:paraId="06D95039" w14:textId="3587DAF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59E758D2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1B476062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1C495F41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45D7F750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0937827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3194F73B" w14:textId="6C41C1D8" w:rsidR="00194A9C" w:rsidRPr="008B08CD" w:rsidRDefault="00194A9C" w:rsidP="008D3415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8B08CD">
        <w:rPr>
          <w:rFonts w:cs="Arial"/>
          <w:sz w:val="22"/>
          <w:szCs w:val="22"/>
          <w:lang w:val="en-US"/>
        </w:rPr>
        <w:t xml:space="preserve">Any other </w:t>
      </w:r>
      <w:r w:rsidR="008B08CD" w:rsidRPr="008B08CD">
        <w:rPr>
          <w:rFonts w:cs="Arial"/>
          <w:sz w:val="22"/>
          <w:szCs w:val="22"/>
          <w:lang w:val="en-US"/>
        </w:rPr>
        <w:t>Technical (</w:t>
      </w:r>
      <w:r w:rsidR="008B08CD" w:rsidRPr="008B08CD">
        <w:rPr>
          <w:rFonts w:cs="Arial"/>
          <w:sz w:val="22"/>
          <w:szCs w:val="22"/>
        </w:rPr>
        <w:t>Technical criterion and weighting to be discussed)</w:t>
      </w:r>
      <w:r w:rsidR="008B08CD">
        <w:rPr>
          <w:rFonts w:cs="Arial"/>
          <w:sz w:val="22"/>
          <w:szCs w:val="22"/>
        </w:rPr>
        <w:t xml:space="preserve"> </w:t>
      </w:r>
      <w:r w:rsidR="0060044A" w:rsidRPr="008B08CD">
        <w:rPr>
          <w:rFonts w:cs="Arial"/>
          <w:sz w:val="22"/>
          <w:szCs w:val="22"/>
          <w:lang w:val="en-US"/>
        </w:rPr>
        <w:t>and</w:t>
      </w:r>
      <w:r w:rsidR="0058578F" w:rsidRPr="008B08CD">
        <w:rPr>
          <w:rFonts w:cs="Arial"/>
          <w:sz w:val="22"/>
          <w:szCs w:val="22"/>
          <w:lang w:val="en-US"/>
        </w:rPr>
        <w:t xml:space="preserve"> SHE</w:t>
      </w:r>
      <w:r w:rsidR="0060044A" w:rsidRPr="008B08CD">
        <w:rPr>
          <w:rFonts w:cs="Arial"/>
          <w:sz w:val="22"/>
          <w:szCs w:val="22"/>
          <w:lang w:val="en-US"/>
        </w:rPr>
        <w:t xml:space="preserve"> (Safety Health Environment</w:t>
      </w:r>
      <w:r w:rsidR="0058578F" w:rsidRPr="008B08CD">
        <w:rPr>
          <w:rFonts w:cs="Arial"/>
          <w:sz w:val="22"/>
          <w:szCs w:val="22"/>
          <w:lang w:val="en-US"/>
        </w:rPr>
        <w:t xml:space="preserve">) </w:t>
      </w:r>
      <w:r w:rsidR="000F7081">
        <w:rPr>
          <w:rFonts w:cs="Arial"/>
          <w:sz w:val="22"/>
          <w:szCs w:val="22"/>
          <w:lang w:val="en-US"/>
        </w:rPr>
        <w:t>and Quality returnables</w:t>
      </w:r>
      <w:r w:rsidRPr="008B08CD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8B08CD">
        <w:rPr>
          <w:rFonts w:cs="Arial"/>
          <w:sz w:val="22"/>
          <w:szCs w:val="22"/>
          <w:lang w:val="en-US"/>
        </w:rPr>
        <w:t>to be discussed</w:t>
      </w:r>
      <w:r w:rsidRPr="008B08CD">
        <w:rPr>
          <w:rFonts w:cs="Arial"/>
          <w:sz w:val="22"/>
          <w:szCs w:val="22"/>
          <w:lang w:val="en-US"/>
        </w:rPr>
        <w:t xml:space="preserve">. </w:t>
      </w:r>
    </w:p>
    <w:p w14:paraId="3ADD70C5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5C3C0357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05590F47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44ABD522" w14:textId="7E53ABB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  <w:r w:rsidR="000F7081">
        <w:rPr>
          <w:rFonts w:cs="Arial"/>
          <w:sz w:val="22"/>
          <w:szCs w:val="22"/>
        </w:rPr>
        <w:t xml:space="preserve"> </w:t>
      </w:r>
      <w:hyperlink r:id="rId7" w:history="1">
        <w:r w:rsidR="000F7081" w:rsidRPr="008B27C5">
          <w:rPr>
            <w:rStyle w:val="Hyperlink"/>
            <w:rFonts w:cs="Arial"/>
            <w:sz w:val="22"/>
            <w:szCs w:val="22"/>
          </w:rPr>
          <w:t>hendrial@eskom.co.za</w:t>
        </w:r>
      </w:hyperlink>
      <w:r w:rsidR="000F7081">
        <w:rPr>
          <w:rFonts w:cs="Arial"/>
          <w:sz w:val="22"/>
          <w:szCs w:val="22"/>
        </w:rPr>
        <w:t xml:space="preserve"> </w:t>
      </w:r>
    </w:p>
    <w:p w14:paraId="0F1C57FD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4D684832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32D6E1CA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78A0C464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F7081"/>
    <w:rsid w:val="001207EA"/>
    <w:rsid w:val="00194A9C"/>
    <w:rsid w:val="00220B2B"/>
    <w:rsid w:val="00253377"/>
    <w:rsid w:val="00257E20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7B6E6C"/>
    <w:rsid w:val="00830236"/>
    <w:rsid w:val="00872B40"/>
    <w:rsid w:val="008A6A11"/>
    <w:rsid w:val="008B08CD"/>
    <w:rsid w:val="009352AA"/>
    <w:rsid w:val="009979F7"/>
    <w:rsid w:val="00AF16EC"/>
    <w:rsid w:val="00AF501D"/>
    <w:rsid w:val="00B5447E"/>
    <w:rsid w:val="00BC1646"/>
    <w:rsid w:val="00C00781"/>
    <w:rsid w:val="00C37D05"/>
    <w:rsid w:val="00C85ECF"/>
    <w:rsid w:val="00C96C6C"/>
    <w:rsid w:val="00D05F51"/>
    <w:rsid w:val="00D56498"/>
    <w:rsid w:val="00D66900"/>
    <w:rsid w:val="00D8727E"/>
    <w:rsid w:val="00E0029D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80E5"/>
  <w15:docId w15:val="{7BF4A7C6-B3F3-44BC-AE05-8914742D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7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ndrial@eskom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2022-02-22T09:11:00Z</dcterms:created>
  <dcterms:modified xsi:type="dcterms:W3CDTF">2022-02-22T09:11:00Z</dcterms:modified>
</cp:coreProperties>
</file>