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9B" w:rsidRPr="00CA6548" w:rsidRDefault="00CA6548" w:rsidP="00CA1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  <w:r w:rsidRPr="00CA6548">
        <w:rPr>
          <w:rFonts w:ascii="Arial" w:hAnsi="Arial" w:cs="Arial"/>
          <w:b/>
          <w:color w:val="000000"/>
          <w:sz w:val="20"/>
          <w:szCs w:val="20"/>
        </w:rPr>
        <w:t xml:space="preserve">ANNEXURE A </w:t>
      </w:r>
    </w:p>
    <w:p w:rsidR="00CA1F9B" w:rsidRPr="00CA6548" w:rsidRDefault="00CA1F9B" w:rsidP="00CA1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A1F9B" w:rsidRPr="00CA6548" w:rsidRDefault="00CA1F9B" w:rsidP="00CA1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A1F9B" w:rsidRPr="00CA6548" w:rsidRDefault="00CA1F9B" w:rsidP="00CA1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6548">
        <w:rPr>
          <w:rFonts w:ascii="Arial" w:hAnsi="Arial" w:cs="Arial"/>
          <w:color w:val="000000"/>
          <w:sz w:val="20"/>
          <w:szCs w:val="20"/>
        </w:rPr>
        <w:t>Website subscription to two online products:</w:t>
      </w:r>
    </w:p>
    <w:p w:rsidR="00CA1F9B" w:rsidRPr="00CA6548" w:rsidRDefault="00CA1F9B" w:rsidP="00CA1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A1F9B" w:rsidRPr="00CA6548" w:rsidRDefault="00CA1F9B" w:rsidP="00CA1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6548">
        <w:rPr>
          <w:rFonts w:ascii="Arial" w:hAnsi="Arial" w:cs="Arial"/>
          <w:color w:val="000000"/>
          <w:sz w:val="20"/>
          <w:szCs w:val="20"/>
        </w:rPr>
        <w:t>General Staff Survey and Top Executive Survey for two (02) years FY2025/2026 and FY2026/2027</w:t>
      </w:r>
    </w:p>
    <w:p w:rsidR="00CA1F9B" w:rsidRPr="00CA6548" w:rsidRDefault="00CA1F9B" w:rsidP="00CA1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A6548" w:rsidRPr="00CA6548" w:rsidRDefault="00CA6548" w:rsidP="00CA65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CA6548">
        <w:rPr>
          <w:rFonts w:ascii="Arial" w:hAnsi="Arial" w:cs="Arial"/>
          <w:b/>
          <w:color w:val="000000"/>
          <w:sz w:val="20"/>
          <w:szCs w:val="20"/>
        </w:rPr>
        <w:t xml:space="preserve">NB:  THE SSA WILL NOT PARTICIPATE IN ANY SURVEYS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AND </w:t>
      </w:r>
      <w:r w:rsidRPr="00CA6548">
        <w:rPr>
          <w:rFonts w:ascii="Arial" w:hAnsi="Arial" w:cs="Arial"/>
          <w:b/>
          <w:color w:val="000000"/>
          <w:sz w:val="20"/>
          <w:szCs w:val="20"/>
        </w:rPr>
        <w:t>COMPULSORY DEMONSTRATION OF THE SYSTEM REQUESTED.</w:t>
      </w:r>
    </w:p>
    <w:p w:rsidR="00CA1F9B" w:rsidRPr="00CA6548" w:rsidRDefault="00CA1F9B" w:rsidP="00CA1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A1F9B" w:rsidRPr="00CA6548" w:rsidRDefault="00CA1F9B" w:rsidP="00CA65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CA6548">
        <w:rPr>
          <w:rFonts w:ascii="Arial" w:hAnsi="Arial" w:cs="Arial"/>
          <w:b/>
          <w:color w:val="000000"/>
          <w:sz w:val="20"/>
          <w:szCs w:val="20"/>
        </w:rPr>
        <w:t>GENERAL STAFF SURVEY</w:t>
      </w:r>
    </w:p>
    <w:p w:rsidR="00CA6548" w:rsidRPr="00CA6548" w:rsidRDefault="00CA6548" w:rsidP="00CA1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CA1F9B" w:rsidRPr="00CA6548" w:rsidRDefault="00CA1F9B" w:rsidP="00CA1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6548">
        <w:rPr>
          <w:rFonts w:ascii="Arial" w:hAnsi="Arial" w:cs="Arial"/>
          <w:color w:val="000000"/>
          <w:sz w:val="20"/>
          <w:szCs w:val="20"/>
        </w:rPr>
        <w:t>To provide market data for levels of staff from lower level income to middle/line management across all industries with data for benchmarked positions.</w:t>
      </w:r>
    </w:p>
    <w:p w:rsidR="00CA1F9B" w:rsidRPr="00CA6548" w:rsidRDefault="00CA1F9B" w:rsidP="00CA1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A1F9B" w:rsidRPr="00CA6548" w:rsidRDefault="00CA1F9B" w:rsidP="00CA1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6548">
        <w:rPr>
          <w:rFonts w:ascii="Arial" w:hAnsi="Arial" w:cs="Arial"/>
          <w:color w:val="000000"/>
          <w:sz w:val="20"/>
          <w:szCs w:val="20"/>
        </w:rPr>
        <w:t xml:space="preserve">National analysis on: salary tables for each position containing pay and benefit details </w:t>
      </w:r>
      <w:proofErr w:type="spellStart"/>
      <w:r w:rsidRPr="00CA6548">
        <w:rPr>
          <w:rFonts w:ascii="Arial" w:hAnsi="Arial" w:cs="Arial"/>
          <w:color w:val="000000"/>
          <w:sz w:val="20"/>
          <w:szCs w:val="20"/>
        </w:rPr>
        <w:t>analysed</w:t>
      </w:r>
      <w:proofErr w:type="spellEnd"/>
      <w:r w:rsidRPr="00CA6548">
        <w:rPr>
          <w:rFonts w:ascii="Arial" w:hAnsi="Arial" w:cs="Arial"/>
          <w:color w:val="000000"/>
          <w:sz w:val="20"/>
          <w:szCs w:val="20"/>
        </w:rPr>
        <w:t xml:space="preserve"> into pay ranges showing number of lines of data, percentiles, basic, guaranteed and annual cost of employment and detailed fringe benefits.  Further selections for industry and locations.</w:t>
      </w:r>
    </w:p>
    <w:p w:rsidR="00CA1F9B" w:rsidRPr="00CA6548" w:rsidRDefault="00CA1F9B" w:rsidP="00CA1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A1F9B" w:rsidRPr="00CA6548" w:rsidRDefault="00CA1F9B" w:rsidP="00CA1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6548">
        <w:rPr>
          <w:rFonts w:ascii="Arial" w:hAnsi="Arial" w:cs="Arial"/>
          <w:color w:val="000000"/>
          <w:sz w:val="20"/>
          <w:szCs w:val="20"/>
        </w:rPr>
        <w:t xml:space="preserve">Tables for salaries by grade of Paterson, </w:t>
      </w:r>
      <w:proofErr w:type="spellStart"/>
      <w:r w:rsidRPr="00CA6548">
        <w:rPr>
          <w:rFonts w:ascii="Arial" w:hAnsi="Arial" w:cs="Arial"/>
          <w:color w:val="000000"/>
          <w:sz w:val="20"/>
          <w:szCs w:val="20"/>
        </w:rPr>
        <w:t>Peromnes</w:t>
      </w:r>
      <w:proofErr w:type="spellEnd"/>
      <w:r w:rsidRPr="00CA6548">
        <w:rPr>
          <w:rFonts w:ascii="Arial" w:hAnsi="Arial" w:cs="Arial"/>
          <w:color w:val="000000"/>
          <w:sz w:val="20"/>
          <w:szCs w:val="20"/>
        </w:rPr>
        <w:t xml:space="preserve"> &amp; Hay job evaluation systems, by category, industry and location.</w:t>
      </w:r>
    </w:p>
    <w:p w:rsidR="00CA1F9B" w:rsidRPr="00CA6548" w:rsidRDefault="00CA1F9B" w:rsidP="00CA1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A1F9B" w:rsidRPr="00CA6548" w:rsidRDefault="00CA1F9B" w:rsidP="00CA1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6548">
        <w:rPr>
          <w:rFonts w:ascii="Arial" w:hAnsi="Arial" w:cs="Arial"/>
          <w:color w:val="000000"/>
          <w:sz w:val="20"/>
          <w:szCs w:val="20"/>
        </w:rPr>
        <w:t>Salary projections for the next 12 months.</w:t>
      </w:r>
    </w:p>
    <w:p w:rsidR="00CA1F9B" w:rsidRPr="00CA6548" w:rsidRDefault="00CA1F9B" w:rsidP="00CA1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A1F9B" w:rsidRPr="00CA6548" w:rsidRDefault="00CA1F9B" w:rsidP="00CA1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6548">
        <w:rPr>
          <w:rFonts w:ascii="Arial" w:hAnsi="Arial" w:cs="Arial"/>
          <w:color w:val="000000"/>
          <w:sz w:val="20"/>
          <w:szCs w:val="20"/>
        </w:rPr>
        <w:t>Comparative rations and employment equity profiles.</w:t>
      </w:r>
    </w:p>
    <w:p w:rsidR="00CA1F9B" w:rsidRPr="00CA6548" w:rsidRDefault="00CA1F9B" w:rsidP="00CA1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A1F9B" w:rsidRPr="00CA6548" w:rsidRDefault="00CA1F9B" w:rsidP="00CA1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6548">
        <w:rPr>
          <w:rFonts w:ascii="Arial" w:hAnsi="Arial" w:cs="Arial"/>
          <w:color w:val="000000"/>
          <w:sz w:val="20"/>
          <w:szCs w:val="20"/>
        </w:rPr>
        <w:t>Functionalities to extract reports.</w:t>
      </w:r>
    </w:p>
    <w:p w:rsidR="00CA1F9B" w:rsidRPr="00CA6548" w:rsidRDefault="00CA1F9B" w:rsidP="00CA1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A1F9B" w:rsidRPr="00CA6548" w:rsidRDefault="00CA1F9B" w:rsidP="00CA1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6548">
        <w:rPr>
          <w:rFonts w:ascii="Arial" w:hAnsi="Arial" w:cs="Arial"/>
          <w:color w:val="000000"/>
          <w:sz w:val="20"/>
          <w:szCs w:val="20"/>
        </w:rPr>
        <w:t>Saved to PDF, Word and Excel spreadsheet.</w:t>
      </w:r>
    </w:p>
    <w:p w:rsidR="00CA1F9B" w:rsidRPr="00CA6548" w:rsidRDefault="00CA1F9B" w:rsidP="00CA1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A1F9B" w:rsidRPr="00CA6548" w:rsidRDefault="00CA1F9B" w:rsidP="00CA1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6548">
        <w:rPr>
          <w:rFonts w:ascii="Arial" w:hAnsi="Arial" w:cs="Arial"/>
          <w:color w:val="000000"/>
          <w:sz w:val="20"/>
          <w:szCs w:val="20"/>
        </w:rPr>
        <w:t>Commentary on cash and non-cash policies and best practice including: salary trends and projections, salary admin and pay policies, staff benefits, conditions of employment and staff turnover.</w:t>
      </w:r>
    </w:p>
    <w:p w:rsidR="00CA1F9B" w:rsidRPr="00CA6548" w:rsidRDefault="00CA1F9B" w:rsidP="00CA1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A1F9B" w:rsidRPr="00CA6548" w:rsidRDefault="00CA1F9B" w:rsidP="00CA1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6548">
        <w:rPr>
          <w:rFonts w:ascii="Arial" w:hAnsi="Arial" w:cs="Arial"/>
          <w:color w:val="000000"/>
          <w:sz w:val="20"/>
          <w:szCs w:val="20"/>
        </w:rPr>
        <w:t xml:space="preserve">Access to 13 industry selections.  Construction, consumer  goods manufacturing, financial institutions, industrial equipment manufacture and supply, information technology (computer hardware and software and telecommunications), materials manufacture, mining, non-profit </w:t>
      </w:r>
      <w:proofErr w:type="spellStart"/>
      <w:r w:rsidRPr="00CA6548">
        <w:rPr>
          <w:rFonts w:ascii="Arial" w:hAnsi="Arial" w:cs="Arial"/>
          <w:color w:val="000000"/>
          <w:sz w:val="20"/>
          <w:szCs w:val="20"/>
        </w:rPr>
        <w:t>organisations</w:t>
      </w:r>
      <w:proofErr w:type="spellEnd"/>
      <w:r w:rsidRPr="00CA6548">
        <w:rPr>
          <w:rFonts w:ascii="Arial" w:hAnsi="Arial" w:cs="Arial"/>
          <w:color w:val="000000"/>
          <w:sz w:val="20"/>
          <w:szCs w:val="20"/>
        </w:rPr>
        <w:t>, primary production, retail, sales, marketing and distribution, service industries and transport and state owned enterprises.</w:t>
      </w:r>
    </w:p>
    <w:p w:rsidR="00CA1F9B" w:rsidRPr="00CA6548" w:rsidRDefault="00CA1F9B" w:rsidP="00CA1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A1F9B" w:rsidRPr="00CA6548" w:rsidRDefault="00CA1F9B" w:rsidP="00CA1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CA1F9B" w:rsidRPr="00CA6548" w:rsidRDefault="00CA6548" w:rsidP="00CA65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TOP EXECUTIVE SURVEY</w:t>
      </w:r>
    </w:p>
    <w:p w:rsidR="00CA1F9B" w:rsidRPr="00CA6548" w:rsidRDefault="00CA1F9B" w:rsidP="00CA1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A1F9B" w:rsidRPr="00CA6548" w:rsidRDefault="00CA1F9B" w:rsidP="00CA1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6548">
        <w:rPr>
          <w:rFonts w:ascii="Arial" w:hAnsi="Arial" w:cs="Arial"/>
          <w:color w:val="000000"/>
          <w:sz w:val="20"/>
          <w:szCs w:val="20"/>
        </w:rPr>
        <w:t xml:space="preserve">An analysis of South African executive remuneration and benefits for 13 core benchmark executive positions and 23 additional positions.  Research results </w:t>
      </w:r>
      <w:proofErr w:type="spellStart"/>
      <w:r w:rsidRPr="00CA6548">
        <w:rPr>
          <w:rFonts w:ascii="Arial" w:hAnsi="Arial" w:cs="Arial"/>
          <w:color w:val="000000"/>
          <w:sz w:val="20"/>
          <w:szCs w:val="20"/>
        </w:rPr>
        <w:t>analysed</w:t>
      </w:r>
      <w:proofErr w:type="spellEnd"/>
      <w:r w:rsidRPr="00CA6548">
        <w:rPr>
          <w:rFonts w:ascii="Arial" w:hAnsi="Arial" w:cs="Arial"/>
          <w:color w:val="000000"/>
          <w:sz w:val="20"/>
          <w:szCs w:val="20"/>
        </w:rPr>
        <w:t xml:space="preserve"> by executive grade, the PEMP Model and by five </w:t>
      </w:r>
      <w:proofErr w:type="spellStart"/>
      <w:r w:rsidRPr="00CA6548">
        <w:rPr>
          <w:rFonts w:ascii="Arial" w:hAnsi="Arial" w:cs="Arial"/>
          <w:color w:val="000000"/>
          <w:sz w:val="20"/>
          <w:szCs w:val="20"/>
        </w:rPr>
        <w:t>organisational</w:t>
      </w:r>
      <w:proofErr w:type="spellEnd"/>
      <w:r w:rsidRPr="00CA6548">
        <w:rPr>
          <w:rFonts w:ascii="Arial" w:hAnsi="Arial" w:cs="Arial"/>
          <w:color w:val="000000"/>
          <w:sz w:val="20"/>
          <w:szCs w:val="20"/>
        </w:rPr>
        <w:t xml:space="preserve"> size criteria.</w:t>
      </w:r>
    </w:p>
    <w:p w:rsidR="00CA1F9B" w:rsidRPr="00CA6548" w:rsidRDefault="00CA1F9B" w:rsidP="00CA1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A1F9B" w:rsidRPr="00CA6548" w:rsidRDefault="00CA1F9B" w:rsidP="00CA1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6548">
        <w:rPr>
          <w:rFonts w:ascii="Arial" w:hAnsi="Arial" w:cs="Arial"/>
          <w:color w:val="000000"/>
          <w:sz w:val="20"/>
          <w:szCs w:val="20"/>
        </w:rPr>
        <w:t>Analysis and trends on: global and national trends in executive remuneration, executive benefits and employment practices, international pay comparisons, staff turnover, historical and projected salary movements and non-executive directors’ survey.</w:t>
      </w:r>
    </w:p>
    <w:p w:rsidR="00CA1F9B" w:rsidRPr="00CA6548" w:rsidRDefault="00CA1F9B" w:rsidP="00CA1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CA6548" w:rsidRPr="00CA6548" w:rsidRDefault="00CA6548" w:rsidP="00CA1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CA1F9B" w:rsidRDefault="00CA1F9B" w:rsidP="00CA1F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A1F9B" w:rsidRDefault="00CA1F9B" w:rsidP="00CA1F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BA5A21" w:rsidRDefault="00BA5A21"/>
    <w:sectPr w:rsidR="00BA5A21" w:rsidSect="00F42E2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85409"/>
    <w:multiLevelType w:val="hybridMultilevel"/>
    <w:tmpl w:val="C25033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9B"/>
    <w:rsid w:val="00BA5A21"/>
    <w:rsid w:val="00CA1F9B"/>
    <w:rsid w:val="00CA6548"/>
    <w:rsid w:val="00DC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DD1487D-CE38-4250-A098-EB598146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Security Agency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Mogotsi, Nobantu</dc:creator>
  <cp:keywords/>
  <dc:description/>
  <cp:lastModifiedBy>NOBANTU Makhapela</cp:lastModifiedBy>
  <cp:revision>2</cp:revision>
  <dcterms:created xsi:type="dcterms:W3CDTF">2025-08-18T07:11:00Z</dcterms:created>
  <dcterms:modified xsi:type="dcterms:W3CDTF">2025-08-18T07:11:00Z</dcterms:modified>
</cp:coreProperties>
</file>