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25BE8ECC"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2022/</w:t>
      </w:r>
      <w:r w:rsidR="00322E81">
        <w:rPr>
          <w:rFonts w:ascii="Arial" w:hAnsi="Arial" w:cs="Arial"/>
          <w:b/>
          <w:bCs/>
          <w:sz w:val="20"/>
          <w:szCs w:val="20"/>
        </w:rPr>
        <w:t>11/0</w:t>
      </w:r>
      <w:r w:rsidR="00506299">
        <w:rPr>
          <w:rFonts w:ascii="Arial" w:hAnsi="Arial" w:cs="Arial"/>
          <w:b/>
          <w:bCs/>
          <w:sz w:val="20"/>
          <w:szCs w:val="20"/>
        </w:rPr>
        <w:t>2</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1625C589"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322E81">
              <w:rPr>
                <w:rFonts w:ascii="Arial" w:hAnsi="Arial" w:cs="Arial"/>
                <w:b/>
                <w:bCs/>
                <w:sz w:val="20"/>
                <w:szCs w:val="20"/>
              </w:rPr>
              <w:t>25 November 2022</w:t>
            </w:r>
            <w:r w:rsidR="00075356" w:rsidRPr="00B852A8">
              <w:rPr>
                <w:rFonts w:ascii="Arial" w:hAnsi="Arial" w:cs="Arial"/>
                <w:b/>
                <w:bCs/>
                <w:sz w:val="20"/>
                <w:szCs w:val="20"/>
              </w:rPr>
              <w:t xml:space="preserve"> at 1</w:t>
            </w:r>
            <w:r w:rsidR="00506299">
              <w:rPr>
                <w:rFonts w:ascii="Arial" w:hAnsi="Arial" w:cs="Arial"/>
                <w:b/>
                <w:bCs/>
                <w:sz w:val="20"/>
                <w:szCs w:val="20"/>
              </w:rPr>
              <w:t>4</w:t>
            </w:r>
            <w:r w:rsidR="00075356" w:rsidRPr="00B852A8">
              <w:rPr>
                <w:rFonts w:ascii="Arial" w:hAnsi="Arial" w:cs="Arial"/>
                <w:b/>
                <w:bCs/>
                <w:sz w:val="20"/>
                <w:szCs w:val="20"/>
              </w:rPr>
              <w:t xml:space="preserve">h00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3742CC95" w14:textId="063E5F52"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3A00C84" w14:textId="4E30161D" w:rsidR="00380397"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985"/>
        <w:gridCol w:w="3402"/>
        <w:gridCol w:w="992"/>
        <w:gridCol w:w="1418"/>
        <w:gridCol w:w="1559"/>
        <w:gridCol w:w="1368"/>
      </w:tblGrid>
      <w:tr w:rsidR="008F058E" w:rsidRPr="00B852A8" w14:paraId="06DF8BDB" w14:textId="77777777" w:rsidTr="00322E81">
        <w:trPr>
          <w:trHeight w:val="841"/>
        </w:trPr>
        <w:tc>
          <w:tcPr>
            <w:tcW w:w="1985"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3402"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992"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418"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559"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368"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322E81">
        <w:trPr>
          <w:trHeight w:val="1690"/>
        </w:trPr>
        <w:tc>
          <w:tcPr>
            <w:tcW w:w="1985" w:type="dxa"/>
          </w:tcPr>
          <w:p w14:paraId="49051724" w14:textId="7A68C3F9"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CCB 2022/11/0</w:t>
            </w:r>
            <w:r w:rsidR="00506299">
              <w:rPr>
                <w:rFonts w:ascii="Arial" w:hAnsi="Arial" w:cs="Arial"/>
                <w:color w:val="000000"/>
                <w:sz w:val="20"/>
                <w:szCs w:val="20"/>
                <w:lang w:val="en-ZA"/>
              </w:rPr>
              <w:t>2</w:t>
            </w:r>
          </w:p>
        </w:tc>
        <w:tc>
          <w:tcPr>
            <w:tcW w:w="3402" w:type="dxa"/>
          </w:tcPr>
          <w:p w14:paraId="6355A977" w14:textId="3E7ABE8A"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Procurement of lawn and terrain management equipment as per the specifications set out below</w:t>
            </w:r>
          </w:p>
        </w:tc>
        <w:tc>
          <w:tcPr>
            <w:tcW w:w="992"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418" w:type="dxa"/>
          </w:tcPr>
          <w:p w14:paraId="561629A2" w14:textId="76A71554"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Derek Williams</w:t>
            </w:r>
          </w:p>
          <w:p w14:paraId="2B480C36" w14:textId="72ADE54F"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w:t>
            </w:r>
            <w:r w:rsidR="00322E81">
              <w:rPr>
                <w:rFonts w:ascii="Arial" w:hAnsi="Arial" w:cs="Arial"/>
                <w:color w:val="000000"/>
                <w:sz w:val="20"/>
                <w:szCs w:val="20"/>
                <w:lang w:val="en-ZA"/>
              </w:rPr>
              <w:t>-</w:t>
            </w:r>
            <w:r w:rsidRPr="00B852A8">
              <w:rPr>
                <w:rFonts w:ascii="Arial" w:hAnsi="Arial" w:cs="Arial"/>
                <w:color w:val="000000"/>
                <w:sz w:val="20"/>
                <w:szCs w:val="20"/>
                <w:lang w:val="en-ZA"/>
              </w:rPr>
              <w:t>4614676</w:t>
            </w:r>
          </w:p>
        </w:tc>
        <w:tc>
          <w:tcPr>
            <w:tcW w:w="1559" w:type="dxa"/>
          </w:tcPr>
          <w:p w14:paraId="06093DBA" w14:textId="5246524F"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368" w:type="dxa"/>
          </w:tcPr>
          <w:p w14:paraId="2B91AE56" w14:textId="62F5EDA0"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25/11/2022</w:t>
            </w:r>
            <w:r w:rsidR="008F058E" w:rsidRPr="00B852A8">
              <w:rPr>
                <w:rFonts w:ascii="Arial" w:hAnsi="Arial" w:cs="Arial"/>
                <w:color w:val="000000"/>
                <w:sz w:val="20"/>
                <w:szCs w:val="20"/>
                <w:lang w:val="en-ZA"/>
              </w:rPr>
              <w:t xml:space="preserve"> </w:t>
            </w:r>
            <w:r w:rsidR="00CA6099"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sidR="00506299">
              <w:rPr>
                <w:rFonts w:ascii="Arial" w:hAnsi="Arial" w:cs="Arial"/>
                <w:color w:val="000000"/>
                <w:sz w:val="20"/>
                <w:szCs w:val="20"/>
                <w:lang w:val="en-ZA"/>
              </w:rPr>
              <w:t>4</w:t>
            </w:r>
            <w:r w:rsidR="00E0434E" w:rsidRPr="00B852A8">
              <w:rPr>
                <w:rFonts w:ascii="Arial" w:hAnsi="Arial" w:cs="Arial"/>
                <w:color w:val="000000"/>
                <w:sz w:val="20"/>
                <w:szCs w:val="20"/>
                <w:lang w:val="en-ZA"/>
              </w:rPr>
              <w:t>h00</w:t>
            </w: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55FF83D3" w:rsidR="008F058E"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467109F2" w14:textId="77777777" w:rsidR="00322E81" w:rsidRPr="00B852A8" w:rsidRDefault="00322E81" w:rsidP="008F058E">
      <w:pPr>
        <w:autoSpaceDE w:val="0"/>
        <w:autoSpaceDN w:val="0"/>
        <w:adjustRightInd w:val="0"/>
        <w:rPr>
          <w:rFonts w:ascii="Arial" w:hAnsi="Arial" w:cs="Arial"/>
          <w:color w:val="000000"/>
          <w:sz w:val="20"/>
          <w:szCs w:val="20"/>
          <w:lang w:val="en-ZA"/>
        </w:rPr>
      </w:pP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3677A2E4" w14:textId="3EDF1AD1" w:rsidR="00EC1A69" w:rsidRDefault="00EC1A69" w:rsidP="008F058E">
      <w:pPr>
        <w:autoSpaceDE w:val="0"/>
        <w:autoSpaceDN w:val="0"/>
        <w:adjustRightInd w:val="0"/>
        <w:rPr>
          <w:rFonts w:ascii="Arial" w:hAnsi="Arial" w:cs="Arial"/>
          <w:color w:val="000000"/>
          <w:sz w:val="20"/>
          <w:szCs w:val="20"/>
        </w:rPr>
      </w:pPr>
    </w:p>
    <w:p w14:paraId="1014A5DC" w14:textId="43A142C8" w:rsidR="00974296" w:rsidRDefault="00974296" w:rsidP="008F058E">
      <w:pPr>
        <w:autoSpaceDE w:val="0"/>
        <w:autoSpaceDN w:val="0"/>
        <w:adjustRightInd w:val="0"/>
        <w:rPr>
          <w:rFonts w:ascii="Arial" w:hAnsi="Arial" w:cs="Arial"/>
          <w:b/>
          <w:bCs/>
          <w:color w:val="000000"/>
          <w:sz w:val="20"/>
          <w:szCs w:val="20"/>
        </w:rPr>
      </w:pPr>
      <w:r w:rsidRPr="00974296">
        <w:rPr>
          <w:rFonts w:ascii="Arial" w:hAnsi="Arial" w:cs="Arial"/>
          <w:b/>
          <w:bCs/>
          <w:color w:val="000000"/>
          <w:sz w:val="20"/>
          <w:szCs w:val="20"/>
        </w:rPr>
        <w:t>Or emailed to:</w:t>
      </w:r>
    </w:p>
    <w:p w14:paraId="1C8BDD0F" w14:textId="46322411" w:rsidR="00974296" w:rsidRPr="00974296" w:rsidRDefault="00974296"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rPr>
        <w:t>finance@castleofgoodhope.co.za</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Bids will remain valid for a period of 90 days after the closing 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413C3F2C"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322E81">
        <w:rPr>
          <w:rFonts w:ascii="Arial" w:hAnsi="Arial" w:cs="Arial"/>
          <w:color w:val="000000"/>
          <w:sz w:val="20"/>
          <w:szCs w:val="20"/>
          <w:lang w:val="en-ZA"/>
        </w:rPr>
        <w:t>16 November</w:t>
      </w:r>
      <w:r w:rsidRPr="00B852A8">
        <w:rPr>
          <w:rFonts w:ascii="Arial" w:hAnsi="Arial" w:cs="Arial"/>
          <w:color w:val="000000"/>
          <w:sz w:val="20"/>
          <w:szCs w:val="20"/>
          <w:lang w:val="en-ZA"/>
        </w:rPr>
        <w:t xml:space="preserve"> 202</w:t>
      </w:r>
      <w:r w:rsidR="00C84995" w:rsidRPr="00B852A8">
        <w:rPr>
          <w:rFonts w:ascii="Arial" w:hAnsi="Arial" w:cs="Arial"/>
          <w:color w:val="000000"/>
          <w:sz w:val="20"/>
          <w:szCs w:val="20"/>
          <w:lang w:val="en-ZA"/>
        </w:rPr>
        <w:t>2</w:t>
      </w:r>
      <w:r w:rsidRPr="00B852A8">
        <w:rPr>
          <w:rFonts w:ascii="Arial" w:hAnsi="Arial" w:cs="Arial"/>
          <w:color w:val="000000"/>
          <w:sz w:val="20"/>
          <w:szCs w:val="20"/>
          <w:lang w:val="en-ZA"/>
        </w:rPr>
        <w:t xml:space="preserve"> to </w:t>
      </w:r>
      <w:r w:rsidR="00322E81">
        <w:rPr>
          <w:rFonts w:ascii="Arial" w:hAnsi="Arial" w:cs="Arial"/>
          <w:color w:val="000000"/>
          <w:sz w:val="20"/>
          <w:szCs w:val="20"/>
          <w:lang w:val="en-ZA"/>
        </w:rPr>
        <w:t xml:space="preserve">20 November </w:t>
      </w:r>
      <w:r w:rsidRPr="00B852A8">
        <w:rPr>
          <w:rFonts w:ascii="Arial" w:hAnsi="Arial" w:cs="Arial"/>
          <w:color w:val="000000"/>
          <w:sz w:val="20"/>
          <w:szCs w:val="20"/>
          <w:lang w:val="en-ZA"/>
        </w:rPr>
        <w:t>202</w:t>
      </w:r>
      <w:r w:rsidR="00C84995" w:rsidRPr="00B852A8">
        <w:rPr>
          <w:rFonts w:ascii="Arial" w:hAnsi="Arial" w:cs="Arial"/>
          <w:color w:val="000000"/>
          <w:sz w:val="20"/>
          <w:szCs w:val="20"/>
          <w:lang w:val="en-ZA"/>
        </w:rPr>
        <w:t>2</w:t>
      </w:r>
      <w:r w:rsidRPr="00B852A8">
        <w:rPr>
          <w:rFonts w:ascii="Arial" w:hAnsi="Arial" w:cs="Arial"/>
          <w:color w:val="000000"/>
          <w:sz w:val="20"/>
          <w:szCs w:val="20"/>
          <w:lang w:val="en-ZA"/>
        </w:rPr>
        <w:t xml:space="preserve"> from 09h00 until 15h</w:t>
      </w:r>
      <w:r w:rsidR="00322E81">
        <w:rPr>
          <w:rFonts w:ascii="Arial" w:hAnsi="Arial" w:cs="Arial"/>
          <w:color w:val="000000"/>
          <w:sz w:val="20"/>
          <w:szCs w:val="20"/>
          <w:lang w:val="en-ZA"/>
        </w:rPr>
        <w:t>00</w:t>
      </w:r>
      <w:r w:rsidRPr="00B852A8">
        <w:rPr>
          <w:rFonts w:ascii="Arial" w:hAnsi="Arial" w:cs="Arial"/>
          <w:color w:val="000000"/>
          <w:sz w:val="20"/>
          <w:szCs w:val="20"/>
          <w:lang w:val="en-ZA"/>
        </w:rPr>
        <w:t>.</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0596A4B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322E81">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Hereby authorize …………………………………….. ………………………… to sign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5EA6E3BA"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w:t>
            </w:r>
            <w:r w:rsidR="00322E81">
              <w:rPr>
                <w:rFonts w:ascii="Arial" w:hAnsi="Arial" w:cs="Arial"/>
                <w:color w:val="000000"/>
                <w:sz w:val="20"/>
                <w:szCs w:val="20"/>
                <w:lang w:val="en-ZA"/>
              </w:rPr>
              <w:t>the supply of lawn and terrain management equipment as requested.</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94" w:type="dxa"/>
        <w:tblInd w:w="-289" w:type="dxa"/>
        <w:tblLook w:val="04A0" w:firstRow="1" w:lastRow="0" w:firstColumn="1" w:lastColumn="0" w:noHBand="0" w:noVBand="1"/>
      </w:tblPr>
      <w:tblGrid>
        <w:gridCol w:w="10094"/>
      </w:tblGrid>
      <w:tr w:rsidR="008F058E" w:rsidRPr="00B852A8" w14:paraId="2B9FDF68" w14:textId="77777777" w:rsidTr="00322E81">
        <w:trPr>
          <w:trHeight w:val="766"/>
        </w:trPr>
        <w:tc>
          <w:tcPr>
            <w:tcW w:w="10094" w:type="dxa"/>
          </w:tcPr>
          <w:p w14:paraId="5B9CFC5B" w14:textId="586A61AF" w:rsidR="003739D3" w:rsidRPr="00B852A8" w:rsidRDefault="003739D3" w:rsidP="003739D3">
            <w:pPr>
              <w:pStyle w:val="BodyText"/>
              <w:spacing w:line="242" w:lineRule="auto"/>
              <w:ind w:right="260"/>
              <w:jc w:val="both"/>
              <w:rPr>
                <w:rFonts w:ascii="Arial" w:hAnsi="Arial" w:cs="Arial"/>
                <w:sz w:val="20"/>
                <w:szCs w:val="20"/>
              </w:rPr>
            </w:pPr>
            <w:r w:rsidRPr="00B852A8">
              <w:rPr>
                <w:rFonts w:ascii="Arial" w:hAnsi="Arial" w:cs="Arial"/>
                <w:color w:val="0E0C15"/>
                <w:sz w:val="20"/>
                <w:szCs w:val="20"/>
              </w:rPr>
              <w:t xml:space="preserve">A </w:t>
            </w:r>
            <w:r w:rsidR="00322E81">
              <w:rPr>
                <w:rFonts w:ascii="Arial" w:hAnsi="Arial" w:cs="Arial"/>
                <w:color w:val="0E0C15"/>
                <w:sz w:val="20"/>
                <w:szCs w:val="20"/>
              </w:rPr>
              <w:t>well maintained safe environment for both visitors and workers of the CCB is if paramount importance. To this end the organization requires lawn and terrain management equipment as set out in this RFQ.</w:t>
            </w:r>
          </w:p>
          <w:p w14:paraId="308A1004" w14:textId="77777777" w:rsidR="003739D3" w:rsidRPr="00B852A8" w:rsidRDefault="003739D3" w:rsidP="003739D3">
            <w:pPr>
              <w:pStyle w:val="BodyText"/>
              <w:spacing w:line="276" w:lineRule="auto"/>
              <w:ind w:right="276"/>
              <w:jc w:val="both"/>
              <w:rPr>
                <w:rFonts w:ascii="Arial" w:hAnsi="Arial" w:cs="Arial"/>
                <w:sz w:val="20"/>
                <w:szCs w:val="20"/>
                <w:lang w:val="en-ZA"/>
              </w:rPr>
            </w:pPr>
          </w:p>
          <w:p w14:paraId="0E248F73" w14:textId="77777777" w:rsidR="008F058E" w:rsidRPr="00B852A8" w:rsidRDefault="008F058E" w:rsidP="00322E81">
            <w:pPr>
              <w:autoSpaceDE w:val="0"/>
              <w:autoSpaceDN w:val="0"/>
              <w:adjustRightInd w:val="0"/>
              <w:spacing w:line="360" w:lineRule="auto"/>
              <w:contextualSpacing/>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35B36B21" w:rsidR="008F058E" w:rsidRPr="00B852A8" w:rsidRDefault="008F058E">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114415CE" w14:textId="138D00F6" w:rsidR="001953F1" w:rsidRPr="00B852A8" w:rsidRDefault="001953F1" w:rsidP="00B64D48">
      <w:pPr>
        <w:autoSpaceDE w:val="0"/>
        <w:autoSpaceDN w:val="0"/>
        <w:adjustRightInd w:val="0"/>
        <w:spacing w:line="360" w:lineRule="auto"/>
        <w:ind w:left="720"/>
        <w:jc w:val="both"/>
        <w:rPr>
          <w:rFonts w:ascii="Arial" w:eastAsia="Calibri" w:hAnsi="Arial" w:cs="Arial"/>
          <w:b/>
          <w:bCs/>
          <w:sz w:val="20"/>
          <w:szCs w:val="20"/>
        </w:rPr>
      </w:pPr>
      <w:r w:rsidRPr="00B852A8">
        <w:rPr>
          <w:rFonts w:ascii="Arial" w:hAnsi="Arial" w:cs="Arial"/>
          <w:b/>
          <w:bCs/>
          <w:color w:val="000000"/>
          <w:sz w:val="20"/>
          <w:szCs w:val="20"/>
          <w:lang w:val="en-ZA"/>
        </w:rPr>
        <w:t xml:space="preserve">Appointment of a service provider to quote on the </w:t>
      </w:r>
      <w:r w:rsidR="00322E81">
        <w:rPr>
          <w:rFonts w:ascii="Arial" w:hAnsi="Arial" w:cs="Arial"/>
          <w:b/>
          <w:bCs/>
          <w:color w:val="000000"/>
          <w:sz w:val="20"/>
          <w:szCs w:val="20"/>
          <w:lang w:val="en-ZA"/>
        </w:rPr>
        <w:t>supply of lawn management equipment as per the specifications provided.</w:t>
      </w:r>
    </w:p>
    <w:p w14:paraId="51B4E712" w14:textId="77777777" w:rsidR="008F058E" w:rsidRPr="00B852A8" w:rsidRDefault="008F058E"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lastRenderedPageBreak/>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0C1226FC"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optimise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219914F6"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08C5D645"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D572D6" w:rsidRPr="00B852A8">
        <w:rPr>
          <w:rFonts w:ascii="Arial" w:eastAsia="Calibri" w:hAnsi="Arial" w:cs="Arial"/>
          <w:bCs/>
          <w:sz w:val="20"/>
          <w:szCs w:val="20"/>
        </w:rPr>
        <w:t>organis</w:t>
      </w:r>
      <w:r w:rsidRPr="00B852A8">
        <w:rPr>
          <w:rFonts w:ascii="Arial" w:eastAsia="Calibri" w:hAnsi="Arial" w:cs="Arial"/>
          <w:bCs/>
          <w:sz w:val="20"/>
          <w:szCs w:val="20"/>
        </w:rPr>
        <w:t>ation is expected to provide a range of public services and goods 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has a number of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6AF4FAB3" w14:textId="56FDBC61"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1BB7B08A"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41A30CE" w14:textId="0978400C" w:rsidR="00B64D48" w:rsidRPr="00B852A8" w:rsidRDefault="008F058E"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 xml:space="preserve">The objective is to provide </w:t>
      </w:r>
      <w:r w:rsidR="00322E81">
        <w:rPr>
          <w:rFonts w:ascii="Arial" w:eastAsia="Calibri" w:hAnsi="Arial" w:cs="Arial"/>
          <w:bCs/>
          <w:sz w:val="20"/>
          <w:szCs w:val="20"/>
        </w:rPr>
        <w:t>lawn and terrain management equipment as per the below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lang w:val="en"/>
        </w:rPr>
        <w:t xml:space="preserve"> </w:t>
      </w: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lastRenderedPageBreak/>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0DA064FC" w14:textId="2FC61F2E" w:rsidR="00F75444" w:rsidRPr="002F0C01" w:rsidRDefault="00F75444" w:rsidP="00F75444">
      <w:pPr>
        <w:rPr>
          <w:rFonts w:ascii="Arial" w:hAnsi="Arial" w:cs="Arial"/>
          <w:sz w:val="20"/>
          <w:szCs w:val="20"/>
        </w:rPr>
      </w:pPr>
      <w:r w:rsidRPr="002F0C01">
        <w:rPr>
          <w:rFonts w:ascii="Arial" w:hAnsi="Arial" w:cs="Arial"/>
          <w:sz w:val="20"/>
          <w:szCs w:val="20"/>
        </w:rPr>
        <w:t xml:space="preserve">We need to procure a </w:t>
      </w:r>
      <w:r w:rsidR="008374DD">
        <w:rPr>
          <w:rFonts w:ascii="Arial" w:hAnsi="Arial" w:cs="Arial"/>
          <w:sz w:val="20"/>
          <w:szCs w:val="20"/>
        </w:rPr>
        <w:t>terrain and lawn management equipment as listed below:</w:t>
      </w:r>
    </w:p>
    <w:p w14:paraId="5D4EC03B" w14:textId="77777777" w:rsidR="00F75444" w:rsidRPr="002F0C01" w:rsidRDefault="00F75444" w:rsidP="00F75444">
      <w:pPr>
        <w:rPr>
          <w:rFonts w:ascii="Arial" w:hAnsi="Arial" w:cs="Arial"/>
          <w:sz w:val="20"/>
          <w:szCs w:val="20"/>
        </w:rPr>
      </w:pPr>
    </w:p>
    <w:p w14:paraId="2FCC4857" w14:textId="5228E1DE" w:rsid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1 x heavy duty, rotary, walk behind, 2 speed self-propelled lawnmower with a 13hp 4 stroke heavy duty engine. Cutting width of approx. 750mm, </w:t>
      </w:r>
    </w:p>
    <w:p w14:paraId="327FCFF5" w14:textId="6558BBC0"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2 x 40cc flash 1.9kw 2 stroke engine brush cutters with both blades and nylon gut cutting heads,</w:t>
      </w:r>
    </w:p>
    <w:p w14:paraId="58A1EA2B" w14:textId="41597FBC"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1 x industrial rotary lawnmower with a 5 hp 4 stroke engine with a cutting width of approx. 480mm,</w:t>
      </w:r>
    </w:p>
    <w:p w14:paraId="04E91C42" w14:textId="31134A57"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1 x 4.5 hp 2 stroke engine chainsaw with a 450mm blade,</w:t>
      </w:r>
    </w:p>
    <w:p w14:paraId="26D75AA6" w14:textId="437DA070" w:rsid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1 x 2 stroke industrial blower, </w:t>
      </w:r>
    </w:p>
    <w:p w14:paraId="078F852F" w14:textId="6F89323D"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1 x petrol powered woodchipper/shredder which can shred up to 75mm large pieces,</w:t>
      </w:r>
    </w:p>
    <w:p w14:paraId="3166B615" w14:textId="209871A1"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2 x </w:t>
      </w:r>
      <w:r w:rsidR="006B26DB">
        <w:rPr>
          <w:rFonts w:ascii="Arial" w:hAnsi="Arial" w:cs="Arial"/>
          <w:b/>
          <w:sz w:val="20"/>
          <w:szCs w:val="20"/>
        </w:rPr>
        <w:t>full body clip in safety harnesses</w:t>
      </w:r>
    </w:p>
    <w:p w14:paraId="381612E7" w14:textId="604D0C3B" w:rsidR="008374DD" w:rsidRDefault="008374DD" w:rsidP="006B26DB">
      <w:pPr>
        <w:ind w:left="360"/>
        <w:rPr>
          <w:rFonts w:ascii="Arial" w:hAnsi="Arial" w:cs="Arial"/>
          <w:b/>
          <w:sz w:val="20"/>
          <w:szCs w:val="20"/>
        </w:rPr>
      </w:pPr>
    </w:p>
    <w:p w14:paraId="06DB2F72" w14:textId="77777777" w:rsidR="006B26DB" w:rsidRPr="006B26DB" w:rsidRDefault="006B26DB" w:rsidP="006B26DB">
      <w:pPr>
        <w:ind w:left="360"/>
        <w:rPr>
          <w:rFonts w:ascii="Arial" w:hAnsi="Arial" w:cs="Arial"/>
          <w:b/>
          <w:sz w:val="20"/>
          <w:szCs w:val="20"/>
        </w:rPr>
      </w:pPr>
    </w:p>
    <w:p w14:paraId="34F89A12" w14:textId="12FB98A5" w:rsidR="008F058E" w:rsidRPr="006B26DB" w:rsidRDefault="006B26DB" w:rsidP="006B26DB">
      <w:pPr>
        <w:rPr>
          <w:rFonts w:ascii="Arial" w:hAnsi="Arial" w:cs="Arial"/>
          <w:b/>
          <w:sz w:val="20"/>
          <w:szCs w:val="20"/>
        </w:rPr>
      </w:pPr>
      <w:r>
        <w:rPr>
          <w:rFonts w:ascii="Arial" w:hAnsi="Arial" w:cs="Arial"/>
          <w:b/>
          <w:bCs/>
          <w:sz w:val="20"/>
          <w:szCs w:val="20"/>
          <w:lang w:val="en-ZA"/>
        </w:rPr>
        <w:t>PR</w:t>
      </w:r>
      <w:r w:rsidR="008F058E" w:rsidRPr="006B26DB">
        <w:rPr>
          <w:rFonts w:ascii="Arial" w:hAnsi="Arial" w:cs="Arial"/>
          <w:b/>
          <w:bCs/>
          <w:sz w:val="20"/>
          <w:szCs w:val="20"/>
          <w:lang w:val="en-ZA"/>
        </w:rPr>
        <w:t>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038C1742" w14:textId="5BB4569A" w:rsidR="008F058E" w:rsidRPr="00B852A8" w:rsidRDefault="00732570">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 xml:space="preserve">Supply the </w:t>
      </w:r>
      <w:r w:rsidR="001C391D">
        <w:rPr>
          <w:rFonts w:ascii="Arial" w:eastAsia="Calibri" w:hAnsi="Arial" w:cs="Arial"/>
          <w:bCs/>
          <w:sz w:val="20"/>
          <w:szCs w:val="20"/>
        </w:rPr>
        <w:t>laptop computer</w:t>
      </w:r>
      <w:r w:rsidR="008F058E" w:rsidRPr="00B852A8">
        <w:rPr>
          <w:rFonts w:ascii="Arial" w:eastAsia="Calibri" w:hAnsi="Arial" w:cs="Arial"/>
          <w:bCs/>
          <w:sz w:val="20"/>
          <w:szCs w:val="20"/>
        </w:rPr>
        <w:t>.</w:t>
      </w:r>
    </w:p>
    <w:p w14:paraId="2FC4917C" w14:textId="614DFDCB" w:rsidR="008F058E" w:rsidRPr="00B852A8" w:rsidRDefault="008F058E">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Castle Control Board and Department of Defence’s</w:t>
      </w:r>
      <w:r w:rsidRPr="00B852A8">
        <w:rPr>
          <w:rFonts w:ascii="Arial" w:eastAsia="Calibri" w:hAnsi="Arial" w:cs="Arial"/>
          <w:sz w:val="20"/>
          <w:szCs w:val="20"/>
        </w:rPr>
        <w:t xml:space="preserve"> security and emergency policies, procedures and regulations. </w:t>
      </w:r>
    </w:p>
    <w:p w14:paraId="0E645F20" w14:textId="604EEE1D" w:rsidR="00374357" w:rsidRPr="00374357" w:rsidRDefault="008F058E">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732E3FF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5566CFC7" w14:textId="32B0F1B0"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77777777" w:rsidR="008F058E"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204649D6" w14:textId="546437AA" w:rsidR="00D4283A"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lastRenderedPageBreak/>
        <w:t>Own copyright of all documents and reports compiled by the Service Provider and will vest in the CCB and may not be reproduced or distributed or made available in any other way without the written consent of the CCB.</w:t>
      </w:r>
    </w:p>
    <w:p w14:paraId="549C3622" w14:textId="77777777" w:rsidR="00D4283A" w:rsidRPr="00B852A8" w:rsidRDefault="00D4283A" w:rsidP="008F058E">
      <w:pPr>
        <w:autoSpaceDE w:val="0"/>
        <w:autoSpaceDN w:val="0"/>
        <w:adjustRightInd w:val="0"/>
        <w:spacing w:line="360" w:lineRule="auto"/>
        <w:rPr>
          <w:rFonts w:ascii="Arial" w:eastAsia="Calibri" w:hAnsi="Arial" w:cs="Arial"/>
          <w:color w:val="000000"/>
          <w:sz w:val="20"/>
          <w:szCs w:val="20"/>
          <w:lang w:eastAsia="en-ZA"/>
        </w:rPr>
      </w:pPr>
    </w:p>
    <w:p w14:paraId="3948BEBC" w14:textId="77777777" w:rsidR="008F058E" w:rsidRPr="00B852A8" w:rsidRDefault="008F058E"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61C745BA" w14:textId="77777777" w:rsidR="008F058E" w:rsidRPr="00B852A8" w:rsidRDefault="008F058E">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34CAD4FA" w14:textId="77777777" w:rsidR="008F058E" w:rsidRPr="00B852A8" w:rsidRDefault="008F058E" w:rsidP="008F058E">
      <w:pPr>
        <w:autoSpaceDE w:val="0"/>
        <w:autoSpaceDN w:val="0"/>
        <w:adjustRightInd w:val="0"/>
        <w:spacing w:line="360" w:lineRule="auto"/>
        <w:rPr>
          <w:rFonts w:ascii="Arial" w:eastAsia="Calibri" w:hAnsi="Arial" w:cs="Arial"/>
          <w:color w:val="000000"/>
          <w:sz w:val="20"/>
          <w:szCs w:val="20"/>
          <w:lang w:eastAsia="en-ZA"/>
        </w:rPr>
      </w:pPr>
    </w:p>
    <w:p w14:paraId="7BB709D0" w14:textId="77777777" w:rsidR="00374357" w:rsidRPr="00B852A8" w:rsidRDefault="00374357" w:rsidP="008F058E">
      <w:pPr>
        <w:autoSpaceDE w:val="0"/>
        <w:autoSpaceDN w:val="0"/>
        <w:adjustRightInd w:val="0"/>
        <w:spacing w:line="360" w:lineRule="auto"/>
        <w:ind w:left="1418" w:hanging="709"/>
        <w:rPr>
          <w:rFonts w:ascii="Arial" w:eastAsia="Calibri" w:hAnsi="Arial" w:cs="Arial"/>
          <w:bCs/>
          <w:sz w:val="20"/>
          <w:szCs w:val="20"/>
        </w:rPr>
      </w:pPr>
    </w:p>
    <w:p w14:paraId="473D6C00" w14:textId="77777777" w:rsidR="008F058E" w:rsidRPr="00B852A8" w:rsidRDefault="008F058E"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34B71E5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completed </w:t>
      </w:r>
    </w:p>
    <w:p w14:paraId="1CB8FD13"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5BB533CA" w:rsidR="00C6596F" w:rsidRPr="005D6B6D"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completed </w:t>
      </w:r>
    </w:p>
    <w:p w14:paraId="7397B634"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1A5AF079" w14:textId="2DC822BB" w:rsidR="006B1517" w:rsidRPr="00B852A8" w:rsidRDefault="006B1517" w:rsidP="008F058E">
      <w:pPr>
        <w:spacing w:after="240" w:line="360" w:lineRule="auto"/>
        <w:contextualSpacing/>
        <w:rPr>
          <w:rFonts w:ascii="Arial" w:hAnsi="Arial" w:cs="Arial"/>
          <w:sz w:val="20"/>
          <w:szCs w:val="20"/>
        </w:rPr>
      </w:pPr>
    </w:p>
    <w:p w14:paraId="71E9326D" w14:textId="1A407F47" w:rsidR="006B1517" w:rsidRPr="00B852A8" w:rsidRDefault="006B1517" w:rsidP="008F058E">
      <w:pPr>
        <w:spacing w:after="240" w:line="360" w:lineRule="auto"/>
        <w:contextualSpacing/>
        <w:rPr>
          <w:rFonts w:ascii="Arial" w:hAnsi="Arial" w:cs="Arial"/>
          <w:sz w:val="20"/>
          <w:szCs w:val="20"/>
        </w:rPr>
      </w:pPr>
    </w:p>
    <w:p w14:paraId="375F8E0D" w14:textId="67D95898" w:rsidR="006B1517" w:rsidRPr="00B852A8" w:rsidRDefault="006B1517" w:rsidP="008F058E">
      <w:pPr>
        <w:spacing w:after="240" w:line="360" w:lineRule="auto"/>
        <w:contextualSpacing/>
        <w:rPr>
          <w:rFonts w:ascii="Arial" w:hAnsi="Arial" w:cs="Arial"/>
          <w:sz w:val="20"/>
          <w:szCs w:val="20"/>
        </w:rPr>
      </w:pPr>
    </w:p>
    <w:p w14:paraId="1828B130" w14:textId="6C223C7A" w:rsidR="006B1517" w:rsidRPr="00B852A8" w:rsidRDefault="006B1517" w:rsidP="008F058E">
      <w:pPr>
        <w:spacing w:after="240" w:line="360" w:lineRule="auto"/>
        <w:contextualSpacing/>
        <w:rPr>
          <w:rFonts w:ascii="Arial" w:hAnsi="Arial" w:cs="Arial"/>
          <w:sz w:val="20"/>
          <w:szCs w:val="20"/>
        </w:rPr>
      </w:pPr>
    </w:p>
    <w:p w14:paraId="7876FD71" w14:textId="3CE56674" w:rsidR="006B1517" w:rsidRDefault="006B1517" w:rsidP="008F058E">
      <w:pPr>
        <w:spacing w:after="240" w:line="360" w:lineRule="auto"/>
        <w:contextualSpacing/>
        <w:rPr>
          <w:rFonts w:ascii="Arial" w:hAnsi="Arial" w:cs="Arial"/>
          <w:sz w:val="20"/>
          <w:szCs w:val="20"/>
        </w:rPr>
      </w:pPr>
    </w:p>
    <w:p w14:paraId="479844A9" w14:textId="378EDD0A" w:rsidR="00322E81" w:rsidRDefault="00322E81" w:rsidP="008F058E">
      <w:pPr>
        <w:spacing w:after="240" w:line="360" w:lineRule="auto"/>
        <w:contextualSpacing/>
        <w:rPr>
          <w:rFonts w:ascii="Arial" w:hAnsi="Arial" w:cs="Arial"/>
          <w:sz w:val="20"/>
          <w:szCs w:val="20"/>
        </w:rPr>
      </w:pPr>
    </w:p>
    <w:p w14:paraId="7EC293B5" w14:textId="09A9871C" w:rsidR="00322E81" w:rsidRDefault="00322E81" w:rsidP="008F058E">
      <w:pPr>
        <w:spacing w:after="240" w:line="360" w:lineRule="auto"/>
        <w:contextualSpacing/>
        <w:rPr>
          <w:rFonts w:ascii="Arial" w:hAnsi="Arial" w:cs="Arial"/>
          <w:sz w:val="20"/>
          <w:szCs w:val="20"/>
        </w:rPr>
      </w:pPr>
    </w:p>
    <w:p w14:paraId="47B0F67E" w14:textId="77777777" w:rsidR="00322E81" w:rsidRPr="00B852A8" w:rsidRDefault="00322E81" w:rsidP="008F058E">
      <w:pPr>
        <w:spacing w:after="240" w:line="360" w:lineRule="auto"/>
        <w:contextualSpacing/>
        <w:rPr>
          <w:rFonts w:ascii="Arial" w:hAnsi="Arial" w:cs="Arial"/>
          <w:sz w:val="20"/>
          <w:szCs w:val="20"/>
        </w:rPr>
      </w:pPr>
    </w:p>
    <w:p w14:paraId="16C011B5" w14:textId="61741D86" w:rsidR="006B1517" w:rsidRPr="00B852A8" w:rsidRDefault="006B1517" w:rsidP="008F058E">
      <w:pPr>
        <w:spacing w:after="240" w:line="360" w:lineRule="auto"/>
        <w:contextualSpacing/>
        <w:rPr>
          <w:rFonts w:ascii="Arial" w:hAnsi="Arial" w:cs="Arial"/>
          <w:sz w:val="20"/>
          <w:szCs w:val="20"/>
        </w:rPr>
      </w:pPr>
    </w:p>
    <w:p w14:paraId="3E9D968A" w14:textId="3EA50573" w:rsidR="006B1517" w:rsidRPr="00B852A8" w:rsidRDefault="006B1517" w:rsidP="008F058E">
      <w:pPr>
        <w:spacing w:after="240" w:line="360" w:lineRule="auto"/>
        <w:contextualSpacing/>
        <w:rPr>
          <w:rFonts w:ascii="Arial" w:hAnsi="Arial" w:cs="Arial"/>
          <w:sz w:val="20"/>
          <w:szCs w:val="20"/>
        </w:rPr>
      </w:pPr>
    </w:p>
    <w:p w14:paraId="5BCED408" w14:textId="28A92D25" w:rsidR="006B1517" w:rsidRPr="00B852A8" w:rsidRDefault="006B1517" w:rsidP="008F058E">
      <w:pPr>
        <w:spacing w:after="240" w:line="360" w:lineRule="auto"/>
        <w:contextualSpacing/>
        <w:rPr>
          <w:rFonts w:ascii="Arial" w:hAnsi="Arial" w:cs="Arial"/>
          <w:sz w:val="20"/>
          <w:szCs w:val="20"/>
        </w:rPr>
      </w:pPr>
    </w:p>
    <w:p w14:paraId="7D35B00A" w14:textId="0FAF7A67" w:rsidR="006B1517" w:rsidRPr="00B852A8" w:rsidRDefault="006B1517" w:rsidP="008F058E">
      <w:pPr>
        <w:spacing w:after="240" w:line="360" w:lineRule="auto"/>
        <w:contextualSpacing/>
        <w:rPr>
          <w:rFonts w:ascii="Arial" w:hAnsi="Arial" w:cs="Arial"/>
          <w:sz w:val="20"/>
          <w:szCs w:val="20"/>
        </w:rPr>
      </w:pPr>
    </w:p>
    <w:p w14:paraId="59F7842E" w14:textId="0796AC7C" w:rsidR="006B1517" w:rsidRPr="00B852A8" w:rsidRDefault="006B1517" w:rsidP="008F058E">
      <w:pPr>
        <w:spacing w:after="240" w:line="360" w:lineRule="auto"/>
        <w:contextualSpacing/>
        <w:rPr>
          <w:rFonts w:ascii="Arial" w:hAnsi="Arial" w:cs="Arial"/>
          <w:sz w:val="20"/>
          <w:szCs w:val="20"/>
        </w:rPr>
      </w:pPr>
    </w:p>
    <w:p w14:paraId="3A63C75F" w14:textId="20E45570" w:rsidR="006B1517" w:rsidRPr="00B852A8" w:rsidRDefault="006B1517" w:rsidP="008F058E">
      <w:pPr>
        <w:spacing w:after="240" w:line="360" w:lineRule="auto"/>
        <w:contextualSpacing/>
        <w:rPr>
          <w:rFonts w:ascii="Arial" w:hAnsi="Arial" w:cs="Arial"/>
          <w:sz w:val="20"/>
          <w:szCs w:val="20"/>
        </w:rPr>
      </w:pPr>
    </w:p>
    <w:p w14:paraId="72AE7FED" w14:textId="2B6EA9ED" w:rsidR="006B1517" w:rsidRPr="00B852A8" w:rsidRDefault="006B1517"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lastRenderedPageBreak/>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SECTION A                              restuarant</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0D48CF8D"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Calibri" w:hAnsi="Arial" w:cs="Arial"/>
                <w:sz w:val="20"/>
                <w:szCs w:val="20"/>
                <w:lang w:val="en-ZA"/>
              </w:rPr>
              <w:t xml:space="preserve">Supply </w:t>
            </w: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21C00264" w:rsidR="008F058E" w:rsidRPr="00B852A8" w:rsidRDefault="00097BD1"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sz w:val="20"/>
                <w:szCs w:val="20"/>
              </w:rPr>
              <w:t>Licences</w:t>
            </w:r>
            <w:r>
              <w:rPr>
                <w:rFonts w:ascii="Arial" w:eastAsia="PMingLiU" w:hAnsi="Arial" w:cs="Arial"/>
                <w:sz w:val="20"/>
                <w:szCs w:val="20"/>
              </w:rPr>
              <w:t xml:space="preserve"> </w:t>
            </w:r>
            <w:r w:rsidR="00CE43EA">
              <w:rPr>
                <w:rFonts w:ascii="Arial" w:eastAsia="PMingLiU" w:hAnsi="Arial" w:cs="Arial"/>
                <w:sz w:val="20"/>
                <w:szCs w:val="20"/>
              </w:rPr>
              <w:t>(</w:t>
            </w:r>
            <w:r>
              <w:rPr>
                <w:rFonts w:ascii="Arial" w:eastAsia="PMingLiU" w:hAnsi="Arial" w:cs="Arial"/>
                <w:sz w:val="20"/>
                <w:szCs w:val="20"/>
              </w:rPr>
              <w:t>if applicable)</w:t>
            </w: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FB9A7C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3065CDCA" w14:textId="0320848B"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sz w:val="20"/>
                <w:szCs w:val="20"/>
              </w:rPr>
              <w:t>Other (</w:t>
            </w:r>
            <w:r w:rsidR="006B1517" w:rsidRPr="00B852A8">
              <w:rPr>
                <w:rFonts w:ascii="Arial" w:eastAsia="PMingLiU" w:hAnsi="Arial" w:cs="Arial"/>
                <w:sz w:val="20"/>
                <w:szCs w:val="20"/>
              </w:rPr>
              <w:t>furnish details</w:t>
            </w:r>
            <w:r w:rsidR="006A202E" w:rsidRPr="00B852A8">
              <w:rPr>
                <w:rFonts w:ascii="Arial" w:eastAsia="PMingLiU" w:hAnsi="Arial" w:cs="Arial"/>
                <w:sz w:val="20"/>
                <w:szCs w:val="20"/>
              </w:rPr>
              <w:t>)</w:t>
            </w: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32703E8A" w14:textId="25589E50" w:rsidR="008F058E" w:rsidRPr="00B852A8" w:rsidRDefault="008F058E" w:rsidP="008F058E">
      <w:pPr>
        <w:keepNext/>
        <w:keepLines/>
        <w:spacing w:before="240" w:after="240"/>
        <w:outlineLvl w:val="1"/>
        <w:rPr>
          <w:rFonts w:ascii="Arial" w:eastAsia="PMingLiU" w:hAnsi="Arial" w:cs="Arial"/>
          <w:b/>
          <w:bCs/>
          <w:caps/>
          <w:sz w:val="20"/>
          <w:szCs w:val="20"/>
        </w:rPr>
      </w:pPr>
    </w:p>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D842C00"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98C2BC"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9737741" w14:textId="77777777" w:rsidR="008F058E" w:rsidRPr="00B852A8" w:rsidRDefault="008F058E" w:rsidP="008F058E">
      <w:pPr>
        <w:spacing w:after="240" w:line="360" w:lineRule="auto"/>
        <w:contextualSpacing/>
        <w:rPr>
          <w:rFonts w:ascii="Arial" w:hAnsi="Arial" w:cs="Arial"/>
          <w:sz w:val="20"/>
          <w:szCs w:val="20"/>
        </w:rPr>
      </w:pPr>
    </w:p>
    <w:p w14:paraId="3DB2EFB6" w14:textId="77777777" w:rsidR="008F058E" w:rsidRPr="00B852A8" w:rsidRDefault="008F058E" w:rsidP="008F058E">
      <w:pPr>
        <w:spacing w:after="240" w:line="360" w:lineRule="auto"/>
        <w:contextualSpacing/>
        <w:rPr>
          <w:rFonts w:ascii="Arial" w:hAnsi="Arial" w:cs="Arial"/>
          <w:sz w:val="20"/>
          <w:szCs w:val="20"/>
        </w:rPr>
      </w:pPr>
    </w:p>
    <w:p w14:paraId="4B8E8452"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5771A1A"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53128E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9FA9DA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6DD49F" w14:textId="653DB1BF" w:rsidR="008F058E" w:rsidRDefault="008F058E" w:rsidP="008F058E">
      <w:pPr>
        <w:autoSpaceDE w:val="0"/>
        <w:autoSpaceDN w:val="0"/>
        <w:adjustRightInd w:val="0"/>
        <w:rPr>
          <w:rFonts w:ascii="Arial" w:eastAsia="Calibri" w:hAnsi="Arial" w:cs="Arial"/>
          <w:color w:val="000000"/>
          <w:sz w:val="20"/>
          <w:szCs w:val="20"/>
        </w:rPr>
      </w:pPr>
    </w:p>
    <w:p w14:paraId="0AD8DEBB"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0582C383" w14:textId="7F392092" w:rsidR="008F058E" w:rsidRDefault="008F058E" w:rsidP="008F058E">
      <w:pPr>
        <w:autoSpaceDE w:val="0"/>
        <w:autoSpaceDN w:val="0"/>
        <w:adjustRightInd w:val="0"/>
        <w:rPr>
          <w:rFonts w:ascii="Arial" w:eastAsia="Calibri" w:hAnsi="Arial" w:cs="Arial"/>
          <w:color w:val="000000"/>
          <w:sz w:val="20"/>
          <w:szCs w:val="20"/>
        </w:rPr>
      </w:pPr>
    </w:p>
    <w:p w14:paraId="4DA36E0F" w14:textId="11C21A61" w:rsidR="00322E81" w:rsidRDefault="00322E81" w:rsidP="008F058E">
      <w:pPr>
        <w:autoSpaceDE w:val="0"/>
        <w:autoSpaceDN w:val="0"/>
        <w:adjustRightInd w:val="0"/>
        <w:rPr>
          <w:rFonts w:ascii="Arial" w:eastAsia="Calibri" w:hAnsi="Arial" w:cs="Arial"/>
          <w:color w:val="000000"/>
          <w:sz w:val="20"/>
          <w:szCs w:val="20"/>
        </w:rPr>
      </w:pPr>
    </w:p>
    <w:p w14:paraId="5E7AC86A"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lastRenderedPageBreak/>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any municipality or municipal entity;</w:t>
      </w:r>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provincial legislature;</w:t>
      </w:r>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presently employed by the state?</w:t>
      </w:r>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Name of person / director / trustee / shareholder/ member:….....................</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lastRenderedPageBreak/>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21A51C0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5630535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16F9150F"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6CA990A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401E4276"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684D3E0C"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76523DBB"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4C1713F0"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2C64B255"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2E1A400C" w14:textId="77777777" w:rsidR="008F058E" w:rsidRPr="00B852A8" w:rsidRDefault="008F058E">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30114844" r:id="rId13"/>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2.25pt;height:33.75pt" o:ole="" fillcolor="window">
            <v:imagedata r:id="rId14" o:title=""/>
          </v:shape>
          <o:OLEObject Type="Embed" ProgID="Equation.3" ShapeID="_x0000_i1026" DrawAspect="Content" ObjectID="_1730114845" r:id="rId15"/>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5529C511"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19A19C42"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67F4549C"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433212D4"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7309307F"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42965E0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3A2C85E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91AC171"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727BFEEA"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19EF424F"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ACF8860"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disqualify the person from the bidding process;</w:t>
      </w:r>
    </w:p>
    <w:p w14:paraId="714683D5"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393C6F1A"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cancel the contract and claim any damages which it has suffered as a result of having to make less favourable arrangements due to such cancellation;</w:t>
      </w:r>
    </w:p>
    <w:p w14:paraId="5E7F0180"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333E24E1" w14:textId="72198FFF" w:rsidR="0087390A" w:rsidRDefault="0087390A" w:rsidP="008F058E">
      <w:pPr>
        <w:rPr>
          <w:rFonts w:ascii="Arial" w:hAnsi="Arial" w:cs="Arial"/>
          <w:sz w:val="20"/>
          <w:szCs w:val="20"/>
          <w:lang w:val="en-GB"/>
        </w:rPr>
      </w:pPr>
    </w:p>
    <w:p w14:paraId="59B615AF" w14:textId="396AB1B7" w:rsidR="0087390A" w:rsidRDefault="0087390A" w:rsidP="008F058E">
      <w:pPr>
        <w:rPr>
          <w:rFonts w:ascii="Arial" w:hAnsi="Arial" w:cs="Arial"/>
          <w:sz w:val="20"/>
          <w:szCs w:val="20"/>
          <w:lang w:val="en-GB"/>
        </w:rPr>
      </w:pPr>
    </w:p>
    <w:p w14:paraId="4D309CD6" w14:textId="5CFD9209" w:rsidR="0087390A" w:rsidRDefault="0087390A" w:rsidP="008F058E">
      <w:pPr>
        <w:rPr>
          <w:rFonts w:ascii="Arial" w:hAnsi="Arial" w:cs="Arial"/>
          <w:sz w:val="20"/>
          <w:szCs w:val="20"/>
          <w:lang w:val="en-GB"/>
        </w:rPr>
      </w:pPr>
    </w:p>
    <w:p w14:paraId="06D84A60" w14:textId="32A9F5F4" w:rsidR="0087390A" w:rsidRDefault="0087390A" w:rsidP="008F058E">
      <w:pPr>
        <w:rPr>
          <w:rFonts w:ascii="Arial" w:hAnsi="Arial" w:cs="Arial"/>
          <w:sz w:val="20"/>
          <w:szCs w:val="20"/>
          <w:lang w:val="en-GB"/>
        </w:rPr>
      </w:pPr>
    </w:p>
    <w:p w14:paraId="3D4D6A82" w14:textId="5DFBC109" w:rsidR="0087390A" w:rsidRDefault="0087390A" w:rsidP="008F058E">
      <w:pPr>
        <w:rPr>
          <w:rFonts w:ascii="Arial" w:hAnsi="Arial" w:cs="Arial"/>
          <w:sz w:val="20"/>
          <w:szCs w:val="20"/>
          <w:lang w:val="en-GB"/>
        </w:rPr>
      </w:pPr>
    </w:p>
    <w:p w14:paraId="1E295EDF" w14:textId="34295A5E" w:rsidR="0087390A" w:rsidRDefault="0087390A" w:rsidP="008F058E">
      <w:pPr>
        <w:rPr>
          <w:rFonts w:ascii="Arial" w:hAnsi="Arial" w:cs="Arial"/>
          <w:sz w:val="20"/>
          <w:szCs w:val="20"/>
          <w:lang w:val="en-GB"/>
        </w:rPr>
      </w:pPr>
    </w:p>
    <w:p w14:paraId="317C9B52" w14:textId="145F6418" w:rsidR="0087390A" w:rsidRDefault="0087390A" w:rsidP="008F058E">
      <w:pPr>
        <w:rPr>
          <w:rFonts w:ascii="Arial" w:hAnsi="Arial" w:cs="Arial"/>
          <w:sz w:val="20"/>
          <w:szCs w:val="20"/>
          <w:lang w:val="en-GB"/>
        </w:rPr>
      </w:pPr>
    </w:p>
    <w:p w14:paraId="2A8FB540" w14:textId="66292B7E" w:rsidR="0087390A" w:rsidRDefault="0087390A" w:rsidP="008F058E">
      <w:pPr>
        <w:rPr>
          <w:rFonts w:ascii="Arial" w:hAnsi="Arial" w:cs="Arial"/>
          <w:sz w:val="20"/>
          <w:szCs w:val="20"/>
          <w:lang w:val="en-GB"/>
        </w:rPr>
      </w:pPr>
    </w:p>
    <w:p w14:paraId="54767968" w14:textId="601C758D" w:rsidR="0087390A" w:rsidRDefault="0087390A" w:rsidP="008F058E">
      <w:pPr>
        <w:rPr>
          <w:rFonts w:ascii="Arial" w:hAnsi="Arial" w:cs="Arial"/>
          <w:sz w:val="20"/>
          <w:szCs w:val="20"/>
          <w:lang w:val="en-GB"/>
        </w:rPr>
      </w:pPr>
    </w:p>
    <w:p w14:paraId="3ED69C35" w14:textId="4A336C01" w:rsidR="0087390A" w:rsidRDefault="0087390A" w:rsidP="008F058E">
      <w:pPr>
        <w:rPr>
          <w:rFonts w:ascii="Arial" w:hAnsi="Arial" w:cs="Arial"/>
          <w:sz w:val="20"/>
          <w:szCs w:val="20"/>
          <w:lang w:val="en-GB"/>
        </w:rPr>
      </w:pPr>
    </w:p>
    <w:p w14:paraId="31C33888" w14:textId="295C8EE7" w:rsidR="0087390A" w:rsidRDefault="0087390A" w:rsidP="008F058E">
      <w:pPr>
        <w:rPr>
          <w:rFonts w:ascii="Arial" w:hAnsi="Arial" w:cs="Arial"/>
          <w:sz w:val="20"/>
          <w:szCs w:val="20"/>
          <w:lang w:val="en-GB"/>
        </w:rPr>
      </w:pPr>
    </w:p>
    <w:p w14:paraId="5EE2F10F" w14:textId="4346AEAE" w:rsidR="0087390A" w:rsidRDefault="0087390A" w:rsidP="008F058E">
      <w:pPr>
        <w:rPr>
          <w:rFonts w:ascii="Arial" w:hAnsi="Arial" w:cs="Arial"/>
          <w:sz w:val="20"/>
          <w:szCs w:val="20"/>
          <w:lang w:val="en-GB"/>
        </w:rPr>
      </w:pPr>
    </w:p>
    <w:p w14:paraId="09A82813" w14:textId="131612BC" w:rsidR="0087390A" w:rsidRDefault="0087390A" w:rsidP="008F058E">
      <w:pPr>
        <w:rPr>
          <w:rFonts w:ascii="Arial" w:hAnsi="Arial" w:cs="Arial"/>
          <w:sz w:val="20"/>
          <w:szCs w:val="20"/>
          <w:lang w:val="en-GB"/>
        </w:rPr>
      </w:pPr>
    </w:p>
    <w:p w14:paraId="01E84EDE" w14:textId="77777777" w:rsidR="0087390A" w:rsidRPr="00B852A8" w:rsidRDefault="0087390A" w:rsidP="008F058E">
      <w:pPr>
        <w:rPr>
          <w:rFonts w:ascii="Arial" w:hAnsi="Arial" w:cs="Arial"/>
          <w:sz w:val="20"/>
          <w:szCs w:val="20"/>
          <w:lang w:val="en-GB"/>
        </w:rPr>
      </w:pPr>
    </w:p>
    <w:p w14:paraId="6DA128E5" w14:textId="5AAAC935" w:rsidR="00E661A6" w:rsidRPr="00B852A8" w:rsidRDefault="00E661A6"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9"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0"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4DD7E031" w14:textId="77777777" w:rsidR="00500B89" w:rsidRPr="00B852A8" w:rsidRDefault="00500B89">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DC08400" w14:textId="77777777" w:rsidR="00500B89" w:rsidRPr="00B852A8" w:rsidRDefault="00500B89">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w:t>
      </w:r>
      <w:r w:rsidRPr="00B852A8">
        <w:rPr>
          <w:rFonts w:ascii="Arial" w:hAnsi="Arial" w:cs="Arial"/>
          <w:sz w:val="20"/>
          <w:szCs w:val="20"/>
        </w:rPr>
        <w:lastRenderedPageBreak/>
        <w:t>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 xml:space="preserve">4.1 If yes, the rate(s) of exchange to be used in this bid to calculate the local content as prescribed in paragraph 1.6 of the general conditions must be the rate(s) published by </w:t>
      </w:r>
      <w:r w:rsidRPr="00B852A8">
        <w:rPr>
          <w:rFonts w:ascii="Arial" w:hAnsi="Arial" w:cs="Arial"/>
          <w:sz w:val="20"/>
          <w:szCs w:val="20"/>
        </w:rPr>
        <w:lastRenderedPageBreak/>
        <w:t>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1">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7BFB226E" w14:textId="6C64C77A" w:rsidR="001B10F8" w:rsidRPr="00B852A8" w:rsidRDefault="001B10F8" w:rsidP="008F058E">
      <w:pPr>
        <w:rPr>
          <w:rFonts w:ascii="Arial" w:hAnsi="Arial" w:cs="Arial"/>
          <w:sz w:val="20"/>
          <w:szCs w:val="20"/>
          <w:lang w:val="en-GB"/>
        </w:rPr>
      </w:pPr>
    </w:p>
    <w:p w14:paraId="7145745A" w14:textId="108D833B" w:rsidR="001B10F8" w:rsidRPr="00B852A8" w:rsidRDefault="001B10F8" w:rsidP="008F058E">
      <w:pPr>
        <w:rPr>
          <w:rFonts w:ascii="Arial" w:hAnsi="Arial" w:cs="Arial"/>
          <w:sz w:val="20"/>
          <w:szCs w:val="20"/>
          <w:lang w:val="en-GB"/>
        </w:rPr>
      </w:pPr>
    </w:p>
    <w:p w14:paraId="1FF01C84" w14:textId="5982C2A0"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1A74AD07"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2"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0" w:name="Check2"/>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0"/>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1" w:name="Check3"/>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3"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2" w:name="Check1"/>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3" w:name="Check4"/>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4" w:name="Check8"/>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5" w:name="Check7"/>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I, THE UNDERSIGNED (FULL NAME)…………………………………………………CERTIFY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lastRenderedPageBreak/>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lastRenderedPageBreak/>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5793F426"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620A302B"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3BE6BDB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1E08ABA9"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1A0954ED" w14:textId="77777777" w:rsidR="008F058E" w:rsidRPr="00B852A8" w:rsidRDefault="008F058E">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730BCAB5" w14:textId="77777777" w:rsidR="008F058E" w:rsidRPr="00B852A8" w:rsidRDefault="008F058E">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lastRenderedPageBreak/>
        <w:t xml:space="preserve">(c) </w:t>
      </w:r>
      <w:r w:rsidRPr="00B852A8">
        <w:rPr>
          <w:rFonts w:ascii="Arial" w:hAnsi="Arial" w:cs="Arial"/>
          <w:color w:val="000000"/>
          <w:sz w:val="20"/>
          <w:szCs w:val="20"/>
        </w:rPr>
        <w:tab/>
        <w:t>methods, factors or formulas used to calculate prices;</w:t>
      </w:r>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49682CB"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D2477CB" w14:textId="3B147C9D"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FD7305" w14:textId="65325471"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6DE53C8" w14:textId="2A410C9B"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C8D4DD5" w14:textId="73EFAEB4"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D0E36C9" w14:textId="77777777"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10349" w:type="dxa"/>
        <w:tblInd w:w="-431" w:type="dxa"/>
        <w:tblLook w:val="04A0" w:firstRow="1" w:lastRow="0" w:firstColumn="1" w:lastColumn="0" w:noHBand="0" w:noVBand="1"/>
      </w:tblPr>
      <w:tblGrid>
        <w:gridCol w:w="10349"/>
      </w:tblGrid>
      <w:tr w:rsidR="008F058E" w:rsidRPr="00B852A8" w14:paraId="655753D6" w14:textId="77777777" w:rsidTr="006B26DB">
        <w:trPr>
          <w:trHeight w:val="6459"/>
        </w:trPr>
        <w:tc>
          <w:tcPr>
            <w:tcW w:w="10349"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0F18" w14:textId="77777777" w:rsidR="000A005A" w:rsidRDefault="000A005A">
      <w:r>
        <w:separator/>
      </w:r>
    </w:p>
  </w:endnote>
  <w:endnote w:type="continuationSeparator" w:id="0">
    <w:p w14:paraId="4C361136" w14:textId="77777777" w:rsidR="000A005A" w:rsidRDefault="000A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25F9" w14:textId="77777777" w:rsidR="000A005A" w:rsidRDefault="000A005A">
      <w:r>
        <w:separator/>
      </w:r>
    </w:p>
  </w:footnote>
  <w:footnote w:type="continuationSeparator" w:id="0">
    <w:p w14:paraId="3F3792AB" w14:textId="77777777" w:rsidR="000A005A" w:rsidRDefault="000A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1C181C"/>
    <w:multiLevelType w:val="hybridMultilevel"/>
    <w:tmpl w:val="23B2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8"/>
  </w:num>
  <w:num w:numId="2" w16cid:durableId="442771827">
    <w:abstractNumId w:val="21"/>
  </w:num>
  <w:num w:numId="3" w16cid:durableId="1921209517">
    <w:abstractNumId w:val="16"/>
  </w:num>
  <w:num w:numId="4" w16cid:durableId="1518735963">
    <w:abstractNumId w:val="13"/>
  </w:num>
  <w:num w:numId="5" w16cid:durableId="913854445">
    <w:abstractNumId w:val="22"/>
  </w:num>
  <w:num w:numId="6" w16cid:durableId="2139226348">
    <w:abstractNumId w:val="31"/>
  </w:num>
  <w:num w:numId="7" w16cid:durableId="307370665">
    <w:abstractNumId w:val="35"/>
  </w:num>
  <w:num w:numId="8" w16cid:durableId="1795056360">
    <w:abstractNumId w:val="0"/>
  </w:num>
  <w:num w:numId="9" w16cid:durableId="364141503">
    <w:abstractNumId w:val="7"/>
  </w:num>
  <w:num w:numId="10" w16cid:durableId="1370763381">
    <w:abstractNumId w:val="32"/>
  </w:num>
  <w:num w:numId="11" w16cid:durableId="70003411">
    <w:abstractNumId w:val="24"/>
  </w:num>
  <w:num w:numId="12" w16cid:durableId="423770064">
    <w:abstractNumId w:val="11"/>
  </w:num>
  <w:num w:numId="13" w16cid:durableId="1146820766">
    <w:abstractNumId w:val="15"/>
  </w:num>
  <w:num w:numId="14" w16cid:durableId="492911783">
    <w:abstractNumId w:val="28"/>
  </w:num>
  <w:num w:numId="15" w16cid:durableId="131757996">
    <w:abstractNumId w:val="27"/>
  </w:num>
  <w:num w:numId="16" w16cid:durableId="1937207030">
    <w:abstractNumId w:val="20"/>
  </w:num>
  <w:num w:numId="17" w16cid:durableId="1551072971">
    <w:abstractNumId w:val="6"/>
  </w:num>
  <w:num w:numId="18" w16cid:durableId="1159731320">
    <w:abstractNumId w:val="10"/>
  </w:num>
  <w:num w:numId="19" w16cid:durableId="316614211">
    <w:abstractNumId w:val="19"/>
  </w:num>
  <w:num w:numId="20" w16cid:durableId="1900945343">
    <w:abstractNumId w:val="30"/>
  </w:num>
  <w:num w:numId="21" w16cid:durableId="1670937529">
    <w:abstractNumId w:val="33"/>
  </w:num>
  <w:num w:numId="22" w16cid:durableId="1132019190">
    <w:abstractNumId w:val="12"/>
  </w:num>
  <w:num w:numId="23" w16cid:durableId="538782040">
    <w:abstractNumId w:val="1"/>
  </w:num>
  <w:num w:numId="24" w16cid:durableId="1293901624">
    <w:abstractNumId w:val="3"/>
  </w:num>
  <w:num w:numId="25" w16cid:durableId="623997293">
    <w:abstractNumId w:val="23"/>
  </w:num>
  <w:num w:numId="26" w16cid:durableId="1309743173">
    <w:abstractNumId w:val="29"/>
  </w:num>
  <w:num w:numId="27" w16cid:durableId="994338658">
    <w:abstractNumId w:val="5"/>
  </w:num>
  <w:num w:numId="28" w16cid:durableId="1316030623">
    <w:abstractNumId w:val="17"/>
  </w:num>
  <w:num w:numId="29" w16cid:durableId="1585648528">
    <w:abstractNumId w:val="14"/>
  </w:num>
  <w:num w:numId="30" w16cid:durableId="2145540408">
    <w:abstractNumId w:val="25"/>
  </w:num>
  <w:num w:numId="31" w16cid:durableId="1637565747">
    <w:abstractNumId w:val="26"/>
  </w:num>
  <w:num w:numId="32" w16cid:durableId="2028170970">
    <w:abstractNumId w:val="2"/>
  </w:num>
  <w:num w:numId="33" w16cid:durableId="278921772">
    <w:abstractNumId w:val="18"/>
  </w:num>
  <w:num w:numId="34" w16cid:durableId="548539386">
    <w:abstractNumId w:val="9"/>
  </w:num>
  <w:num w:numId="35" w16cid:durableId="1565025457">
    <w:abstractNumId w:val="34"/>
  </w:num>
  <w:num w:numId="36" w16cid:durableId="3847772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33F85"/>
    <w:rsid w:val="00047945"/>
    <w:rsid w:val="0007352C"/>
    <w:rsid w:val="00075356"/>
    <w:rsid w:val="0008657F"/>
    <w:rsid w:val="00096636"/>
    <w:rsid w:val="00097BD1"/>
    <w:rsid w:val="000A005A"/>
    <w:rsid w:val="000A2815"/>
    <w:rsid w:val="000E37D0"/>
    <w:rsid w:val="000F1895"/>
    <w:rsid w:val="00106615"/>
    <w:rsid w:val="00177017"/>
    <w:rsid w:val="001953F1"/>
    <w:rsid w:val="001B10F8"/>
    <w:rsid w:val="001C2D4A"/>
    <w:rsid w:val="001C391D"/>
    <w:rsid w:val="001E0615"/>
    <w:rsid w:val="001F19A0"/>
    <w:rsid w:val="00201256"/>
    <w:rsid w:val="00201BE9"/>
    <w:rsid w:val="00220117"/>
    <w:rsid w:val="002373B2"/>
    <w:rsid w:val="00282D06"/>
    <w:rsid w:val="00284D2F"/>
    <w:rsid w:val="002A0E08"/>
    <w:rsid w:val="002D4CE4"/>
    <w:rsid w:val="002E0047"/>
    <w:rsid w:val="002E4C2E"/>
    <w:rsid w:val="002F0C01"/>
    <w:rsid w:val="00300314"/>
    <w:rsid w:val="00322E81"/>
    <w:rsid w:val="0032471B"/>
    <w:rsid w:val="00334FA5"/>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A1719"/>
    <w:rsid w:val="004B44C4"/>
    <w:rsid w:val="00500B89"/>
    <w:rsid w:val="00506299"/>
    <w:rsid w:val="00527A0C"/>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8B4"/>
    <w:rsid w:val="00671D7E"/>
    <w:rsid w:val="006830FF"/>
    <w:rsid w:val="006A202E"/>
    <w:rsid w:val="006B1517"/>
    <w:rsid w:val="006B26DB"/>
    <w:rsid w:val="006B4D0F"/>
    <w:rsid w:val="006F1BDF"/>
    <w:rsid w:val="006F65E2"/>
    <w:rsid w:val="00732570"/>
    <w:rsid w:val="0073328E"/>
    <w:rsid w:val="00744B07"/>
    <w:rsid w:val="0075013C"/>
    <w:rsid w:val="00751F50"/>
    <w:rsid w:val="00761EF4"/>
    <w:rsid w:val="00764DD5"/>
    <w:rsid w:val="00771F7B"/>
    <w:rsid w:val="00782748"/>
    <w:rsid w:val="00811C0C"/>
    <w:rsid w:val="008374DD"/>
    <w:rsid w:val="00837F0C"/>
    <w:rsid w:val="0087390A"/>
    <w:rsid w:val="008B28FD"/>
    <w:rsid w:val="008D2D9C"/>
    <w:rsid w:val="008E3620"/>
    <w:rsid w:val="008F058E"/>
    <w:rsid w:val="009031C9"/>
    <w:rsid w:val="00951FA8"/>
    <w:rsid w:val="009646C5"/>
    <w:rsid w:val="00974296"/>
    <w:rsid w:val="009A1821"/>
    <w:rsid w:val="00A00D33"/>
    <w:rsid w:val="00A154E6"/>
    <w:rsid w:val="00A22CEF"/>
    <w:rsid w:val="00A321D8"/>
    <w:rsid w:val="00A65697"/>
    <w:rsid w:val="00AB720E"/>
    <w:rsid w:val="00B121E3"/>
    <w:rsid w:val="00B20812"/>
    <w:rsid w:val="00B64D48"/>
    <w:rsid w:val="00B806BF"/>
    <w:rsid w:val="00B852A8"/>
    <w:rsid w:val="00B87B94"/>
    <w:rsid w:val="00BF0094"/>
    <w:rsid w:val="00BF41EC"/>
    <w:rsid w:val="00C01B81"/>
    <w:rsid w:val="00C06B12"/>
    <w:rsid w:val="00C07E98"/>
    <w:rsid w:val="00C25E0A"/>
    <w:rsid w:val="00C26094"/>
    <w:rsid w:val="00C42DB6"/>
    <w:rsid w:val="00C6596F"/>
    <w:rsid w:val="00C84995"/>
    <w:rsid w:val="00C97AB5"/>
    <w:rsid w:val="00CA6099"/>
    <w:rsid w:val="00CD0505"/>
    <w:rsid w:val="00CE43EA"/>
    <w:rsid w:val="00D12483"/>
    <w:rsid w:val="00D2074D"/>
    <w:rsid w:val="00D30AB7"/>
    <w:rsid w:val="00D4283A"/>
    <w:rsid w:val="00D52DF4"/>
    <w:rsid w:val="00D572D6"/>
    <w:rsid w:val="00DD33CC"/>
    <w:rsid w:val="00E0434E"/>
    <w:rsid w:val="00E20864"/>
    <w:rsid w:val="00E661A6"/>
    <w:rsid w:val="00E67070"/>
    <w:rsid w:val="00EB2EE4"/>
    <w:rsid w:val="00EC1A69"/>
    <w:rsid w:val="00EE6BBB"/>
    <w:rsid w:val="00EF10D7"/>
    <w:rsid w:val="00F30F7E"/>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D3AB7E-9EEC-4CA0-AF6D-0AE0C61E0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11546</Words>
  <Characters>65815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3</cp:revision>
  <dcterms:created xsi:type="dcterms:W3CDTF">2022-11-16T12:39:00Z</dcterms:created>
  <dcterms:modified xsi:type="dcterms:W3CDTF">2022-11-16T12:41:00Z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