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6020D" w:rsidR="00562A3E" w:rsidP="00CD7E0E" w:rsidRDefault="00562A3E" w14:paraId="714AB0C5" w14:textId="77777777">
      <w:pPr>
        <w:spacing w:after="0" w:line="240" w:lineRule="auto"/>
        <w:rPr>
          <w:rFonts w:ascii="Arial" w:hAnsi="Arial" w:eastAsia="Calibri" w:cs="Arial"/>
          <w:b/>
          <w:bCs/>
          <w:sz w:val="28"/>
          <w:szCs w:val="28"/>
        </w:rPr>
        <w:pPrChange w:author="Masilu Kgofelo" w:date="2026-06-11T14:45:00Z" w16du:dateUtc="2026-06-11T12:45:00Z" w:id="0">
          <w:pPr>
            <w:keepNext/>
            <w:spacing w:after="0" w:line="240" w:lineRule="auto"/>
            <w:ind w:right="562"/>
            <w:outlineLvl w:val="2"/>
          </w:pPr>
        </w:pPrChange>
      </w:pPr>
      <w:bookmarkStart w:name="_Toc228794965" w:id="1"/>
      <w:r w:rsidRPr="00D6020D">
        <w:rPr>
          <w:rFonts w:ascii="Arial" w:hAnsi="Arial" w:eastAsia="Calibri" w:cs="Arial"/>
          <w:b/>
          <w:bCs/>
          <w:sz w:val="28"/>
          <w:szCs w:val="28"/>
        </w:rPr>
        <w:t>Annexure B: Format for fee proposal (Pricing Example)</w:t>
      </w:r>
      <w:bookmarkEnd w:id="1"/>
    </w:p>
    <w:p w:rsidRPr="00D6020D" w:rsidR="00562A3E" w:rsidP="00562A3E" w:rsidRDefault="00562A3E" w14:paraId="596C78EA" w14:textId="77777777">
      <w:pPr>
        <w:spacing w:after="0" w:line="240" w:lineRule="auto"/>
        <w:rPr>
          <w:rFonts w:ascii="Arial" w:hAnsi="Arial" w:eastAsia="Calibri" w:cs="Arial"/>
          <w:b/>
          <w:bCs/>
        </w:rPr>
      </w:pPr>
    </w:p>
    <w:p w:rsidRPr="00D6020D" w:rsidR="004C353D" w:rsidP="00DA6991" w:rsidRDefault="00036214" w14:paraId="658D3730" w14:textId="11C3F1A6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eastAsia="Calibri" w:cs="Arial"/>
        </w:rPr>
      </w:pPr>
      <w:r w:rsidRPr="00D6020D">
        <w:rPr>
          <w:rFonts w:ascii="Arial" w:hAnsi="Arial" w:eastAsia="Calibri" w:cs="Arial"/>
        </w:rPr>
        <w:t xml:space="preserve">Bidders are required to submit their fee schedule (quotation) using the example below as a basis (the quotation must be on the letterhead of the bidder). </w:t>
      </w:r>
      <w:r w:rsidRPr="00D6020D" w:rsidR="00287A69">
        <w:rPr>
          <w:rFonts w:ascii="Arial" w:hAnsi="Arial" w:eastAsia="Calibri" w:cs="Arial"/>
          <w:b/>
          <w:bCs/>
          <w:color w:val="EE0000"/>
        </w:rPr>
        <w:t xml:space="preserve">Bidders are allowed to use their own </w:t>
      </w:r>
      <w:r w:rsidRPr="00D6020D" w:rsidR="00560B08">
        <w:rPr>
          <w:rFonts w:ascii="Arial" w:hAnsi="Arial" w:eastAsia="Calibri" w:cs="Arial"/>
          <w:b/>
          <w:bCs/>
          <w:color w:val="EE0000"/>
        </w:rPr>
        <w:t xml:space="preserve">quotation template, </w:t>
      </w:r>
      <w:r w:rsidRPr="00D6020D" w:rsidR="006541BE">
        <w:rPr>
          <w:rFonts w:ascii="Arial" w:hAnsi="Arial" w:eastAsia="Calibri" w:cs="Arial"/>
          <w:b/>
          <w:bCs/>
          <w:color w:val="EE0000"/>
        </w:rPr>
        <w:t>but</w:t>
      </w:r>
      <w:r w:rsidRPr="00D6020D" w:rsidR="00560B08">
        <w:rPr>
          <w:rFonts w:ascii="Arial" w:hAnsi="Arial" w:eastAsia="Calibri" w:cs="Arial"/>
          <w:b/>
          <w:bCs/>
          <w:color w:val="EE0000"/>
        </w:rPr>
        <w:t xml:space="preserve"> such quotation must include </w:t>
      </w:r>
      <w:r w:rsidRPr="00D6020D" w:rsidR="00693E08">
        <w:rPr>
          <w:rFonts w:ascii="Arial" w:hAnsi="Arial" w:eastAsia="Calibri" w:cs="Arial"/>
          <w:b/>
          <w:bCs/>
          <w:color w:val="EE0000"/>
        </w:rPr>
        <w:t>items indicated</w:t>
      </w:r>
      <w:r w:rsidRPr="00D6020D" w:rsidR="001406D1">
        <w:rPr>
          <w:rFonts w:ascii="Arial" w:hAnsi="Arial" w:eastAsia="Calibri" w:cs="Arial"/>
          <w:b/>
          <w:bCs/>
          <w:color w:val="EE0000"/>
        </w:rPr>
        <w:t xml:space="preserve"> as per the </w:t>
      </w:r>
      <w:r w:rsidRPr="00D6020D" w:rsidR="006541BE">
        <w:rPr>
          <w:rFonts w:ascii="Arial" w:hAnsi="Arial" w:eastAsia="Calibri" w:cs="Arial"/>
          <w:b/>
          <w:bCs/>
          <w:color w:val="EE0000"/>
        </w:rPr>
        <w:t>table herewith.</w:t>
      </w:r>
      <w:r w:rsidRPr="00D6020D" w:rsidR="006541BE">
        <w:rPr>
          <w:rFonts w:ascii="Arial" w:hAnsi="Arial" w:eastAsia="Calibri" w:cs="Arial"/>
        </w:rPr>
        <w:t xml:space="preserve"> </w:t>
      </w:r>
      <w:r w:rsidRPr="00D6020D">
        <w:rPr>
          <w:rFonts w:ascii="Arial" w:hAnsi="Arial" w:eastAsia="Calibri" w:cs="Arial"/>
        </w:rPr>
        <w:t>The proposed fee must include all costs for providing the goods and/or services to the ECIC as described in this bid. </w:t>
      </w:r>
    </w:p>
    <w:p w:rsidRPr="00D6020D" w:rsidR="004C353D" w:rsidP="004C353D" w:rsidRDefault="004C353D" w14:paraId="76F1A49C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</w:p>
    <w:p w:rsidRPr="00D6020D" w:rsidR="00562A3E" w:rsidP="00DA6991" w:rsidRDefault="00562A3E" w14:paraId="316792E2" w14:textId="758B2AB0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eastAsia="Calibri" w:cs="Arial"/>
        </w:rPr>
      </w:pPr>
      <w:r w:rsidRPr="00D6020D">
        <w:rPr>
          <w:rFonts w:ascii="Arial" w:hAnsi="Arial" w:eastAsia="Calibri" w:cs="Arial"/>
        </w:rPr>
        <w:t>Where a higher</w:t>
      </w:r>
      <w:r w:rsidRPr="00D6020D">
        <w:rPr>
          <w:rFonts w:ascii="Arial" w:hAnsi="Arial" w:eastAsia="Calibri" w:cs="Arial"/>
        </w:rPr>
        <w:noBreakHyphen/>
      </w:r>
      <w:r w:rsidRPr="00D6020D">
        <w:rPr>
          <w:rFonts w:ascii="Arial" w:hAnsi="Arial" w:eastAsia="Calibri" w:cs="Arial"/>
        </w:rPr>
        <w:t>tier CRM licence is more cost</w:t>
      </w:r>
      <w:r w:rsidRPr="00D6020D">
        <w:rPr>
          <w:rFonts w:ascii="Arial" w:hAnsi="Arial" w:eastAsia="Calibri" w:cs="Arial"/>
        </w:rPr>
        <w:noBreakHyphen/>
      </w:r>
      <w:r w:rsidRPr="00D6020D">
        <w:rPr>
          <w:rFonts w:ascii="Arial" w:hAnsi="Arial" w:eastAsia="Calibri" w:cs="Arial"/>
        </w:rPr>
        <w:t>effective and provides improved functionality without compromising quality, the bidder should indicate this in their proposal, rather than limiting the response to individualised or customised costing</w:t>
      </w:r>
      <w:r w:rsidRPr="00D6020D" w:rsidR="00DA6991">
        <w:rPr>
          <w:rFonts w:ascii="Arial" w:hAnsi="Arial" w:eastAsia="Calibri" w:cs="Arial"/>
        </w:rPr>
        <w:t xml:space="preserve">. </w:t>
      </w:r>
    </w:p>
    <w:p w:rsidRPr="00D6020D" w:rsidR="00DA6991" w:rsidP="00DA6991" w:rsidRDefault="00DA6991" w14:paraId="07DD670E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</w:p>
    <w:tbl>
      <w:tblPr>
        <w:tblStyle w:val="TableGrid"/>
        <w:tblW w:w="14033" w:type="dxa"/>
        <w:tblInd w:w="704" w:type="dxa"/>
        <w:tblLook w:val="04A0" w:firstRow="1" w:lastRow="0" w:firstColumn="1" w:lastColumn="0" w:noHBand="0" w:noVBand="1"/>
      </w:tblPr>
      <w:tblGrid>
        <w:gridCol w:w="3827"/>
        <w:gridCol w:w="2410"/>
        <w:gridCol w:w="1559"/>
        <w:gridCol w:w="1276"/>
        <w:gridCol w:w="1559"/>
        <w:gridCol w:w="1276"/>
        <w:gridCol w:w="2126"/>
      </w:tblGrid>
      <w:tr w:rsidRPr="00D6020D" w:rsidR="00764861" w:rsidTr="00BE5ABC" w14:paraId="47A322F2" w14:textId="77777777">
        <w:trPr>
          <w:tblHeader/>
        </w:trPr>
        <w:tc>
          <w:tcPr>
            <w:tcW w:w="3827" w:type="dxa"/>
            <w:vMerge w:val="restart"/>
            <w:shd w:val="clear" w:color="auto" w:fill="002060"/>
          </w:tcPr>
          <w:p w:rsidRPr="00D6020D" w:rsidR="00764861" w:rsidP="00BE5ABC" w:rsidRDefault="00764861" w14:paraId="177802DC" w14:textId="77777777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Rates Description</w:t>
            </w:r>
          </w:p>
        </w:tc>
        <w:tc>
          <w:tcPr>
            <w:tcW w:w="2410" w:type="dxa"/>
            <w:shd w:val="clear" w:color="auto" w:fill="002060"/>
          </w:tcPr>
          <w:p w:rsidRPr="00D6020D" w:rsidR="00764861" w:rsidDel="0022696F" w:rsidP="009F0D3D" w:rsidRDefault="00764861" w14:paraId="3EBAD61E" w14:textId="1522602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Where Applicable</w:t>
            </w:r>
          </w:p>
        </w:tc>
        <w:tc>
          <w:tcPr>
            <w:tcW w:w="4394" w:type="dxa"/>
            <w:gridSpan w:val="3"/>
            <w:shd w:val="clear" w:color="auto" w:fill="002060"/>
          </w:tcPr>
          <w:p w:rsidRPr="00D6020D" w:rsidR="00764861" w:rsidP="00B16E71" w:rsidRDefault="00764861" w14:paraId="1A87CBEC" w14:textId="6513AC03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Total (Exc. VAT)</w:t>
            </w:r>
          </w:p>
        </w:tc>
        <w:tc>
          <w:tcPr>
            <w:tcW w:w="1276" w:type="dxa"/>
            <w:vMerge w:val="restart"/>
            <w:shd w:val="clear" w:color="auto" w:fill="002060"/>
          </w:tcPr>
          <w:p w:rsidRPr="00D6020D" w:rsidR="00764861" w:rsidP="00BE5ABC" w:rsidRDefault="00764861" w14:paraId="66A6D06F" w14:textId="77777777">
            <w:pPr>
              <w:jc w:val="right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Total (Incl. VAT)</w:t>
            </w:r>
          </w:p>
        </w:tc>
        <w:tc>
          <w:tcPr>
            <w:tcW w:w="2126" w:type="dxa"/>
            <w:vMerge w:val="restart"/>
            <w:shd w:val="clear" w:color="auto" w:fill="002060"/>
          </w:tcPr>
          <w:p w:rsidRPr="00D6020D" w:rsidR="00764861" w:rsidP="00064085" w:rsidRDefault="00764861" w14:paraId="289718E7" w14:textId="3ADA8DB1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Comments</w:t>
            </w:r>
            <w:r w:rsidRPr="00D6020D" w:rsidR="00064085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(where applicable)</w:t>
            </w:r>
          </w:p>
        </w:tc>
      </w:tr>
      <w:tr w:rsidRPr="00D6020D" w:rsidR="00764861" w:rsidTr="006541BE" w14:paraId="23782DB5" w14:textId="77777777">
        <w:trPr>
          <w:tblHeader/>
        </w:trPr>
        <w:tc>
          <w:tcPr>
            <w:tcW w:w="3827" w:type="dxa"/>
            <w:vMerge/>
            <w:shd w:val="clear" w:color="auto" w:fill="002060"/>
          </w:tcPr>
          <w:p w:rsidRPr="00D6020D" w:rsidR="00764861" w:rsidP="00BE5ABC" w:rsidRDefault="00764861" w14:paraId="08FBED3A" w14:textId="77777777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gridSpan w:val="2"/>
            <w:shd w:val="clear" w:color="auto" w:fill="002060"/>
          </w:tcPr>
          <w:p w:rsidRPr="00D6020D" w:rsidR="00764861" w:rsidP="00B16E71" w:rsidRDefault="00764861" w14:paraId="7D9F145D" w14:textId="4A1D2F6B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Licenses</w:t>
            </w:r>
          </w:p>
        </w:tc>
        <w:tc>
          <w:tcPr>
            <w:tcW w:w="2835" w:type="dxa"/>
            <w:gridSpan w:val="2"/>
            <w:shd w:val="clear" w:color="auto" w:fill="002060"/>
          </w:tcPr>
          <w:p w:rsidRPr="00D6020D" w:rsidR="00764861" w:rsidP="00B16E71" w:rsidRDefault="00764861" w14:paraId="70FE2BF1" w14:textId="2138BFA1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Labour/Implementation</w:t>
            </w:r>
          </w:p>
        </w:tc>
        <w:tc>
          <w:tcPr>
            <w:tcW w:w="1276" w:type="dxa"/>
            <w:vMerge/>
            <w:shd w:val="clear" w:color="auto" w:fill="002060"/>
          </w:tcPr>
          <w:p w:rsidRPr="00D6020D" w:rsidR="00764861" w:rsidP="00BE5ABC" w:rsidRDefault="00764861" w14:paraId="733FE14E" w14:textId="77777777">
            <w:pPr>
              <w:jc w:val="right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002060"/>
          </w:tcPr>
          <w:p w:rsidRPr="00D6020D" w:rsidR="00764861" w:rsidP="00B16E71" w:rsidRDefault="00764861" w14:paraId="74B3740E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Pr="00D6020D" w:rsidR="00764861" w:rsidTr="00BE5ABC" w14:paraId="2970DA34" w14:textId="77777777">
        <w:trPr>
          <w:tblHeader/>
        </w:trPr>
        <w:tc>
          <w:tcPr>
            <w:tcW w:w="3827" w:type="dxa"/>
            <w:vMerge/>
            <w:shd w:val="clear" w:color="auto" w:fill="002060"/>
          </w:tcPr>
          <w:p w:rsidRPr="00D6020D" w:rsidR="00764861" w:rsidP="00BE5ABC" w:rsidRDefault="00764861" w14:paraId="2511A6A6" w14:textId="77777777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shd w:val="clear" w:color="auto" w:fill="002060"/>
          </w:tcPr>
          <w:p w:rsidRPr="00D6020D" w:rsidR="00764861" w:rsidP="00F66394" w:rsidRDefault="00764861" w14:paraId="3132EB26" w14:textId="7929C141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1559" w:type="dxa"/>
            <w:shd w:val="clear" w:color="auto" w:fill="002060"/>
          </w:tcPr>
          <w:p w:rsidRPr="00D6020D" w:rsidR="00764861" w:rsidP="00F66394" w:rsidRDefault="00764861" w14:paraId="0973D72A" w14:textId="1DA0979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Unit Cost (R)</w:t>
            </w:r>
          </w:p>
        </w:tc>
        <w:tc>
          <w:tcPr>
            <w:tcW w:w="1276" w:type="dxa"/>
            <w:shd w:val="clear" w:color="auto" w:fill="002060"/>
          </w:tcPr>
          <w:p w:rsidRPr="00D6020D" w:rsidR="00764861" w:rsidP="00064085" w:rsidRDefault="00764861" w14:paraId="3C122F3D" w14:textId="5143739A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1559" w:type="dxa"/>
            <w:shd w:val="clear" w:color="auto" w:fill="002060"/>
          </w:tcPr>
          <w:p w:rsidRPr="00D6020D" w:rsidR="00764861" w:rsidP="00F66394" w:rsidRDefault="00764861" w14:paraId="20AB0DDB" w14:textId="0F12A133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Unit Cost (R)</w:t>
            </w:r>
          </w:p>
        </w:tc>
        <w:tc>
          <w:tcPr>
            <w:tcW w:w="1276" w:type="dxa"/>
            <w:vMerge/>
            <w:shd w:val="clear" w:color="auto" w:fill="002060"/>
          </w:tcPr>
          <w:p w:rsidRPr="00D6020D" w:rsidR="00764861" w:rsidP="00BE5ABC" w:rsidRDefault="00764861" w14:paraId="5F248677" w14:textId="77777777">
            <w:pPr>
              <w:jc w:val="right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Merge/>
            <w:shd w:val="clear" w:color="auto" w:fill="002060"/>
          </w:tcPr>
          <w:p w:rsidRPr="00D6020D" w:rsidR="00764861" w:rsidP="00F66394" w:rsidRDefault="00764861" w14:paraId="17476816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65977478" w14:textId="77777777">
        <w:tc>
          <w:tcPr>
            <w:tcW w:w="3827" w:type="dxa"/>
            <w:vAlign w:val="center"/>
          </w:tcPr>
          <w:p w:rsidRPr="00D6020D" w:rsidR="000623E9" w:rsidP="00BE5ABC" w:rsidRDefault="000623E9" w14:paraId="58806D43" w14:textId="035377C5">
            <w:pPr>
              <w:pStyle w:val="Default"/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color w:val="auto"/>
                <w:sz w:val="20"/>
                <w:szCs w:val="20"/>
                <w:lang w:eastAsia="en-GB"/>
              </w:rPr>
              <w:t>Phase 1</w:t>
            </w:r>
            <w:r w:rsidRPr="00D6020D">
              <w:rPr>
                <w:rFonts w:ascii="Arial" w:hAnsi="Arial" w:eastAsia="Times New Roman" w:cs="Arial"/>
                <w:color w:val="auto"/>
                <w:sz w:val="20"/>
                <w:szCs w:val="20"/>
                <w:lang w:eastAsia="en-GB"/>
              </w:rPr>
              <w:t xml:space="preserve"> Project initiation and project management (includes validation requirements, design and relevant documentation)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51EC8AE4" w14:textId="34267850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7A9927B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064085" w:rsidRDefault="000623E9" w14:paraId="009B4838" w14:textId="4CDAEEC9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9" w:type="dxa"/>
          </w:tcPr>
          <w:p w:rsidRPr="00D6020D" w:rsidR="000623E9" w:rsidP="00562A3E" w:rsidRDefault="000623E9" w14:paraId="4434C24E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620EF29A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727DF7C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1CB0A170" w14:textId="77777777">
        <w:tc>
          <w:tcPr>
            <w:tcW w:w="3827" w:type="dxa"/>
            <w:vAlign w:val="center"/>
          </w:tcPr>
          <w:p w:rsidRPr="00D6020D" w:rsidR="000623E9" w:rsidP="00BE5ABC" w:rsidRDefault="000623E9" w14:paraId="2A2F20FB" w14:textId="6177E6B1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System subscription </w:t>
            </w: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2410" w:type="dxa"/>
            <w:vAlign w:val="center"/>
          </w:tcPr>
          <w:p w:rsidRPr="00D6020D" w:rsidR="000623E9" w:rsidP="00764861" w:rsidRDefault="000623E9" w14:paraId="3FD03F57" w14:textId="0A1E2F92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Up to 25 licensed users</w:t>
            </w: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331AC459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064085" w:rsidRDefault="000623E9" w14:paraId="29171C98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144EDF5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73B6F171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4C59662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71B4F2F1" w14:textId="77777777">
        <w:tc>
          <w:tcPr>
            <w:tcW w:w="3827" w:type="dxa"/>
            <w:vAlign w:val="center"/>
          </w:tcPr>
          <w:p w:rsidRPr="00D6020D" w:rsidR="000623E9" w:rsidP="00BE5ABC" w:rsidRDefault="000623E9" w14:paraId="3F2E132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System subscription </w:t>
            </w: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65A2050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Up to 35 licensed users</w:t>
            </w: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3A8B8E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064085" w:rsidRDefault="000623E9" w14:paraId="0944FE1D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468748B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5A608D07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450F296C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6F20BCDF" w14:textId="77777777">
        <w:tc>
          <w:tcPr>
            <w:tcW w:w="3827" w:type="dxa"/>
            <w:vAlign w:val="center"/>
          </w:tcPr>
          <w:p w:rsidRPr="00D6020D" w:rsidR="000623E9" w:rsidP="00BE5ABC" w:rsidRDefault="000623E9" w14:paraId="45D8F82B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System subscription </w:t>
            </w: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2FB563C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Up to 35 licensed users</w:t>
            </w: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5CC0F70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064085" w:rsidRDefault="000623E9" w14:paraId="628DB699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534AB97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09DF9DB8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2B2598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2E5E2E68" w14:textId="77777777">
        <w:tc>
          <w:tcPr>
            <w:tcW w:w="3827" w:type="dxa"/>
            <w:vAlign w:val="center"/>
          </w:tcPr>
          <w:p w:rsidRPr="00D6020D" w:rsidR="000623E9" w:rsidP="00BE5ABC" w:rsidRDefault="000623E9" w14:paraId="55FA9F63" w14:textId="42E2744D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Implementation Phase 1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(Leads Management, Pipeline Management, Case Management, basic Campaign Management.)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0AC173DB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3A8658B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064085" w:rsidRDefault="000623E9" w14:paraId="3AC9CA11" w14:textId="77777777">
            <w:pPr>
              <w:jc w:val="center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16DB4D8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239BCC77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2AFFB20C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5ADCD936" w14:textId="77777777">
        <w:tc>
          <w:tcPr>
            <w:tcW w:w="3827" w:type="dxa"/>
            <w:vAlign w:val="center"/>
          </w:tcPr>
          <w:p w:rsidRPr="00D6020D" w:rsidR="000623E9" w:rsidP="00BE5ABC" w:rsidRDefault="000623E9" w14:paraId="6E272086" w14:textId="21B459B0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Implementation of the Mobile Leads Capture Application – if not included in Lead Management 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6E179F3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B44594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0B36CBB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0F2C3D8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53A37D11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4201D1D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0A077243" w14:textId="77777777">
        <w:tc>
          <w:tcPr>
            <w:tcW w:w="3827" w:type="dxa"/>
            <w:vAlign w:val="center"/>
          </w:tcPr>
          <w:p w:rsidRPr="00D6020D" w:rsidR="000623E9" w:rsidP="00BE5ABC" w:rsidRDefault="000623E9" w14:paraId="43388041" w14:textId="00FABC4C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Advanced Campaigns and Event Management, and Branding subscription – if it’s a separate subscription</w:t>
            </w:r>
          </w:p>
          <w:p w:rsidRPr="00D6020D" w:rsidR="000623E9" w:rsidP="00BE5ABC" w:rsidRDefault="000623E9" w14:paraId="6585C2DC" w14:textId="39F2D375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** subscription costs only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57914E6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7C78E4FB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012062F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5F11613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185C0582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1D4C0FD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222F733D" w14:textId="77777777">
        <w:tc>
          <w:tcPr>
            <w:tcW w:w="3827" w:type="dxa"/>
            <w:vAlign w:val="center"/>
          </w:tcPr>
          <w:p w:rsidRPr="00D6020D" w:rsidR="000623E9" w:rsidP="00BE5ABC" w:rsidRDefault="000623E9" w14:paraId="5AB723B1" w14:textId="41A2BBF9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1 &amp;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Any Information Security-related costs aligned to the scope of work, that are not part of the subscription/implementation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3EE135B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60D65CFC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796BE89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240F42B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6EF2A208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D3EEDA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16390D07" w14:textId="77777777">
        <w:tc>
          <w:tcPr>
            <w:tcW w:w="3827" w:type="dxa"/>
            <w:vAlign w:val="center"/>
          </w:tcPr>
          <w:p w:rsidRPr="00D6020D" w:rsidR="000623E9" w:rsidP="00BE5ABC" w:rsidRDefault="000623E9" w14:paraId="1164A9BA" w14:textId="7D7C593E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Chatbot (if not part of the license subscription)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5DD011BF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245A9A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030E75D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1C40389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1229E963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CEB340F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4FB7647B" w14:textId="77777777">
        <w:tc>
          <w:tcPr>
            <w:tcW w:w="3827" w:type="dxa"/>
            <w:vAlign w:val="center"/>
          </w:tcPr>
          <w:p w:rsidRPr="00D6020D" w:rsidR="000623E9" w:rsidP="00BE5ABC" w:rsidRDefault="000623E9" w14:paraId="25B57679" w14:textId="2B1979F9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Customer Portal (if not part of the license (if not part of the license)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3D8ECAE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2A0A328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18A7BE1B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478F779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26F0843C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740DC7D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37C75667" w14:textId="77777777">
        <w:tc>
          <w:tcPr>
            <w:tcW w:w="3827" w:type="dxa"/>
            <w:vAlign w:val="center"/>
          </w:tcPr>
          <w:p w:rsidRPr="00D6020D" w:rsidR="000623E9" w:rsidP="00BE5ABC" w:rsidRDefault="000623E9" w14:paraId="4996AE81" w14:textId="093385E9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Implementation Phase 2: 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Social Media Integration (if not part of the license subscription)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34B1735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6A1A5D9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612EAD2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6EBBD8FE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67CDEAA7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1AFFE9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53FCFF1D" w14:textId="77777777">
        <w:tc>
          <w:tcPr>
            <w:tcW w:w="3827" w:type="dxa"/>
            <w:vAlign w:val="center"/>
          </w:tcPr>
          <w:p w:rsidRPr="00D6020D" w:rsidR="000623E9" w:rsidP="00BE5ABC" w:rsidRDefault="000623E9" w14:paraId="08FC905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Third-party integrations</w:t>
            </w:r>
          </w:p>
          <w:p w:rsidRPr="00D6020D" w:rsidR="000623E9" w:rsidP="00BE5ABC" w:rsidRDefault="000623E9" w14:paraId="207F617D" w14:textId="516E4DCC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51CBCDE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2A6FA6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Pr="00D6020D" w:rsidR="000623E9" w:rsidP="00562A3E" w:rsidRDefault="000623E9" w14:paraId="2AE1E37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000000" w:themeFill="text1"/>
          </w:tcPr>
          <w:p w:rsidRPr="00D6020D" w:rsidR="000623E9" w:rsidP="00562A3E" w:rsidRDefault="000623E9" w14:paraId="36E02B1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05C971AF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1C1B078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78B03D9B" w14:textId="77777777">
        <w:tc>
          <w:tcPr>
            <w:tcW w:w="3827" w:type="dxa"/>
            <w:vAlign w:val="center"/>
          </w:tcPr>
          <w:p w:rsidRPr="00D6020D" w:rsidR="000623E9" w:rsidP="00BE5ABC" w:rsidRDefault="000623E9" w14:paraId="754A7BF1" w14:textId="491E57C2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Implementation Phase 1: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Testing, Quality Assurance, Training </w:t>
            </w:r>
            <w:r w:rsidRPr="00D6020D" w:rsidR="00BE5ABC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and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User Acceptance Testing (UAT), if not included in the implementation costs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4581B42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BEA044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0AB25FC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2CD7D6B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1D3FAAC1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2E867E8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Del="00492351" w:rsidTr="00BE5ABC" w14:paraId="59B46920" w14:textId="77777777">
        <w:tc>
          <w:tcPr>
            <w:tcW w:w="3827" w:type="dxa"/>
            <w:vAlign w:val="center"/>
          </w:tcPr>
          <w:p w:rsidRPr="00D6020D" w:rsidR="000623E9" w:rsidDel="00492351" w:rsidP="00BE5ABC" w:rsidRDefault="000623E9" w14:paraId="09064979" w14:textId="79A6BDC8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Hyper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noBreakHyphen/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care support for a period of three (3) months post Phase 1 MVP go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noBreakHyphen/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live</w:t>
            </w:r>
          </w:p>
        </w:tc>
        <w:tc>
          <w:tcPr>
            <w:tcW w:w="2410" w:type="dxa"/>
            <w:vAlign w:val="center"/>
          </w:tcPr>
          <w:p w:rsidRPr="00D6020D" w:rsidR="000623E9" w:rsidDel="00492351" w:rsidP="00562A3E" w:rsidRDefault="000623E9" w14:paraId="513D55F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Del="00492351" w:rsidP="00562A3E" w:rsidRDefault="000623E9" w14:paraId="3916ADC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Del="00492351" w:rsidP="00562A3E" w:rsidRDefault="000623E9" w14:paraId="3614AF9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Del="00492351" w:rsidP="00562A3E" w:rsidRDefault="000623E9" w14:paraId="52A0EB9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Del="00492351" w:rsidP="00BE5ABC" w:rsidRDefault="000623E9" w14:paraId="500C8361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Del="00492351" w:rsidP="00562A3E" w:rsidRDefault="000623E9" w14:paraId="0B1903D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5CF30E99" w14:textId="77777777">
        <w:tc>
          <w:tcPr>
            <w:tcW w:w="3827" w:type="dxa"/>
            <w:vAlign w:val="center"/>
          </w:tcPr>
          <w:p w:rsidRPr="00D6020D" w:rsidR="000623E9" w:rsidP="00BE5ABC" w:rsidRDefault="000623E9" w14:paraId="710F1184" w14:textId="3C166681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1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support (SLA based) for services if it's not included in the subscription.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6A1FE1AC" w14:textId="426735BC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642172E7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773BAEF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696C74D3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65113A8D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10020B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70FD5941" w14:textId="77777777">
        <w:tc>
          <w:tcPr>
            <w:tcW w:w="3827" w:type="dxa"/>
            <w:vAlign w:val="center"/>
          </w:tcPr>
          <w:p w:rsidRPr="00D6020D" w:rsidR="000623E9" w:rsidP="00BE5ABC" w:rsidRDefault="000623E9" w14:paraId="7383FDCA" w14:textId="0C854318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2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support (SLA based) for services if it’s not included in the subscription.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29AC120A" w14:textId="6F6BA25E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493CD39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69BF11D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78616C9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0C8ACB10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439CC9F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5BFCEDCC" w14:textId="77777777">
        <w:tc>
          <w:tcPr>
            <w:tcW w:w="3827" w:type="dxa"/>
            <w:vAlign w:val="center"/>
          </w:tcPr>
          <w:p w:rsidRPr="00D6020D" w:rsidR="000623E9" w:rsidP="00BE5ABC" w:rsidRDefault="000623E9" w14:paraId="4255FFDC" w14:textId="0F40E843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Year 3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support (SLA based) for services if it’s not included in the subscription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78456E77" w14:textId="481B0C69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AABB961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5BE408E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59514352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3E754A1E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34A93FAF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35705C3B" w14:textId="77777777">
        <w:tc>
          <w:tcPr>
            <w:tcW w:w="3827" w:type="dxa"/>
            <w:vAlign w:val="center"/>
          </w:tcPr>
          <w:p w:rsidRPr="00D6020D" w:rsidR="000623E9" w:rsidP="00BE5ABC" w:rsidRDefault="000623E9" w14:paraId="113B810E" w14:textId="3A7AD15A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Data migration from the old in-house developed CRM (</w:t>
            </w: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4000</w:t>
            </w: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estimated contacts)</w:t>
            </w: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32D2B6AD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58B6D45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55F364A9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192DAB3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2B9DDEE6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627CE6E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  <w:p w:rsidRPr="00D6020D" w:rsidR="000623E9" w:rsidP="00562A3E" w:rsidRDefault="000623E9" w14:paraId="6CB34BD0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0623E9" w:rsidTr="00BE5ABC" w14:paraId="12A0D1D6" w14:textId="77777777">
        <w:trPr>
          <w:trHeight w:val="256"/>
        </w:trPr>
        <w:tc>
          <w:tcPr>
            <w:tcW w:w="3827" w:type="dxa"/>
            <w:vAlign w:val="center"/>
          </w:tcPr>
          <w:p w:rsidRPr="00D6020D" w:rsidR="000623E9" w:rsidP="00BE5ABC" w:rsidRDefault="000623E9" w14:paraId="328F0C0A" w14:textId="77777777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  <w:p w:rsidRPr="00D6020D" w:rsidR="000623E9" w:rsidP="00BE5ABC" w:rsidRDefault="000623E9" w14:paraId="34CDB5D9" w14:textId="77777777">
            <w:pPr>
              <w:jc w:val="both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  <w:vAlign w:val="center"/>
          </w:tcPr>
          <w:p w:rsidRPr="00D6020D" w:rsidR="000623E9" w:rsidP="00562A3E" w:rsidRDefault="000623E9" w14:paraId="52C613FB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Pr="00D6020D" w:rsidR="000623E9" w:rsidP="00562A3E" w:rsidRDefault="000623E9" w14:paraId="13F96F56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</w:tcPr>
          <w:p w:rsidRPr="00D6020D" w:rsidR="000623E9" w:rsidP="00562A3E" w:rsidRDefault="000623E9" w14:paraId="78550AA8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Pr="00D6020D" w:rsidR="000623E9" w:rsidP="00562A3E" w:rsidRDefault="000623E9" w14:paraId="4E8AC08A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Pr="00D6020D" w:rsidR="000623E9" w:rsidP="00BE5ABC" w:rsidRDefault="000623E9" w14:paraId="650D5A53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vAlign w:val="center"/>
          </w:tcPr>
          <w:p w:rsidRPr="00D6020D" w:rsidR="000623E9" w:rsidP="00562A3E" w:rsidRDefault="000623E9" w14:paraId="4C4F208E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  <w:tr w:rsidRPr="00D6020D" w:rsidR="00DA6991" w:rsidTr="005B642D" w14:paraId="1856CF12" w14:textId="77777777">
        <w:trPr>
          <w:trHeight w:val="361"/>
        </w:trPr>
        <w:tc>
          <w:tcPr>
            <w:tcW w:w="10631" w:type="dxa"/>
            <w:gridSpan w:val="5"/>
            <w:tcBorders>
              <w:left w:val="nil"/>
              <w:bottom w:val="nil"/>
            </w:tcBorders>
            <w:vAlign w:val="center"/>
          </w:tcPr>
          <w:p w:rsidRPr="00D6020D" w:rsidR="00DA6991" w:rsidP="00BE5ABC" w:rsidRDefault="00DA6991" w14:paraId="3ECF2F4C" w14:textId="4D05B74F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 w:rsidRPr="00D6020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Total Cost (inclusive of Value Added Tax, where applicable)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:rsidRPr="00D6020D" w:rsidR="00DA6991" w:rsidP="00BE5ABC" w:rsidRDefault="00DA6991" w14:paraId="2D56479C" w14:textId="77777777">
            <w:pPr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:rsidRPr="00D6020D" w:rsidR="00DA6991" w:rsidP="00562A3E" w:rsidRDefault="00DA6991" w14:paraId="6205ECB5" w14:textId="77777777">
            <w:pPr>
              <w:jc w:val="both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</w:tr>
    </w:tbl>
    <w:p w:rsidRPr="00D6020D" w:rsidR="00764861" w:rsidP="006541BE" w:rsidRDefault="00764861" w14:paraId="5552ADEB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  <w:bookmarkStart w:name="_Ref211531007" w:id="2"/>
    </w:p>
    <w:p w:rsidRPr="00D6020D" w:rsidR="00DA6991" w:rsidP="00DA6991" w:rsidRDefault="00DA6991" w14:paraId="06788E12" w14:textId="77777777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eastAsia="Calibri" w:cs="Arial"/>
        </w:rPr>
      </w:pPr>
      <w:r w:rsidRPr="00D6020D">
        <w:rPr>
          <w:rFonts w:ascii="Arial" w:hAnsi="Arial" w:eastAsia="Calibri" w:cs="Arial"/>
        </w:rPr>
        <w:t>Bidders are required to provide their quotation using the example above as a basis.  </w:t>
      </w:r>
    </w:p>
    <w:p w:rsidRPr="00D6020D" w:rsidR="006541BE" w:rsidP="006541BE" w:rsidRDefault="006541BE" w14:paraId="42C87A08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</w:p>
    <w:p w:rsidRPr="00D6020D" w:rsidR="00DA6991" w:rsidP="00DA6991" w:rsidRDefault="00DA6991" w14:paraId="79B597E2" w14:textId="0AAC1223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eastAsia="Calibri" w:cs="Arial"/>
        </w:rPr>
      </w:pPr>
      <w:r w:rsidRPr="00D6020D">
        <w:rPr>
          <w:rFonts w:ascii="Arial" w:hAnsi="Arial" w:eastAsia="Calibri" w:cs="Arial"/>
        </w:rPr>
        <w:t>All quotations must be in the currency of the Republic of South Africa. </w:t>
      </w:r>
    </w:p>
    <w:p w:rsidRPr="00D6020D" w:rsidR="006541BE" w:rsidP="006541BE" w:rsidRDefault="006541BE" w14:paraId="516AD6DD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</w:p>
    <w:p w:rsidRPr="00D6020D" w:rsidR="00DA6991" w:rsidP="00DA6991" w:rsidRDefault="00DA6991" w14:paraId="4690B914" w14:textId="77777777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Arial" w:hAnsi="Arial" w:eastAsia="Calibri" w:cs="Arial"/>
        </w:rPr>
      </w:pPr>
      <w:r w:rsidRPr="00D6020D">
        <w:rPr>
          <w:rFonts w:ascii="Arial" w:hAnsi="Arial" w:eastAsia="Calibri" w:cs="Arial"/>
        </w:rPr>
        <w:t>The quotation must be on the letterhead of the bidder. </w:t>
      </w:r>
    </w:p>
    <w:p w:rsidRPr="00D6020D" w:rsidR="00764861" w:rsidRDefault="00764861" w14:paraId="4D7EFBCD" w14:textId="77777777">
      <w:pPr>
        <w:rPr>
          <w:rFonts w:ascii="Arial" w:hAnsi="Arial" w:cs="Arial" w:eastAsiaTheme="minorHAnsi"/>
          <w:b/>
          <w:lang w:eastAsia="en-ZA"/>
        </w:rPr>
      </w:pPr>
      <w:r w:rsidRPr="00D6020D">
        <w:rPr>
          <w:rFonts w:ascii="Arial" w:hAnsi="Arial" w:cs="Arial"/>
          <w:b/>
          <w:lang w:eastAsia="en-ZA"/>
        </w:rPr>
        <w:br w:type="page"/>
      </w:r>
    </w:p>
    <w:p w:rsidRPr="00D6020D" w:rsidR="005F3823" w:rsidP="007A6277" w:rsidRDefault="00C8781C" w14:paraId="238835BF" w14:textId="10E68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ZA" w:eastAsia="en-ZA"/>
        </w:rPr>
      </w:pPr>
      <w:r w:rsidRPr="00D6020D">
        <w:rPr>
          <w:rFonts w:ascii="Arial" w:hAnsi="Arial" w:cs="Arial"/>
          <w:b/>
          <w:sz w:val="24"/>
          <w:szCs w:val="24"/>
          <w:lang w:val="en-ZA" w:eastAsia="en-ZA"/>
        </w:rPr>
        <w:t xml:space="preserve">Phase </w:t>
      </w:r>
      <w:r w:rsidRPr="00D6020D" w:rsidR="00B81BF8">
        <w:rPr>
          <w:rFonts w:ascii="Arial" w:hAnsi="Arial" w:cs="Arial"/>
          <w:b/>
          <w:sz w:val="24"/>
          <w:szCs w:val="24"/>
          <w:lang w:val="en-ZA" w:eastAsia="en-ZA"/>
        </w:rPr>
        <w:t xml:space="preserve">2 </w:t>
      </w:r>
      <w:r w:rsidRPr="00D6020D" w:rsidR="00B81BF8">
        <w:rPr>
          <w:rFonts w:ascii="Arial" w:hAnsi="Arial" w:cs="Arial"/>
          <w:bCs/>
          <w:sz w:val="24"/>
          <w:szCs w:val="24"/>
          <w:lang w:val="en-ZA" w:eastAsia="en-ZA"/>
        </w:rPr>
        <w:t xml:space="preserve">implementation will be </w:t>
      </w:r>
      <w:r w:rsidRPr="00D6020D" w:rsidR="00B636F7">
        <w:rPr>
          <w:rFonts w:ascii="Arial" w:hAnsi="Arial" w:cs="Arial"/>
          <w:bCs/>
          <w:sz w:val="24"/>
          <w:szCs w:val="24"/>
          <w:lang w:val="en-ZA" w:eastAsia="en-ZA"/>
        </w:rPr>
        <w:t xml:space="preserve">billed </w:t>
      </w:r>
      <w:r w:rsidRPr="00D6020D" w:rsidR="00B81BF8">
        <w:rPr>
          <w:rFonts w:ascii="Arial" w:hAnsi="Arial" w:cs="Arial"/>
          <w:bCs/>
          <w:sz w:val="24"/>
          <w:szCs w:val="24"/>
          <w:lang w:val="en-ZA" w:eastAsia="en-ZA"/>
        </w:rPr>
        <w:t xml:space="preserve">based </w:t>
      </w:r>
      <w:r w:rsidRPr="00D6020D" w:rsidR="003B27E3">
        <w:rPr>
          <w:rFonts w:ascii="Arial" w:hAnsi="Arial" w:cs="Arial"/>
          <w:bCs/>
          <w:sz w:val="24"/>
          <w:szCs w:val="24"/>
          <w:lang w:val="en-ZA" w:eastAsia="en-ZA"/>
        </w:rPr>
        <w:t xml:space="preserve">on an hourly rate. </w:t>
      </w:r>
      <w:r w:rsidRPr="00D6020D" w:rsidR="00131328">
        <w:rPr>
          <w:rFonts w:ascii="Arial" w:hAnsi="Arial" w:cs="Arial"/>
          <w:bCs/>
          <w:sz w:val="24"/>
          <w:szCs w:val="24"/>
          <w:lang w:val="en-ZA" w:eastAsia="en-ZA"/>
        </w:rPr>
        <w:t>A scope of work w</w:t>
      </w:r>
      <w:r w:rsidRPr="00D6020D" w:rsidR="00E02FE8">
        <w:rPr>
          <w:rFonts w:ascii="Arial" w:hAnsi="Arial" w:cs="Arial"/>
          <w:bCs/>
          <w:sz w:val="24"/>
          <w:szCs w:val="24"/>
          <w:lang w:val="en-ZA" w:eastAsia="en-ZA"/>
        </w:rPr>
        <w:t xml:space="preserve">ith financial implications will be approved by the ECIC before implementation. 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>Bidders are required to submit a table of hourly rates as per the table below. Rates should be inclusive of overheads and V</w:t>
      </w:r>
      <w:r w:rsidR="00491626">
        <w:rPr>
          <w:rFonts w:ascii="Arial" w:hAnsi="Arial" w:cs="Arial"/>
          <w:bCs/>
          <w:sz w:val="24"/>
          <w:szCs w:val="24"/>
          <w:lang w:val="en-ZA" w:eastAsia="en-ZA"/>
        </w:rPr>
        <w:t xml:space="preserve">alue 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>A</w:t>
      </w:r>
      <w:r w:rsidR="00491626">
        <w:rPr>
          <w:rFonts w:ascii="Arial" w:hAnsi="Arial" w:cs="Arial"/>
          <w:bCs/>
          <w:sz w:val="24"/>
          <w:szCs w:val="24"/>
          <w:lang w:val="en-ZA" w:eastAsia="en-ZA"/>
        </w:rPr>
        <w:t xml:space="preserve">dded 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>T</w:t>
      </w:r>
      <w:r w:rsidR="00491626">
        <w:rPr>
          <w:rFonts w:ascii="Arial" w:hAnsi="Arial" w:cs="Arial"/>
          <w:bCs/>
          <w:sz w:val="24"/>
          <w:szCs w:val="24"/>
          <w:lang w:val="en-ZA" w:eastAsia="en-ZA"/>
        </w:rPr>
        <w:t>ax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 xml:space="preserve">. If a particular </w:t>
      </w:r>
      <w:r w:rsidRPr="00D6020D" w:rsidR="00F11BC0">
        <w:rPr>
          <w:rFonts w:ascii="Arial" w:hAnsi="Arial" w:cs="Arial"/>
          <w:bCs/>
          <w:sz w:val="24"/>
          <w:szCs w:val="24"/>
          <w:lang w:val="en-ZA" w:eastAsia="en-ZA"/>
        </w:rPr>
        <w:t xml:space="preserve">resource 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>category does not exist</w:t>
      </w:r>
      <w:r w:rsidRPr="00D6020D" w:rsidR="00770CD6">
        <w:rPr>
          <w:rFonts w:ascii="Arial" w:hAnsi="Arial" w:cs="Arial"/>
          <w:bCs/>
          <w:sz w:val="24"/>
          <w:szCs w:val="24"/>
          <w:lang w:val="en-ZA" w:eastAsia="en-ZA"/>
        </w:rPr>
        <w:t>,</w:t>
      </w:r>
      <w:r w:rsidRPr="00D6020D" w:rsidR="003A6752">
        <w:rPr>
          <w:rFonts w:ascii="Arial" w:hAnsi="Arial" w:cs="Arial"/>
          <w:bCs/>
          <w:sz w:val="24"/>
          <w:szCs w:val="24"/>
          <w:lang w:val="en-ZA" w:eastAsia="en-ZA"/>
        </w:rPr>
        <w:t xml:space="preserve"> the</w:t>
      </w:r>
      <w:r w:rsidRPr="00D6020D" w:rsidR="00587047">
        <w:rPr>
          <w:rFonts w:ascii="Arial" w:hAnsi="Arial" w:cs="Arial"/>
          <w:bCs/>
          <w:sz w:val="24"/>
          <w:szCs w:val="24"/>
          <w:lang w:val="en-ZA" w:eastAsia="en-ZA"/>
        </w:rPr>
        <w:t xml:space="preserve"> </w:t>
      </w:r>
      <w:r w:rsidRPr="00D6020D" w:rsidR="00770CD6">
        <w:rPr>
          <w:rFonts w:ascii="Arial" w:hAnsi="Arial" w:cs="Arial"/>
          <w:bCs/>
          <w:sz w:val="24"/>
          <w:szCs w:val="24"/>
          <w:lang w:val="en-ZA" w:eastAsia="en-ZA"/>
        </w:rPr>
        <w:t>bidder should quote for what is applicable and make comments</w:t>
      </w:r>
      <w:r w:rsidRPr="00D6020D" w:rsidR="00F11BC0">
        <w:rPr>
          <w:rFonts w:ascii="Arial" w:hAnsi="Arial" w:cs="Arial"/>
          <w:bCs/>
          <w:sz w:val="24"/>
          <w:szCs w:val="24"/>
          <w:lang w:val="en-ZA" w:eastAsia="en-ZA"/>
        </w:rPr>
        <w:t xml:space="preserve"> otherwise, it can be omitted</w:t>
      </w:r>
      <w:r w:rsidRPr="00D6020D" w:rsidR="00770CD6">
        <w:rPr>
          <w:rFonts w:ascii="Arial" w:hAnsi="Arial" w:cs="Arial"/>
          <w:bCs/>
          <w:sz w:val="24"/>
          <w:szCs w:val="24"/>
          <w:lang w:val="en-ZA" w:eastAsia="en-ZA"/>
        </w:rPr>
        <w:t xml:space="preserve">. </w:t>
      </w:r>
      <w:r w:rsidRPr="00D6020D" w:rsidR="00955072">
        <w:rPr>
          <w:rFonts w:ascii="Arial" w:hAnsi="Arial" w:cs="Arial"/>
          <w:bCs/>
          <w:sz w:val="24"/>
          <w:szCs w:val="24"/>
          <w:lang w:val="en-ZA" w:eastAsia="en-ZA"/>
        </w:rPr>
        <w:t>These rates will not be used for price evaluation</w:t>
      </w:r>
      <w:r w:rsidRPr="00D6020D" w:rsidR="00A77644">
        <w:rPr>
          <w:rFonts w:ascii="Arial" w:hAnsi="Arial" w:cs="Arial"/>
          <w:bCs/>
          <w:sz w:val="24"/>
          <w:szCs w:val="24"/>
          <w:lang w:val="en-ZA" w:eastAsia="en-ZA"/>
        </w:rPr>
        <w:t>.</w:t>
      </w:r>
      <w:bookmarkEnd w:id="2"/>
    </w:p>
    <w:p w:rsidRPr="00D6020D" w:rsidR="007A6277" w:rsidP="00CB5FBA" w:rsidRDefault="007A6277" w14:paraId="476ED206" w14:textId="1F2183A0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en-ZA" w:eastAsia="en-ZA"/>
        </w:rPr>
      </w:pPr>
    </w:p>
    <w:p w:rsidRPr="00D6020D" w:rsidR="00041FE4" w:rsidP="003C3A56" w:rsidRDefault="00041FE4" w14:paraId="5A6F448A" w14:textId="5B6E85F1">
      <w:pPr>
        <w:pStyle w:val="ListParagraph"/>
        <w:spacing w:after="0" w:line="240" w:lineRule="auto"/>
        <w:ind w:left="10800"/>
        <w:jc w:val="right"/>
        <w:rPr>
          <w:rFonts w:ascii="Arial" w:hAnsi="Arial" w:eastAsia="Calibri" w:cs="Arial"/>
          <w:b/>
          <w:bCs/>
          <w:sz w:val="24"/>
          <w:szCs w:val="24"/>
          <w:lang w:val="en-ZA"/>
        </w:rPr>
      </w:pPr>
    </w:p>
    <w:tbl>
      <w:tblPr>
        <w:tblStyle w:val="TableGrid"/>
        <w:tblW w:w="141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  <w:gridCol w:w="2551"/>
        <w:gridCol w:w="1985"/>
      </w:tblGrid>
      <w:tr w:rsidRPr="00D6020D" w:rsidR="00075FE6" w:rsidTr="0088412D" w14:paraId="274F9580" w14:textId="03FEACAB">
        <w:trPr>
          <w:trHeight w:val="365"/>
        </w:trPr>
        <w:tc>
          <w:tcPr>
            <w:tcW w:w="7938" w:type="dxa"/>
            <w:vMerge w:val="restart"/>
            <w:shd w:val="clear" w:color="auto" w:fill="002060"/>
            <w:vAlign w:val="center"/>
          </w:tcPr>
          <w:p w:rsidRPr="00D6020D" w:rsidR="00075FE6" w:rsidP="00B16E71" w:rsidRDefault="00A77644" w14:paraId="1B5B37DD" w14:textId="54964034">
            <w:pPr>
              <w:pStyle w:val="ListParagraph"/>
              <w:spacing w:after="0" w:line="240" w:lineRule="auto"/>
              <w:ind w:left="51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  <w:r w:rsidRPr="00D6020D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 xml:space="preserve">Role </w:t>
            </w:r>
            <w:r w:rsidRPr="00D6020D" w:rsidR="00075FE6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>(where applicable)</w:t>
            </w:r>
          </w:p>
        </w:tc>
        <w:tc>
          <w:tcPr>
            <w:tcW w:w="6237" w:type="dxa"/>
            <w:gridSpan w:val="3"/>
            <w:shd w:val="clear" w:color="auto" w:fill="002060"/>
            <w:vAlign w:val="center"/>
          </w:tcPr>
          <w:p w:rsidRPr="00D6020D" w:rsidR="00075FE6" w:rsidP="00B16E71" w:rsidRDefault="00075FE6" w14:paraId="157AE929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  <w:r w:rsidRPr="00D6020D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>Hourly Rate in Rand (including overheads and VAT)</w:t>
            </w:r>
          </w:p>
        </w:tc>
      </w:tr>
      <w:tr w:rsidRPr="00D6020D" w:rsidR="00075FE6" w:rsidTr="0088412D" w14:paraId="71F5E8D7" w14:textId="77777777">
        <w:trPr>
          <w:trHeight w:val="102"/>
        </w:trPr>
        <w:tc>
          <w:tcPr>
            <w:tcW w:w="7938" w:type="dxa"/>
            <w:vMerge/>
            <w:shd w:val="clear" w:color="auto" w:fill="002060"/>
            <w:vAlign w:val="center"/>
          </w:tcPr>
          <w:p w:rsidRPr="00D6020D" w:rsidR="00075FE6" w:rsidP="00B16E71" w:rsidRDefault="00075FE6" w14:paraId="33270D8B" w14:textId="77777777">
            <w:pPr>
              <w:pStyle w:val="ListParagraph"/>
              <w:spacing w:after="0" w:line="240" w:lineRule="auto"/>
              <w:ind w:left="51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</w:p>
        </w:tc>
        <w:tc>
          <w:tcPr>
            <w:tcW w:w="1701" w:type="dxa"/>
            <w:shd w:val="clear" w:color="auto" w:fill="002060"/>
            <w:vAlign w:val="center"/>
          </w:tcPr>
          <w:p w:rsidRPr="00D6020D" w:rsidR="00075FE6" w:rsidP="0088412D" w:rsidRDefault="00075FE6" w14:paraId="7C3F5041" w14:textId="1045D6E9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  <w:r w:rsidRPr="00D6020D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>Year 1</w:t>
            </w:r>
          </w:p>
        </w:tc>
        <w:tc>
          <w:tcPr>
            <w:tcW w:w="2551" w:type="dxa"/>
            <w:shd w:val="clear" w:color="auto" w:fill="002060"/>
            <w:vAlign w:val="center"/>
          </w:tcPr>
          <w:p w:rsidRPr="00D6020D" w:rsidR="00075FE6" w:rsidP="00B16E71" w:rsidRDefault="00075FE6" w14:paraId="23F6C7C0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  <w:r w:rsidRPr="00D6020D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>Year 2</w:t>
            </w:r>
          </w:p>
        </w:tc>
        <w:tc>
          <w:tcPr>
            <w:tcW w:w="1985" w:type="dxa"/>
            <w:shd w:val="clear" w:color="auto" w:fill="002060"/>
            <w:vAlign w:val="center"/>
          </w:tcPr>
          <w:p w:rsidRPr="00D6020D" w:rsidR="00075FE6" w:rsidP="00B16E71" w:rsidRDefault="00075FE6" w14:paraId="4D59C739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</w:pPr>
            <w:r w:rsidRPr="00D6020D">
              <w:rPr>
                <w:rFonts w:ascii="Arial" w:hAnsi="Arial" w:cs="Arial"/>
                <w:b/>
                <w:sz w:val="24"/>
                <w:szCs w:val="24"/>
                <w:lang w:val="en-ZA" w:eastAsia="en-ZA"/>
              </w:rPr>
              <w:t>Year 3</w:t>
            </w:r>
          </w:p>
        </w:tc>
      </w:tr>
      <w:tr w:rsidRPr="00D6020D" w:rsidR="00075FE6" w:rsidTr="0088412D" w14:paraId="211B0DE6" w14:textId="77777777">
        <w:tc>
          <w:tcPr>
            <w:tcW w:w="7938" w:type="dxa"/>
            <w:vAlign w:val="center"/>
          </w:tcPr>
          <w:p w:rsidRPr="00D6020D" w:rsidR="00075FE6" w:rsidP="006C509F" w:rsidRDefault="006E4EC1" w14:paraId="01F27ED0" w14:textId="7624DADE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Project Manager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4EF7AB08" w14:textId="706547FE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0E6937F7" w14:textId="19E7E5B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7594B1FA" w14:textId="14E46AF5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11038C5B" w14:textId="77777777">
        <w:tc>
          <w:tcPr>
            <w:tcW w:w="7938" w:type="dxa"/>
            <w:vAlign w:val="center"/>
          </w:tcPr>
          <w:p w:rsidRPr="00D6020D" w:rsidR="00075FE6" w:rsidP="006C509F" w:rsidRDefault="000479C3" w14:paraId="25F102C1" w14:textId="20506726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Solution Architect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2A03638E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5F0F1653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60D862E4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2B867CF7" w14:textId="77777777">
        <w:tc>
          <w:tcPr>
            <w:tcW w:w="7938" w:type="dxa"/>
            <w:vAlign w:val="center"/>
          </w:tcPr>
          <w:p w:rsidRPr="00D6020D" w:rsidR="00075FE6" w:rsidP="006C509F" w:rsidRDefault="00530F29" w14:paraId="502C4C89" w14:textId="5987469C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Functional Consultant(s) / Technical Consultant(s)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4E80F691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447FE780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79E0F6A2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FB6959" w:rsidTr="0088412D" w14:paraId="74E1C7D2" w14:textId="77777777">
        <w:tc>
          <w:tcPr>
            <w:tcW w:w="7938" w:type="dxa"/>
            <w:vAlign w:val="center"/>
          </w:tcPr>
          <w:p w:rsidRPr="00D6020D" w:rsidR="00FB6959" w:rsidP="00530F29" w:rsidRDefault="00FB6959" w14:paraId="4E4BDE0D" w14:textId="35ACA3CB">
            <w:pPr>
              <w:tabs>
                <w:tab w:val="left" w:pos="454"/>
              </w:tabs>
              <w:jc w:val="both"/>
              <w:rPr>
                <w:rFonts w:ascii="Arial" w:hAnsi="Arial" w:eastAsia="Calibri" w:cs="Arial"/>
              </w:rPr>
            </w:pPr>
            <w:r w:rsidRPr="00D6020D">
              <w:rPr>
                <w:rFonts w:ascii="Arial" w:hAnsi="Arial" w:eastAsia="Calibri" w:cs="Arial"/>
              </w:rPr>
              <w:t>Developer(s)</w:t>
            </w:r>
          </w:p>
        </w:tc>
        <w:tc>
          <w:tcPr>
            <w:tcW w:w="1701" w:type="dxa"/>
            <w:vAlign w:val="center"/>
          </w:tcPr>
          <w:p w:rsidRPr="00D6020D" w:rsidR="00FB6959" w:rsidP="00B16E71" w:rsidRDefault="00FB6959" w14:paraId="4F927841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FB6959" w:rsidP="00B16E71" w:rsidRDefault="00FB6959" w14:paraId="411C4628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FB6959" w:rsidP="00B16E71" w:rsidRDefault="00FB6959" w14:paraId="74BC3FA0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7B17C662" w14:textId="77777777">
        <w:tc>
          <w:tcPr>
            <w:tcW w:w="7938" w:type="dxa"/>
            <w:vAlign w:val="center"/>
          </w:tcPr>
          <w:p w:rsidRPr="00D6020D" w:rsidR="00075FE6" w:rsidP="00764861" w:rsidRDefault="000D04B2" w14:paraId="6174D1BE" w14:textId="39D1F9DB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Business Analyst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599F40D6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4D873146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567A3AF9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1E4D2938" w14:textId="77777777">
        <w:tc>
          <w:tcPr>
            <w:tcW w:w="7938" w:type="dxa"/>
            <w:vAlign w:val="center"/>
          </w:tcPr>
          <w:p w:rsidRPr="00D6020D" w:rsidR="00075FE6" w:rsidP="00764861" w:rsidRDefault="00107B0C" w14:paraId="5A2296D6" w14:textId="761DEAFC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Tester / Quality Assurance Specialist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7C0165AE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5CA6D186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06C0F1B4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72BFCD7B" w14:textId="77777777">
        <w:tc>
          <w:tcPr>
            <w:tcW w:w="7938" w:type="dxa"/>
            <w:vAlign w:val="center"/>
          </w:tcPr>
          <w:p w:rsidRPr="00D6020D" w:rsidR="00075FE6" w:rsidP="00764861" w:rsidRDefault="006F30CC" w14:paraId="11330E81" w14:textId="3801360D">
            <w:pPr>
              <w:tabs>
                <w:tab w:val="left" w:pos="454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eastAsia="en-ZA"/>
              </w:rPr>
            </w:pPr>
            <w:r w:rsidRPr="00D6020D">
              <w:rPr>
                <w:rFonts w:ascii="Arial" w:hAnsi="Arial" w:eastAsia="Calibri" w:cs="Arial"/>
                <w:sz w:val="24"/>
                <w:szCs w:val="24"/>
                <w:lang w:eastAsia="ja-JP"/>
              </w:rPr>
              <w:t>Trainer and/or Change Management Specialist</w:t>
            </w: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6EC03770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5F1BB5F4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45202BA1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  <w:tr w:rsidRPr="00D6020D" w:rsidR="00075FE6" w:rsidTr="0088412D" w14:paraId="2865C609" w14:textId="77777777">
        <w:tc>
          <w:tcPr>
            <w:tcW w:w="7938" w:type="dxa"/>
            <w:vAlign w:val="center"/>
          </w:tcPr>
          <w:p w:rsidRPr="00D6020D" w:rsidR="00075FE6" w:rsidP="00B16E71" w:rsidRDefault="00075FE6" w14:paraId="433AD9B9" w14:textId="068B930E">
            <w:pPr>
              <w:pStyle w:val="ListParagraph"/>
              <w:spacing w:after="0" w:line="240" w:lineRule="auto"/>
              <w:ind w:left="51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701" w:type="dxa"/>
            <w:vAlign w:val="center"/>
          </w:tcPr>
          <w:p w:rsidRPr="00D6020D" w:rsidR="00075FE6" w:rsidP="00B16E71" w:rsidRDefault="00075FE6" w14:paraId="43BF79BB" w14:textId="77777777">
            <w:pPr>
              <w:pStyle w:val="ListParagraph"/>
              <w:spacing w:after="0" w:line="240" w:lineRule="auto"/>
              <w:ind w:left="51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2551" w:type="dxa"/>
            <w:vAlign w:val="center"/>
          </w:tcPr>
          <w:p w:rsidRPr="00D6020D" w:rsidR="00075FE6" w:rsidP="00B16E71" w:rsidRDefault="00075FE6" w14:paraId="23ADC783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  <w:tc>
          <w:tcPr>
            <w:tcW w:w="1985" w:type="dxa"/>
            <w:vAlign w:val="center"/>
          </w:tcPr>
          <w:p w:rsidRPr="00D6020D" w:rsidR="00075FE6" w:rsidP="00B16E71" w:rsidRDefault="00075FE6" w14:paraId="5CCBB87E" w14:textId="77777777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bCs/>
                <w:sz w:val="24"/>
                <w:szCs w:val="24"/>
                <w:lang w:val="en-ZA" w:eastAsia="en-ZA"/>
              </w:rPr>
            </w:pPr>
          </w:p>
        </w:tc>
      </w:tr>
    </w:tbl>
    <w:p w:rsidRPr="00D6020D" w:rsidR="005F3823" w:rsidP="00562A3E" w:rsidRDefault="005F3823" w14:paraId="4A225E4B" w14:textId="77777777"/>
    <w:sectPr w:rsidRPr="00D6020D" w:rsidR="005F3823" w:rsidSect="00562A3E">
      <w:pgSz w:w="16840" w:h="11907" w:orient="landscape" w:code="9"/>
      <w:pgMar w:top="709" w:right="1138" w:bottom="706" w:left="1138" w:header="706" w:footer="416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180"/>
    <w:multiLevelType w:val="multilevel"/>
    <w:tmpl w:val="A5C6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5B7"/>
    <w:multiLevelType w:val="multilevel"/>
    <w:tmpl w:val="D25EF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847EB"/>
    <w:multiLevelType w:val="multilevel"/>
    <w:tmpl w:val="9CBAF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76E21"/>
    <w:multiLevelType w:val="hybridMultilevel"/>
    <w:tmpl w:val="4E266A82"/>
    <w:lvl w:ilvl="0" w:tplc="1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D0D66D3"/>
    <w:multiLevelType w:val="hybridMultilevel"/>
    <w:tmpl w:val="C8980A2A"/>
    <w:lvl w:ilvl="0" w:tplc="1C090019">
      <w:start w:val="1"/>
      <w:numFmt w:val="lowerLetter"/>
      <w:lvlText w:val="%1."/>
      <w:lvlJc w:val="left"/>
      <w:pPr>
        <w:ind w:left="814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534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254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974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94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414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134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854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574" w:hanging="360"/>
      </w:pPr>
      <w:rPr>
        <w:rFonts w:hint="default" w:ascii="Wingdings" w:hAnsi="Wingdings"/>
      </w:rPr>
    </w:lvl>
  </w:abstractNum>
  <w:abstractNum w:abstractNumId="5" w15:restartNumberingAfterBreak="0">
    <w:nsid w:val="48DF556C"/>
    <w:multiLevelType w:val="multilevel"/>
    <w:tmpl w:val="A38E1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F22B9"/>
    <w:multiLevelType w:val="multilevel"/>
    <w:tmpl w:val="16CA9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57896042">
    <w:abstractNumId w:val="3"/>
  </w:num>
  <w:num w:numId="2" w16cid:durableId="1628390424">
    <w:abstractNumId w:val="6"/>
  </w:num>
  <w:num w:numId="3" w16cid:durableId="1675037020">
    <w:abstractNumId w:val="4"/>
  </w:num>
  <w:num w:numId="4" w16cid:durableId="555702268">
    <w:abstractNumId w:val="0"/>
  </w:num>
  <w:num w:numId="5" w16cid:durableId="656300835">
    <w:abstractNumId w:val="5"/>
  </w:num>
  <w:num w:numId="6" w16cid:durableId="572350663">
    <w:abstractNumId w:val="2"/>
  </w:num>
  <w:num w:numId="7" w16cid:durableId="114461463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A8A9"/>
    <w:rsid w:val="00036214"/>
    <w:rsid w:val="00041FE4"/>
    <w:rsid w:val="000479C3"/>
    <w:rsid w:val="000623E9"/>
    <w:rsid w:val="00064085"/>
    <w:rsid w:val="0007564B"/>
    <w:rsid w:val="00075FE6"/>
    <w:rsid w:val="000A6F24"/>
    <w:rsid w:val="000C4073"/>
    <w:rsid w:val="000D04B2"/>
    <w:rsid w:val="00107B0C"/>
    <w:rsid w:val="001200B6"/>
    <w:rsid w:val="00131328"/>
    <w:rsid w:val="001365B6"/>
    <w:rsid w:val="001406D1"/>
    <w:rsid w:val="00142816"/>
    <w:rsid w:val="001961D1"/>
    <w:rsid w:val="001C6709"/>
    <w:rsid w:val="001F2393"/>
    <w:rsid w:val="0022696F"/>
    <w:rsid w:val="002402D7"/>
    <w:rsid w:val="00287A69"/>
    <w:rsid w:val="002A1A8E"/>
    <w:rsid w:val="00312579"/>
    <w:rsid w:val="00324FAF"/>
    <w:rsid w:val="0034204B"/>
    <w:rsid w:val="003A6752"/>
    <w:rsid w:val="003B27E3"/>
    <w:rsid w:val="003B7B4F"/>
    <w:rsid w:val="003C3A56"/>
    <w:rsid w:val="003D6BB8"/>
    <w:rsid w:val="00440C62"/>
    <w:rsid w:val="0045641A"/>
    <w:rsid w:val="00477E11"/>
    <w:rsid w:val="00491626"/>
    <w:rsid w:val="00492351"/>
    <w:rsid w:val="004C353D"/>
    <w:rsid w:val="004D059F"/>
    <w:rsid w:val="004D62C1"/>
    <w:rsid w:val="00526195"/>
    <w:rsid w:val="00530F29"/>
    <w:rsid w:val="005569EB"/>
    <w:rsid w:val="00560B08"/>
    <w:rsid w:val="00562A3E"/>
    <w:rsid w:val="00587047"/>
    <w:rsid w:val="00590782"/>
    <w:rsid w:val="005B351E"/>
    <w:rsid w:val="005B499D"/>
    <w:rsid w:val="005B642D"/>
    <w:rsid w:val="005F3823"/>
    <w:rsid w:val="005F6FFB"/>
    <w:rsid w:val="00612EE8"/>
    <w:rsid w:val="0063205E"/>
    <w:rsid w:val="00637D47"/>
    <w:rsid w:val="006541BE"/>
    <w:rsid w:val="0065583B"/>
    <w:rsid w:val="00693E08"/>
    <w:rsid w:val="006C509F"/>
    <w:rsid w:val="006C5AFC"/>
    <w:rsid w:val="006E4EC1"/>
    <w:rsid w:val="006F30CC"/>
    <w:rsid w:val="00764861"/>
    <w:rsid w:val="00770CD6"/>
    <w:rsid w:val="007A6277"/>
    <w:rsid w:val="007C13E8"/>
    <w:rsid w:val="008036B4"/>
    <w:rsid w:val="00824E1B"/>
    <w:rsid w:val="00871BA5"/>
    <w:rsid w:val="008811CF"/>
    <w:rsid w:val="0088412D"/>
    <w:rsid w:val="008E462C"/>
    <w:rsid w:val="008E62D9"/>
    <w:rsid w:val="00917835"/>
    <w:rsid w:val="00930212"/>
    <w:rsid w:val="00955072"/>
    <w:rsid w:val="00973C9D"/>
    <w:rsid w:val="009B2A96"/>
    <w:rsid w:val="009B5F9C"/>
    <w:rsid w:val="009F0D3D"/>
    <w:rsid w:val="00A5022B"/>
    <w:rsid w:val="00A71AE5"/>
    <w:rsid w:val="00A77644"/>
    <w:rsid w:val="00B16E71"/>
    <w:rsid w:val="00B636F7"/>
    <w:rsid w:val="00B81BF8"/>
    <w:rsid w:val="00B843A9"/>
    <w:rsid w:val="00BE5ABC"/>
    <w:rsid w:val="00C00285"/>
    <w:rsid w:val="00C23ACB"/>
    <w:rsid w:val="00C51792"/>
    <w:rsid w:val="00C64523"/>
    <w:rsid w:val="00C8781C"/>
    <w:rsid w:val="00CA3C32"/>
    <w:rsid w:val="00CA6E14"/>
    <w:rsid w:val="00CB5FBA"/>
    <w:rsid w:val="00CC3834"/>
    <w:rsid w:val="00CD7E0E"/>
    <w:rsid w:val="00D03351"/>
    <w:rsid w:val="00D0414D"/>
    <w:rsid w:val="00D50669"/>
    <w:rsid w:val="00D525C0"/>
    <w:rsid w:val="00D6020D"/>
    <w:rsid w:val="00D851DF"/>
    <w:rsid w:val="00DA6991"/>
    <w:rsid w:val="00DB4376"/>
    <w:rsid w:val="00DC53E2"/>
    <w:rsid w:val="00E01585"/>
    <w:rsid w:val="00E02FE8"/>
    <w:rsid w:val="00E04DCF"/>
    <w:rsid w:val="00E16BF9"/>
    <w:rsid w:val="00E20724"/>
    <w:rsid w:val="00E44D5D"/>
    <w:rsid w:val="00E46850"/>
    <w:rsid w:val="00E66596"/>
    <w:rsid w:val="00EA337F"/>
    <w:rsid w:val="00EA3BBF"/>
    <w:rsid w:val="00EA672D"/>
    <w:rsid w:val="00EF0C98"/>
    <w:rsid w:val="00EF36CA"/>
    <w:rsid w:val="00F10D7E"/>
    <w:rsid w:val="00F11BC0"/>
    <w:rsid w:val="00F44A00"/>
    <w:rsid w:val="00F6236B"/>
    <w:rsid w:val="00F66394"/>
    <w:rsid w:val="00F7120F"/>
    <w:rsid w:val="00FB6959"/>
    <w:rsid w:val="00FD1C0C"/>
    <w:rsid w:val="09DED54B"/>
    <w:rsid w:val="1F088A3D"/>
    <w:rsid w:val="4DC2A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2A8A9"/>
  <w15:chartTrackingRefBased/>
  <w15:docId w15:val="{12FFC2CB-6552-4579-8F39-DCDA635A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Z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562A3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 w:eastAsia="en-US"/>
    </w:rPr>
  </w:style>
  <w:style w:type="paragraph" w:styleId="Default" w:customStyle="1">
    <w:name w:val="Default"/>
    <w:rsid w:val="00562A3E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lang w:val="en-ZA" w:eastAsia="en-US"/>
    </w:rPr>
  </w:style>
  <w:style w:type="table" w:styleId="TableGrid">
    <w:name w:val="Table Grid"/>
    <w:basedOn w:val="TableNormal"/>
    <w:uiPriority w:val="59"/>
    <w:rsid w:val="00562A3E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562A3E"/>
    <w:rPr>
      <w:rFonts w:eastAsiaTheme="minorHAns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DC5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7" ma:contentTypeDescription="Create a new document." ma:contentTypeScope="" ma:versionID="52545c68b926f6c6cd44f0b078b6b099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de530edfdb9342efc62ef1b2953109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Sign_x002d_off_x0020_status">
      <xsd:simpleType>
        <xsd:restriction base="dms:Text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7726b06a-d2d7-4530-a604-1f0ccdbe0f88">True</Record>
    <DispositionType xmlns="7726b06a-d2d7-4530-a604-1f0ccdbe0f88">No Action</DispositionType>
    <RecordType xmlns="7726b06a-d2d7-4530-a604-1f0ccdbe0f88">Electronic</RecordType>
    <Status xmlns="7726b06a-d2d7-4530-a604-1f0ccdbe0f88">Active</Status>
    <RetentionPeriod xmlns="7726b06a-d2d7-4530-a604-1f0ccdbe0f88">Indefinite</RetentionPeriod>
    <Classification xmlns="7726b06a-d2d7-4530-a604-1f0ccdbe0f88">Internal</Classification>
    <System xmlns="7726b06a-d2d7-4530-a604-1f0ccdbe0f88">SharePoint</System>
    <_Flow_SignoffStatus xmlns="7726b06a-d2d7-4530-a604-1f0ccdbe0f88" xsi:nil="true"/>
    <_ip_UnifiedCompliancePolicyUIAction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B12D7C-5E3D-47EA-B3DF-07A3FCA2B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83A89-A30B-4713-953C-3C8966FF35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AFAFA-4054-4508-846A-FAB2256F96CA}">
  <ds:schemaRefs>
    <ds:schemaRef ds:uri="http://schemas.microsoft.com/office/2006/metadata/properties"/>
    <ds:schemaRef ds:uri="http://schemas.microsoft.com/office/infopath/2007/PartnerControls"/>
    <ds:schemaRef ds:uri="7726b06a-d2d7-4530-a604-1f0ccdbe0f88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Masilu Kgofelo</dc:creator>
  <keywords/>
  <dc:description/>
  <lastModifiedBy>Masilu Kgofelo</lastModifiedBy>
  <revision>63</revision>
  <dcterms:created xsi:type="dcterms:W3CDTF">2026-05-08T08:16:00.0000000Z</dcterms:created>
  <dcterms:modified xsi:type="dcterms:W3CDTF">2026-06-12T08:42:57.6975779Z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MediaServiceImageTags">
    <vt:lpwstr/>
  </property>
  <property fmtid="{D5CDD505-2E9C-101B-9397-08002B2CF9AE}" pid="4" name="GrammarlyDocumentId">
    <vt:lpwstr>774fc295-98ad-4e9e-8634-e7c210b6b909</vt:lpwstr>
  </property>
</Properties>
</file>