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D96CB" w14:textId="40613B13" w:rsidR="008773A8" w:rsidRDefault="008773A8" w:rsidP="008773A8">
      <w:pPr>
        <w:rPr>
          <w:b/>
          <w:bCs/>
        </w:rPr>
      </w:pPr>
      <w:r w:rsidRPr="0081694C">
        <w:rPr>
          <w:rFonts w:ascii="Aptos" w:hAnsi="Aptos" w:cs="Arial"/>
          <w:noProof/>
          <w:sz w:val="21"/>
          <w:szCs w:val="21"/>
          <w:lang w:eastAsia="en-ZA"/>
        </w:rPr>
        <w:drawing>
          <wp:anchor distT="0" distB="0" distL="114300" distR="114300" simplePos="0" relativeHeight="251659264" behindDoc="0" locked="0" layoutInCell="1" allowOverlap="1" wp14:anchorId="6D242D94" wp14:editId="29036E54">
            <wp:simplePos x="0" y="0"/>
            <wp:positionH relativeFrom="margin">
              <wp:align>center</wp:align>
            </wp:positionH>
            <wp:positionV relativeFrom="paragraph">
              <wp:posOffset>-685800</wp:posOffset>
            </wp:positionV>
            <wp:extent cx="1579880" cy="1949450"/>
            <wp:effectExtent l="0" t="0" r="1270" b="0"/>
            <wp:wrapNone/>
            <wp:docPr id="14" name="Picture 14" descr="coatofarm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oatofarms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949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007C5D" w14:textId="77777777" w:rsidR="008773A8" w:rsidRDefault="008773A8" w:rsidP="008773A8">
      <w:pPr>
        <w:rPr>
          <w:b/>
          <w:bCs/>
        </w:rPr>
      </w:pPr>
    </w:p>
    <w:p w14:paraId="3309FA1A" w14:textId="77777777" w:rsidR="008773A8" w:rsidRDefault="008773A8" w:rsidP="008773A8">
      <w:pPr>
        <w:rPr>
          <w:b/>
          <w:bCs/>
        </w:rPr>
      </w:pPr>
    </w:p>
    <w:p w14:paraId="22120E5E" w14:textId="77777777" w:rsidR="008773A8" w:rsidRDefault="008773A8" w:rsidP="008773A8">
      <w:pPr>
        <w:rPr>
          <w:b/>
          <w:bCs/>
        </w:rPr>
      </w:pPr>
    </w:p>
    <w:p w14:paraId="68CDA9E3" w14:textId="1B22D354" w:rsidR="008773A8" w:rsidRDefault="008773A8" w:rsidP="008773A8">
      <w:pPr>
        <w:rPr>
          <w:b/>
          <w:bCs/>
        </w:rPr>
      </w:pPr>
      <w:r w:rsidRPr="0081694C">
        <w:rPr>
          <w:rFonts w:ascii="Aptos" w:hAnsi="Aptos" w:cs="Arial"/>
          <w:b/>
          <w:noProof/>
          <w:sz w:val="21"/>
          <w:szCs w:val="21"/>
          <w:lang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FC43B3" wp14:editId="4C136C4A">
                <wp:simplePos x="0" y="0"/>
                <wp:positionH relativeFrom="column">
                  <wp:posOffset>654050</wp:posOffset>
                </wp:positionH>
                <wp:positionV relativeFrom="paragraph">
                  <wp:posOffset>266065</wp:posOffset>
                </wp:positionV>
                <wp:extent cx="4800600" cy="0"/>
                <wp:effectExtent l="0" t="19050" r="0" b="19050"/>
                <wp:wrapNone/>
                <wp:docPr id="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2DEDE8" id="Line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5pt,20.95pt" to="429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" strokecolor="#c00000" strokeweight="3.5pt"/>
            </w:pict>
          </mc:Fallback>
        </mc:AlternateContent>
      </w:r>
    </w:p>
    <w:p w14:paraId="282C23AC" w14:textId="1763F45C" w:rsidR="008773A8" w:rsidRDefault="008773A8" w:rsidP="008773A8">
      <w:pPr>
        <w:rPr>
          <w:b/>
          <w:bCs/>
        </w:rPr>
      </w:pPr>
      <w:r>
        <w:rPr>
          <w:b/>
          <w:bCs/>
        </w:rPr>
        <w:t xml:space="preserve">   </w:t>
      </w:r>
    </w:p>
    <w:p w14:paraId="402FDA9C" w14:textId="212E271E" w:rsidR="008773A8" w:rsidRPr="002253F1" w:rsidRDefault="008773A8" w:rsidP="002253F1">
      <w:pPr>
        <w:tabs>
          <w:tab w:val="left" w:pos="2830"/>
        </w:tabs>
        <w:spacing w:before="120" w:after="120" w:line="360" w:lineRule="auto"/>
        <w:jc w:val="center"/>
        <w:rPr>
          <w:rFonts w:ascii="Aptos" w:hAnsi="Aptos"/>
          <w:b/>
          <w:bCs/>
          <w:sz w:val="21"/>
          <w:szCs w:val="21"/>
        </w:rPr>
      </w:pPr>
      <w:r w:rsidRPr="002253F1">
        <w:rPr>
          <w:rFonts w:ascii="Aptos" w:hAnsi="Aptos"/>
          <w:b/>
          <w:bCs/>
          <w:sz w:val="21"/>
          <w:szCs w:val="21"/>
        </w:rPr>
        <w:t>NATIONAL TREASURY</w:t>
      </w:r>
    </w:p>
    <w:p w14:paraId="391FE7BF" w14:textId="029F66D2" w:rsidR="008773A8" w:rsidRPr="002253F1" w:rsidRDefault="008773A8" w:rsidP="002253F1">
      <w:pPr>
        <w:tabs>
          <w:tab w:val="left" w:pos="2830"/>
        </w:tabs>
        <w:spacing w:before="120" w:after="120" w:line="360" w:lineRule="auto"/>
        <w:jc w:val="center"/>
        <w:rPr>
          <w:rFonts w:ascii="Aptos" w:hAnsi="Aptos"/>
          <w:b/>
          <w:bCs/>
          <w:sz w:val="21"/>
          <w:szCs w:val="21"/>
        </w:rPr>
      </w:pPr>
      <w:r w:rsidRPr="002253F1">
        <w:rPr>
          <w:rFonts w:ascii="Aptos" w:hAnsi="Aptos"/>
          <w:b/>
          <w:bCs/>
          <w:sz w:val="21"/>
          <w:szCs w:val="21"/>
        </w:rPr>
        <w:t>REPUBLIC OF SOUTH AFRICA</w:t>
      </w:r>
    </w:p>
    <w:p w14:paraId="37CE4ABC" w14:textId="77777777" w:rsidR="008773A8" w:rsidRPr="002253F1" w:rsidRDefault="008773A8" w:rsidP="002253F1">
      <w:pPr>
        <w:spacing w:before="120" w:after="120" w:line="360" w:lineRule="auto"/>
        <w:jc w:val="center"/>
        <w:rPr>
          <w:rFonts w:ascii="Aptos" w:hAnsi="Aptos"/>
          <w:b/>
          <w:bCs/>
          <w:sz w:val="21"/>
          <w:szCs w:val="21"/>
        </w:rPr>
      </w:pPr>
    </w:p>
    <w:p w14:paraId="4B840B53" w14:textId="6A0A7EE8" w:rsidR="008773A8" w:rsidRPr="002253F1" w:rsidRDefault="008773A8" w:rsidP="002253F1">
      <w:pPr>
        <w:spacing w:before="120" w:after="120" w:line="360" w:lineRule="auto"/>
        <w:jc w:val="center"/>
        <w:rPr>
          <w:rFonts w:ascii="Aptos" w:hAnsi="Aptos"/>
          <w:sz w:val="21"/>
          <w:szCs w:val="21"/>
        </w:rPr>
      </w:pPr>
      <w:r w:rsidRPr="002253F1">
        <w:rPr>
          <w:rFonts w:ascii="Aptos" w:hAnsi="Aptos"/>
          <w:b/>
          <w:bCs/>
          <w:sz w:val="21"/>
          <w:szCs w:val="21"/>
        </w:rPr>
        <w:t>Request for Information (RFI): Supply and Delivery of Hypodermic Syringes, Needles, and Bloodletting Devices and Related Items</w:t>
      </w:r>
    </w:p>
    <w:p w14:paraId="23B35A27" w14:textId="03CF86B3" w:rsidR="008773A8" w:rsidRPr="002253F1" w:rsidRDefault="008773A8" w:rsidP="002253F1">
      <w:pPr>
        <w:spacing w:before="120" w:after="120" w:line="360" w:lineRule="auto"/>
        <w:jc w:val="both"/>
        <w:rPr>
          <w:rFonts w:ascii="Aptos" w:hAnsi="Aptos"/>
          <w:sz w:val="21"/>
          <w:szCs w:val="21"/>
        </w:rPr>
      </w:pPr>
      <w:r w:rsidRPr="002253F1">
        <w:rPr>
          <w:rFonts w:ascii="Aptos" w:hAnsi="Aptos"/>
          <w:sz w:val="21"/>
          <w:szCs w:val="21"/>
        </w:rPr>
        <w:t>RFI Reference Number: RT284-2026</w:t>
      </w:r>
    </w:p>
    <w:p w14:paraId="32964C55" w14:textId="65C766FA" w:rsidR="008773A8" w:rsidRPr="002253F1" w:rsidRDefault="008773A8" w:rsidP="002253F1">
      <w:pPr>
        <w:spacing w:before="120" w:after="120" w:line="360" w:lineRule="auto"/>
        <w:jc w:val="both"/>
        <w:rPr>
          <w:rFonts w:ascii="Aptos" w:hAnsi="Aptos"/>
          <w:sz w:val="21"/>
          <w:szCs w:val="21"/>
        </w:rPr>
      </w:pPr>
      <w:r w:rsidRPr="002253F1">
        <w:rPr>
          <w:rFonts w:ascii="Aptos" w:hAnsi="Aptos"/>
          <w:sz w:val="21"/>
          <w:szCs w:val="21"/>
        </w:rPr>
        <w:t xml:space="preserve">Issue Date: </w:t>
      </w:r>
      <w:r w:rsidR="0022268B">
        <w:rPr>
          <w:rFonts w:ascii="Aptos" w:hAnsi="Aptos"/>
          <w:sz w:val="21"/>
          <w:szCs w:val="21"/>
        </w:rPr>
        <w:t>17</w:t>
      </w:r>
      <w:r w:rsidR="002253F1">
        <w:rPr>
          <w:rFonts w:ascii="Aptos" w:hAnsi="Aptos"/>
          <w:sz w:val="21"/>
          <w:szCs w:val="21"/>
        </w:rPr>
        <w:t xml:space="preserve"> </w:t>
      </w:r>
      <w:r w:rsidRPr="002253F1">
        <w:rPr>
          <w:rFonts w:ascii="Aptos" w:hAnsi="Aptos"/>
          <w:sz w:val="21"/>
          <w:szCs w:val="21"/>
        </w:rPr>
        <w:t>October 2025</w:t>
      </w:r>
    </w:p>
    <w:p w14:paraId="4AFB1B44" w14:textId="03C1F266" w:rsidR="008773A8" w:rsidRPr="002253F1" w:rsidRDefault="007D74F2" w:rsidP="002253F1">
      <w:pPr>
        <w:spacing w:before="120" w:after="120" w:line="360" w:lineRule="auto"/>
        <w:jc w:val="both"/>
        <w:rPr>
          <w:rFonts w:ascii="Aptos" w:hAnsi="Aptos"/>
          <w:sz w:val="21"/>
          <w:szCs w:val="21"/>
        </w:rPr>
      </w:pPr>
      <w:r w:rsidRPr="002253F1">
        <w:rPr>
          <w:rFonts w:ascii="Aptos" w:hAnsi="Aptos"/>
          <w:sz w:val="21"/>
          <w:szCs w:val="21"/>
        </w:rPr>
        <w:t xml:space="preserve">Closing date and </w:t>
      </w:r>
      <w:r w:rsidR="002253F1" w:rsidRPr="002253F1">
        <w:rPr>
          <w:rFonts w:ascii="Aptos" w:hAnsi="Aptos"/>
          <w:sz w:val="21"/>
          <w:szCs w:val="21"/>
        </w:rPr>
        <w:t>time:</w:t>
      </w:r>
      <w:r w:rsidR="008773A8" w:rsidRPr="002253F1">
        <w:rPr>
          <w:rFonts w:ascii="Aptos" w:hAnsi="Aptos"/>
          <w:sz w:val="21"/>
          <w:szCs w:val="21"/>
        </w:rPr>
        <w:t xml:space="preserve"> </w:t>
      </w:r>
      <w:r w:rsidR="002253F1">
        <w:rPr>
          <w:rFonts w:ascii="Aptos" w:hAnsi="Aptos"/>
          <w:sz w:val="21"/>
          <w:szCs w:val="21"/>
        </w:rPr>
        <w:t xml:space="preserve">31 </w:t>
      </w:r>
      <w:r w:rsidR="008773A8" w:rsidRPr="002253F1">
        <w:rPr>
          <w:rFonts w:ascii="Aptos" w:hAnsi="Aptos"/>
          <w:sz w:val="21"/>
          <w:szCs w:val="21"/>
        </w:rPr>
        <w:t>October 2025</w:t>
      </w:r>
      <w:r w:rsidRPr="002253F1">
        <w:rPr>
          <w:rFonts w:ascii="Aptos" w:hAnsi="Aptos"/>
          <w:sz w:val="21"/>
          <w:szCs w:val="21"/>
        </w:rPr>
        <w:t xml:space="preserve"> @ 11h00</w:t>
      </w:r>
    </w:p>
    <w:p w14:paraId="64D2F9F1" w14:textId="30E2AC2B" w:rsidR="008773A8" w:rsidRPr="002253F1" w:rsidRDefault="008773A8" w:rsidP="002253F1">
      <w:pPr>
        <w:spacing w:before="120" w:after="120" w:line="360" w:lineRule="auto"/>
        <w:jc w:val="both"/>
        <w:rPr>
          <w:rFonts w:ascii="Aptos" w:hAnsi="Aptos"/>
          <w:sz w:val="21"/>
          <w:szCs w:val="21"/>
        </w:rPr>
      </w:pPr>
      <w:r w:rsidRPr="002253F1">
        <w:rPr>
          <w:rFonts w:ascii="Aptos" w:hAnsi="Aptos"/>
          <w:sz w:val="21"/>
          <w:szCs w:val="21"/>
        </w:rPr>
        <w:t xml:space="preserve">Contact Person for Inquiries: Thivhileli Matshinyatsimbi, e-mail address: </w:t>
      </w:r>
      <w:hyperlink r:id="rId8" w:history="1">
        <w:r w:rsidRPr="002253F1">
          <w:rPr>
            <w:rStyle w:val="Hyperlink"/>
            <w:rFonts w:ascii="Aptos" w:hAnsi="Aptos"/>
            <w:sz w:val="21"/>
            <w:szCs w:val="21"/>
          </w:rPr>
          <w:t>Thivhileli.Matshinyatsimbi@treasury.gov.za</w:t>
        </w:r>
      </w:hyperlink>
    </w:p>
    <w:p w14:paraId="720EE9BA" w14:textId="77777777" w:rsidR="008773A8" w:rsidRPr="002253F1" w:rsidRDefault="0022268B" w:rsidP="002253F1">
      <w:pPr>
        <w:spacing w:before="120" w:after="120" w:line="360" w:lineRule="auto"/>
        <w:jc w:val="both"/>
        <w:rPr>
          <w:rFonts w:ascii="Aptos" w:hAnsi="Aptos"/>
          <w:sz w:val="21"/>
          <w:szCs w:val="21"/>
        </w:rPr>
      </w:pPr>
      <w:r>
        <w:rPr>
          <w:rFonts w:ascii="Aptos" w:hAnsi="Aptos"/>
          <w:sz w:val="21"/>
          <w:szCs w:val="21"/>
        </w:rPr>
        <w:pict w14:anchorId="00615B84">
          <v:rect id="_x0000_i1025" style="width:0;height:1.5pt" o:hralign="center" o:hrstd="t" o:hrnoshade="t" o:hr="t" fillcolor="gray" stroked="f"/>
        </w:pict>
      </w:r>
    </w:p>
    <w:p w14:paraId="41296C6C" w14:textId="77777777" w:rsidR="008773A8" w:rsidRPr="00C93122" w:rsidRDefault="008773A8" w:rsidP="002253F1">
      <w:pPr>
        <w:spacing w:before="120" w:after="120" w:line="360" w:lineRule="auto"/>
        <w:jc w:val="both"/>
        <w:rPr>
          <w:rFonts w:ascii="Aptos" w:hAnsi="Aptos"/>
          <w:b/>
          <w:bCs/>
        </w:rPr>
      </w:pPr>
      <w:r w:rsidRPr="00C93122">
        <w:rPr>
          <w:rFonts w:ascii="Aptos" w:hAnsi="Aptos"/>
          <w:b/>
          <w:bCs/>
        </w:rPr>
        <w:t>1. Introduction and Purpose</w:t>
      </w:r>
    </w:p>
    <w:p w14:paraId="6D313BC8" w14:textId="33EFAAB0" w:rsidR="008773A8" w:rsidRPr="00C93122" w:rsidRDefault="004D7B45" w:rsidP="002253F1">
      <w:pPr>
        <w:spacing w:before="120" w:after="120" w:line="360" w:lineRule="auto"/>
        <w:jc w:val="both"/>
        <w:rPr>
          <w:rFonts w:ascii="Aptos" w:hAnsi="Aptos"/>
          <w:sz w:val="21"/>
          <w:szCs w:val="21"/>
        </w:rPr>
      </w:pPr>
      <w:r w:rsidRPr="00C93122">
        <w:rPr>
          <w:rFonts w:ascii="Aptos" w:hAnsi="Aptos"/>
          <w:sz w:val="21"/>
          <w:szCs w:val="21"/>
        </w:rPr>
        <w:t xml:space="preserve">The National </w:t>
      </w:r>
      <w:r w:rsidR="002253F1" w:rsidRPr="00C93122">
        <w:rPr>
          <w:rFonts w:ascii="Aptos" w:hAnsi="Aptos"/>
          <w:sz w:val="21"/>
          <w:szCs w:val="21"/>
        </w:rPr>
        <w:t xml:space="preserve">Treasury is </w:t>
      </w:r>
      <w:r w:rsidR="008773A8" w:rsidRPr="00C93122">
        <w:rPr>
          <w:rFonts w:ascii="Aptos" w:hAnsi="Aptos"/>
          <w:sz w:val="21"/>
          <w:szCs w:val="21"/>
        </w:rPr>
        <w:t xml:space="preserve">issuing this Request for Information (RFI) to gather market data and technical specifications from qualified suppliers for the potential supply and delivery </w:t>
      </w:r>
      <w:r w:rsidRPr="00C93122">
        <w:rPr>
          <w:rFonts w:ascii="Aptos" w:hAnsi="Aptos"/>
          <w:sz w:val="21"/>
          <w:szCs w:val="21"/>
        </w:rPr>
        <w:t>of hypodermic</w:t>
      </w:r>
      <w:r w:rsidR="008773A8" w:rsidRPr="00C93122">
        <w:rPr>
          <w:rFonts w:ascii="Aptos" w:hAnsi="Aptos"/>
          <w:sz w:val="21"/>
          <w:szCs w:val="21"/>
        </w:rPr>
        <w:t xml:space="preserve"> syringes, needles, bloodletting devices, and related items.</w:t>
      </w:r>
    </w:p>
    <w:p w14:paraId="14CF4B9D" w14:textId="04577571" w:rsidR="008773A8" w:rsidRPr="00C93122" w:rsidRDefault="008773A8" w:rsidP="002253F1">
      <w:pPr>
        <w:spacing w:before="120" w:after="120" w:line="360" w:lineRule="auto"/>
        <w:jc w:val="both"/>
        <w:rPr>
          <w:rFonts w:ascii="Aptos" w:hAnsi="Aptos"/>
          <w:sz w:val="21"/>
          <w:szCs w:val="21"/>
        </w:rPr>
      </w:pPr>
      <w:r w:rsidRPr="00C93122">
        <w:rPr>
          <w:rFonts w:ascii="Aptos" w:hAnsi="Aptos"/>
          <w:sz w:val="21"/>
          <w:szCs w:val="21"/>
        </w:rPr>
        <w:t>This RFI is</w:t>
      </w:r>
      <w:r w:rsidR="002253F1" w:rsidRPr="00C93122">
        <w:rPr>
          <w:rFonts w:ascii="Aptos" w:hAnsi="Aptos"/>
          <w:sz w:val="21"/>
          <w:szCs w:val="21"/>
        </w:rPr>
        <w:t xml:space="preserve"> issued solely for</w:t>
      </w:r>
      <w:r w:rsidRPr="00C93122">
        <w:rPr>
          <w:rFonts w:ascii="Aptos" w:hAnsi="Aptos"/>
          <w:sz w:val="21"/>
          <w:szCs w:val="21"/>
        </w:rPr>
        <w:t xml:space="preserve"> informational and planning purposes and is not a Request for Proposal (RFP), Request for Quote (RFQ), or an invitation to bid. It does not constitute a commitment to </w:t>
      </w:r>
      <w:r w:rsidR="004D7B45" w:rsidRPr="00C93122">
        <w:rPr>
          <w:rFonts w:ascii="Aptos" w:hAnsi="Aptos"/>
          <w:sz w:val="21"/>
          <w:szCs w:val="21"/>
        </w:rPr>
        <w:t>enter</w:t>
      </w:r>
      <w:r w:rsidRPr="00C93122">
        <w:rPr>
          <w:rFonts w:ascii="Aptos" w:hAnsi="Aptos"/>
          <w:sz w:val="21"/>
          <w:szCs w:val="21"/>
        </w:rPr>
        <w:t xml:space="preserve"> </w:t>
      </w:r>
      <w:r w:rsidR="002253F1" w:rsidRPr="00C93122">
        <w:rPr>
          <w:rFonts w:ascii="Aptos" w:hAnsi="Aptos"/>
          <w:sz w:val="21"/>
          <w:szCs w:val="21"/>
        </w:rPr>
        <w:t xml:space="preserve">into </w:t>
      </w:r>
      <w:r w:rsidRPr="00C93122">
        <w:rPr>
          <w:rFonts w:ascii="Aptos" w:hAnsi="Aptos"/>
          <w:sz w:val="21"/>
          <w:szCs w:val="21"/>
        </w:rPr>
        <w:t xml:space="preserve">a contract. The information gathered will </w:t>
      </w:r>
      <w:r w:rsidR="004D7B45" w:rsidRPr="00C93122">
        <w:rPr>
          <w:rFonts w:ascii="Aptos" w:hAnsi="Aptos"/>
          <w:sz w:val="21"/>
          <w:szCs w:val="21"/>
        </w:rPr>
        <w:t xml:space="preserve">assist </w:t>
      </w:r>
      <w:r w:rsidR="004448FA" w:rsidRPr="00C93122">
        <w:rPr>
          <w:rFonts w:ascii="Aptos" w:hAnsi="Aptos"/>
          <w:sz w:val="21"/>
          <w:szCs w:val="21"/>
        </w:rPr>
        <w:t>Transversal</w:t>
      </w:r>
      <w:r w:rsidR="004D7B45" w:rsidRPr="00C93122">
        <w:rPr>
          <w:rFonts w:ascii="Aptos" w:hAnsi="Aptos"/>
          <w:sz w:val="21"/>
          <w:szCs w:val="21"/>
        </w:rPr>
        <w:t xml:space="preserve"> Contracting </w:t>
      </w:r>
      <w:r w:rsidR="002253F1" w:rsidRPr="00C93122">
        <w:rPr>
          <w:rFonts w:ascii="Aptos" w:hAnsi="Aptos"/>
          <w:sz w:val="21"/>
          <w:szCs w:val="21"/>
        </w:rPr>
        <w:t xml:space="preserve">unit </w:t>
      </w:r>
      <w:r w:rsidR="004D7B45" w:rsidRPr="00C93122">
        <w:rPr>
          <w:rFonts w:ascii="Aptos" w:hAnsi="Aptos"/>
          <w:sz w:val="21"/>
          <w:szCs w:val="21"/>
        </w:rPr>
        <w:t>within the Office of the Chief Procurement Officer (</w:t>
      </w:r>
      <w:r w:rsidR="00B0263D" w:rsidRPr="00C93122">
        <w:rPr>
          <w:rFonts w:ascii="Aptos" w:hAnsi="Aptos"/>
          <w:sz w:val="21"/>
          <w:szCs w:val="21"/>
        </w:rPr>
        <w:t>OCPO) in</w:t>
      </w:r>
      <w:r w:rsidRPr="00C93122">
        <w:rPr>
          <w:rFonts w:ascii="Aptos" w:hAnsi="Aptos"/>
          <w:sz w:val="21"/>
          <w:szCs w:val="21"/>
        </w:rPr>
        <w:t xml:space="preserve"> finalizing product specifications and understanding current market availability and pricing.</w:t>
      </w:r>
    </w:p>
    <w:p w14:paraId="17E2D3BA" w14:textId="728EDAB7" w:rsidR="004448FA" w:rsidRPr="00C93122" w:rsidRDefault="004448FA" w:rsidP="002253F1">
      <w:pPr>
        <w:spacing w:before="120" w:after="120" w:line="360" w:lineRule="auto"/>
        <w:jc w:val="both"/>
        <w:rPr>
          <w:rFonts w:ascii="Aptos" w:hAnsi="Aptos"/>
          <w:sz w:val="21"/>
          <w:szCs w:val="21"/>
        </w:rPr>
      </w:pPr>
      <w:r w:rsidRPr="00C93122">
        <w:rPr>
          <w:rFonts w:ascii="Aptos" w:hAnsi="Aptos"/>
          <w:sz w:val="21"/>
          <w:szCs w:val="21"/>
        </w:rPr>
        <w:t>Request for Information (RFI) is advertised on the National Treasury website (</w:t>
      </w:r>
      <w:hyperlink r:id="rId9" w:history="1">
        <w:r w:rsidRPr="00C93122">
          <w:rPr>
            <w:rStyle w:val="Hyperlink"/>
            <w:rFonts w:ascii="Aptos" w:hAnsi="Aptos"/>
            <w:sz w:val="21"/>
            <w:szCs w:val="21"/>
          </w:rPr>
          <w:t>www.treasury.gov.za</w:t>
        </w:r>
      </w:hyperlink>
      <w:r w:rsidRPr="00C93122">
        <w:rPr>
          <w:rFonts w:ascii="Aptos" w:hAnsi="Aptos"/>
          <w:sz w:val="21"/>
          <w:szCs w:val="21"/>
        </w:rPr>
        <w:t>)  and on the government eTenders portal (www.etenders.gov.za)</w:t>
      </w:r>
    </w:p>
    <w:p w14:paraId="6F94857F" w14:textId="77777777" w:rsidR="008773A8" w:rsidRPr="00C93122" w:rsidRDefault="008773A8" w:rsidP="00C93122">
      <w:pPr>
        <w:spacing w:before="120" w:after="120" w:line="360" w:lineRule="auto"/>
        <w:jc w:val="both"/>
        <w:rPr>
          <w:rFonts w:ascii="Aptos" w:hAnsi="Aptos"/>
          <w:b/>
          <w:bCs/>
        </w:rPr>
      </w:pPr>
      <w:r w:rsidRPr="00C93122">
        <w:rPr>
          <w:rFonts w:ascii="Aptos" w:hAnsi="Aptos"/>
          <w:b/>
          <w:bCs/>
        </w:rPr>
        <w:lastRenderedPageBreak/>
        <w:t>2. Background and Scope</w:t>
      </w:r>
    </w:p>
    <w:p w14:paraId="6658FD92" w14:textId="77777777" w:rsidR="00B0263D" w:rsidRPr="00C93122" w:rsidRDefault="00B0263D" w:rsidP="00B0263D">
      <w:pPr>
        <w:widowControl w:val="0"/>
        <w:spacing w:before="120" w:after="120" w:line="360" w:lineRule="auto"/>
        <w:ind w:right="37"/>
        <w:jc w:val="both"/>
        <w:rPr>
          <w:rFonts w:ascii="Aptos" w:hAnsi="Aptos" w:cstheme="minorHAnsi"/>
          <w:sz w:val="21"/>
          <w:szCs w:val="21"/>
        </w:rPr>
      </w:pPr>
      <w:r w:rsidRPr="00C93122">
        <w:rPr>
          <w:rFonts w:ascii="Aptos" w:hAnsi="Aptos" w:cstheme="minorHAnsi"/>
          <w:sz w:val="21"/>
          <w:szCs w:val="21"/>
        </w:rPr>
        <w:t>The main objective of procuring hypodermic syringes, needles, and bloodletting devices is to ensure a continuous and reliable supply of these essential medical consumables to healthcare facilities. This is critical for maintaining effective and safe patient care.</w:t>
      </w:r>
    </w:p>
    <w:p w14:paraId="51EDFF42" w14:textId="77777777" w:rsidR="00B0263D" w:rsidRPr="00C93122" w:rsidRDefault="00B0263D" w:rsidP="00B0263D">
      <w:pPr>
        <w:widowControl w:val="0"/>
        <w:spacing w:before="120" w:after="120" w:line="360" w:lineRule="auto"/>
        <w:ind w:right="37"/>
        <w:jc w:val="both"/>
        <w:rPr>
          <w:rFonts w:ascii="Aptos" w:hAnsi="Aptos" w:cstheme="minorHAnsi"/>
          <w:sz w:val="21"/>
          <w:szCs w:val="21"/>
        </w:rPr>
      </w:pPr>
      <w:r w:rsidRPr="00C93122">
        <w:rPr>
          <w:rFonts w:ascii="Aptos" w:hAnsi="Aptos" w:cstheme="minorHAnsi"/>
          <w:sz w:val="21"/>
          <w:szCs w:val="21"/>
        </w:rPr>
        <w:t>The primary goal for the supply and delivery of hypodermic syringes, needles and bloodletting devices and related items to the state is to ensure a consistent and reliable supply of a wide range of needles, syringes, and related items to state-run healthcare facilities (hospitals, clinics, etc.) This is crucial for maintaining public health services, including injections, blood draws, and other medical procedures.</w:t>
      </w:r>
    </w:p>
    <w:p w14:paraId="7CD66C49" w14:textId="49052767" w:rsidR="00B0263D" w:rsidRPr="00C93122" w:rsidRDefault="00B0263D" w:rsidP="002253F1">
      <w:pPr>
        <w:spacing w:before="120" w:after="120" w:line="360" w:lineRule="auto"/>
        <w:jc w:val="both"/>
        <w:rPr>
          <w:rFonts w:ascii="Aptos" w:hAnsi="Aptos" w:cstheme="minorHAnsi"/>
          <w:sz w:val="21"/>
          <w:szCs w:val="21"/>
        </w:rPr>
      </w:pPr>
      <w:r w:rsidRPr="00C93122">
        <w:rPr>
          <w:rFonts w:ascii="Aptos" w:hAnsi="Aptos" w:cstheme="minorHAnsi"/>
          <w:sz w:val="21"/>
          <w:szCs w:val="21"/>
        </w:rPr>
        <w:t xml:space="preserve">The scope of this RFI covers the potential supply and delivery of a range of sterile, single-use medical devices as described in the specification document attached as </w:t>
      </w:r>
      <w:r w:rsidRPr="00C93122">
        <w:rPr>
          <w:rFonts w:ascii="Aptos" w:hAnsi="Aptos" w:cstheme="minorHAnsi"/>
          <w:b/>
          <w:bCs/>
          <w:sz w:val="21"/>
          <w:szCs w:val="21"/>
        </w:rPr>
        <w:t>annexure A</w:t>
      </w:r>
      <w:r w:rsidRPr="00C93122">
        <w:rPr>
          <w:rFonts w:ascii="Aptos" w:hAnsi="Aptos" w:cstheme="minorHAnsi"/>
          <w:sz w:val="21"/>
          <w:szCs w:val="21"/>
        </w:rPr>
        <w:t xml:space="preserve"> </w:t>
      </w:r>
    </w:p>
    <w:p w14:paraId="5DB2D357" w14:textId="77777777" w:rsidR="008773A8" w:rsidRPr="00C93122" w:rsidRDefault="008773A8" w:rsidP="002253F1">
      <w:pPr>
        <w:spacing w:before="120" w:after="120" w:line="360" w:lineRule="auto"/>
        <w:jc w:val="both"/>
        <w:rPr>
          <w:rFonts w:ascii="Aptos" w:hAnsi="Aptos"/>
          <w:b/>
          <w:bCs/>
        </w:rPr>
      </w:pPr>
      <w:r w:rsidRPr="00C93122">
        <w:rPr>
          <w:rFonts w:ascii="Aptos" w:hAnsi="Aptos"/>
          <w:b/>
          <w:bCs/>
        </w:rPr>
        <w:t>3. Supplier Information</w:t>
      </w:r>
    </w:p>
    <w:p w14:paraId="6268E0E4" w14:textId="077327CF" w:rsidR="00B0263D" w:rsidRPr="00C93122" w:rsidRDefault="00B0263D" w:rsidP="002253F1">
      <w:pPr>
        <w:spacing w:before="120" w:after="120" w:line="360" w:lineRule="auto"/>
        <w:jc w:val="both"/>
        <w:rPr>
          <w:sz w:val="21"/>
          <w:szCs w:val="21"/>
        </w:rPr>
      </w:pPr>
      <w:r w:rsidRPr="00C93122">
        <w:rPr>
          <w:sz w:val="21"/>
          <w:szCs w:val="21"/>
        </w:rPr>
        <w:t>Suppliers are required to provide the following information in the specification document:</w:t>
      </w:r>
    </w:p>
    <w:p w14:paraId="6E1FCEEC" w14:textId="50569036" w:rsidR="00B0263D" w:rsidRPr="00C93122" w:rsidRDefault="00B0263D" w:rsidP="002253F1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b/>
          <w:bCs/>
          <w:sz w:val="21"/>
          <w:szCs w:val="21"/>
        </w:rPr>
      </w:pPr>
      <w:r w:rsidRPr="00C93122">
        <w:rPr>
          <w:sz w:val="21"/>
          <w:szCs w:val="21"/>
        </w:rPr>
        <w:t>Full Legal Company Name</w:t>
      </w:r>
    </w:p>
    <w:p w14:paraId="784E681D" w14:textId="784E5CB1" w:rsidR="00B0263D" w:rsidRPr="00C93122" w:rsidRDefault="00B0263D" w:rsidP="002253F1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b/>
          <w:bCs/>
          <w:sz w:val="21"/>
          <w:szCs w:val="21"/>
        </w:rPr>
      </w:pPr>
      <w:r w:rsidRPr="00C93122">
        <w:rPr>
          <w:sz w:val="21"/>
          <w:szCs w:val="21"/>
        </w:rPr>
        <w:t>Primary Contact Person for this RFI</w:t>
      </w:r>
    </w:p>
    <w:p w14:paraId="49A412AE" w14:textId="4A59C456" w:rsidR="00B0263D" w:rsidRPr="00C93122" w:rsidRDefault="00B0263D" w:rsidP="002253F1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b/>
          <w:bCs/>
          <w:sz w:val="21"/>
          <w:szCs w:val="21"/>
        </w:rPr>
      </w:pPr>
      <w:r w:rsidRPr="00C93122">
        <w:rPr>
          <w:sz w:val="21"/>
          <w:szCs w:val="21"/>
        </w:rPr>
        <w:t xml:space="preserve">Company Address </w:t>
      </w:r>
    </w:p>
    <w:p w14:paraId="36780FBD" w14:textId="37008AAC" w:rsidR="00B0263D" w:rsidRPr="00C93122" w:rsidRDefault="00B0263D" w:rsidP="002253F1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b/>
          <w:bCs/>
          <w:sz w:val="21"/>
          <w:szCs w:val="21"/>
        </w:rPr>
      </w:pPr>
      <w:r w:rsidRPr="00C93122">
        <w:rPr>
          <w:sz w:val="21"/>
          <w:szCs w:val="21"/>
        </w:rPr>
        <w:t>Contact Telephone and Email</w:t>
      </w:r>
    </w:p>
    <w:p w14:paraId="4411B5A6" w14:textId="77777777" w:rsidR="00C93122" w:rsidRPr="00C93122" w:rsidRDefault="00B0263D" w:rsidP="00C93122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b/>
          <w:bCs/>
          <w:sz w:val="21"/>
          <w:szCs w:val="21"/>
        </w:rPr>
      </w:pPr>
      <w:r w:rsidRPr="00C93122">
        <w:rPr>
          <w:sz w:val="21"/>
          <w:szCs w:val="21"/>
        </w:rPr>
        <w:t>Primary Business Activity (e.g., Manufacturer, Authorized Distributor, Wholesaler)</w:t>
      </w:r>
    </w:p>
    <w:p w14:paraId="637312A0" w14:textId="62F74B54" w:rsidR="00B126EC" w:rsidRPr="00C93122" w:rsidRDefault="00B126EC" w:rsidP="00C93122">
      <w:pPr>
        <w:pStyle w:val="ListParagraph"/>
        <w:numPr>
          <w:ilvl w:val="0"/>
          <w:numId w:val="3"/>
        </w:numPr>
        <w:spacing w:before="120" w:after="120" w:line="360" w:lineRule="auto"/>
        <w:jc w:val="both"/>
        <w:rPr>
          <w:sz w:val="21"/>
          <w:szCs w:val="21"/>
        </w:rPr>
      </w:pPr>
      <w:r w:rsidRPr="00C93122">
        <w:rPr>
          <w:rFonts w:ascii="Aptos" w:hAnsi="Aptos"/>
          <w:sz w:val="21"/>
          <w:szCs w:val="21"/>
        </w:rPr>
        <w:t>Years in business supplying similar medical devices</w:t>
      </w:r>
    </w:p>
    <w:p w14:paraId="0B4FFA7D" w14:textId="29149ABD" w:rsidR="008773A8" w:rsidRPr="00C93122" w:rsidRDefault="008773A8" w:rsidP="002253F1">
      <w:pPr>
        <w:spacing w:before="120" w:after="120" w:line="360" w:lineRule="auto"/>
        <w:jc w:val="both"/>
        <w:rPr>
          <w:rFonts w:ascii="Aptos" w:hAnsi="Aptos"/>
          <w:b/>
          <w:bCs/>
        </w:rPr>
      </w:pPr>
      <w:r w:rsidRPr="00C93122">
        <w:rPr>
          <w:rFonts w:ascii="Aptos" w:hAnsi="Aptos"/>
          <w:b/>
          <w:bCs/>
        </w:rPr>
        <w:t>4</w:t>
      </w:r>
      <w:r w:rsidR="002253F1" w:rsidRPr="00C93122">
        <w:rPr>
          <w:rFonts w:ascii="Aptos" w:hAnsi="Aptos"/>
          <w:b/>
          <w:bCs/>
        </w:rPr>
        <w:t>.</w:t>
      </w:r>
      <w:r w:rsidRPr="00C93122">
        <w:rPr>
          <w:rFonts w:ascii="Aptos" w:hAnsi="Aptos"/>
          <w:b/>
          <w:bCs/>
        </w:rPr>
        <w:t xml:space="preserve"> Product List and Technical Validation</w:t>
      </w:r>
    </w:p>
    <w:p w14:paraId="16493B6B" w14:textId="4B587849" w:rsidR="008773A8" w:rsidRPr="00C93122" w:rsidRDefault="00B126EC" w:rsidP="002253F1">
      <w:pPr>
        <w:spacing w:before="120" w:after="120" w:line="360" w:lineRule="auto"/>
        <w:jc w:val="both"/>
        <w:rPr>
          <w:rFonts w:ascii="Aptos" w:hAnsi="Aptos" w:cstheme="minorHAnsi"/>
          <w:sz w:val="21"/>
          <w:szCs w:val="21"/>
        </w:rPr>
      </w:pPr>
      <w:r w:rsidRPr="00C93122">
        <w:rPr>
          <w:rFonts w:ascii="Aptos" w:hAnsi="Aptos" w:cstheme="minorHAnsi"/>
          <w:sz w:val="21"/>
          <w:szCs w:val="21"/>
        </w:rPr>
        <w:t xml:space="preserve">The list of items and </w:t>
      </w:r>
      <w:r w:rsidR="002253F1" w:rsidRPr="00C93122">
        <w:rPr>
          <w:rFonts w:ascii="Aptos" w:hAnsi="Aptos" w:cstheme="minorHAnsi"/>
          <w:sz w:val="21"/>
          <w:szCs w:val="21"/>
        </w:rPr>
        <w:t xml:space="preserve">their respective </w:t>
      </w:r>
      <w:r w:rsidRPr="00C93122">
        <w:rPr>
          <w:rFonts w:ascii="Aptos" w:hAnsi="Aptos" w:cstheme="minorHAnsi"/>
          <w:sz w:val="21"/>
          <w:szCs w:val="21"/>
        </w:rPr>
        <w:t>sizes are outlined in the specification document, attached as annexure</w:t>
      </w:r>
      <w:r w:rsidR="002253F1" w:rsidRPr="00C93122">
        <w:rPr>
          <w:rFonts w:ascii="Aptos" w:hAnsi="Aptos" w:cstheme="minorHAnsi"/>
          <w:sz w:val="21"/>
          <w:szCs w:val="21"/>
        </w:rPr>
        <w:t xml:space="preserve"> </w:t>
      </w:r>
      <w:r w:rsidRPr="00C93122">
        <w:rPr>
          <w:rFonts w:ascii="Aptos" w:hAnsi="Aptos" w:cstheme="minorHAnsi"/>
          <w:sz w:val="21"/>
          <w:szCs w:val="21"/>
        </w:rPr>
        <w:t xml:space="preserve">A. </w:t>
      </w:r>
      <w:r w:rsidR="002253F1" w:rsidRPr="00C93122">
        <w:rPr>
          <w:rFonts w:ascii="Aptos" w:hAnsi="Aptos" w:cstheme="minorHAnsi"/>
          <w:sz w:val="21"/>
          <w:szCs w:val="21"/>
        </w:rPr>
        <w:t>Potential Suppliers</w:t>
      </w:r>
      <w:r w:rsidR="008773A8" w:rsidRPr="00C93122">
        <w:rPr>
          <w:rFonts w:ascii="Aptos" w:hAnsi="Aptos" w:cstheme="minorHAnsi"/>
          <w:sz w:val="21"/>
          <w:szCs w:val="21"/>
        </w:rPr>
        <w:t xml:space="preserve"> are req</w:t>
      </w:r>
      <w:r w:rsidR="002253F1" w:rsidRPr="00C93122">
        <w:rPr>
          <w:rFonts w:ascii="Aptos" w:hAnsi="Aptos" w:cstheme="minorHAnsi"/>
          <w:sz w:val="21"/>
          <w:szCs w:val="21"/>
        </w:rPr>
        <w:t xml:space="preserve">uested to verify the accuracy </w:t>
      </w:r>
      <w:r w:rsidR="008773A8" w:rsidRPr="00C93122">
        <w:rPr>
          <w:rFonts w:ascii="Aptos" w:hAnsi="Aptos" w:cstheme="minorHAnsi"/>
          <w:sz w:val="21"/>
          <w:szCs w:val="21"/>
        </w:rPr>
        <w:t>of the specifications (size/gauge/volume</w:t>
      </w:r>
      <w:r w:rsidR="00B52855" w:rsidRPr="00C93122">
        <w:rPr>
          <w:rFonts w:ascii="Aptos" w:hAnsi="Aptos" w:cstheme="minorHAnsi"/>
          <w:sz w:val="21"/>
          <w:szCs w:val="21"/>
        </w:rPr>
        <w:t xml:space="preserve">), </w:t>
      </w:r>
      <w:r w:rsidR="002253F1" w:rsidRPr="00C93122">
        <w:rPr>
          <w:rFonts w:ascii="Aptos" w:hAnsi="Aptos" w:cstheme="minorHAnsi"/>
          <w:sz w:val="21"/>
          <w:szCs w:val="21"/>
        </w:rPr>
        <w:t xml:space="preserve">confirm </w:t>
      </w:r>
      <w:r w:rsidR="008773A8" w:rsidRPr="00C93122">
        <w:rPr>
          <w:rFonts w:ascii="Aptos" w:hAnsi="Aptos" w:cstheme="minorHAnsi"/>
          <w:sz w:val="21"/>
          <w:szCs w:val="21"/>
        </w:rPr>
        <w:t>market availability</w:t>
      </w:r>
      <w:r w:rsidR="002253F1" w:rsidRPr="00C93122">
        <w:rPr>
          <w:rFonts w:ascii="Aptos" w:hAnsi="Aptos" w:cstheme="minorHAnsi"/>
          <w:sz w:val="21"/>
          <w:szCs w:val="21"/>
        </w:rPr>
        <w:t xml:space="preserve">, </w:t>
      </w:r>
      <w:r w:rsidR="00B52855" w:rsidRPr="00C93122">
        <w:rPr>
          <w:rFonts w:ascii="Aptos" w:hAnsi="Aptos" w:cstheme="minorHAnsi"/>
          <w:sz w:val="21"/>
          <w:szCs w:val="21"/>
        </w:rPr>
        <w:t xml:space="preserve">and </w:t>
      </w:r>
      <w:r w:rsidR="002253F1" w:rsidRPr="00C93122">
        <w:rPr>
          <w:rFonts w:ascii="Aptos" w:hAnsi="Aptos" w:cstheme="minorHAnsi"/>
          <w:sz w:val="21"/>
          <w:szCs w:val="21"/>
        </w:rPr>
        <w:t>indicate whether an equivalent or superior item is available.</w:t>
      </w:r>
    </w:p>
    <w:p w14:paraId="3CBD668A" w14:textId="7E846365" w:rsidR="008773A8" w:rsidRPr="00C93122" w:rsidRDefault="008773A8" w:rsidP="002253F1">
      <w:pPr>
        <w:spacing w:before="120" w:after="120" w:line="360" w:lineRule="auto"/>
        <w:jc w:val="both"/>
        <w:rPr>
          <w:i/>
          <w:iCs/>
          <w:sz w:val="21"/>
          <w:szCs w:val="21"/>
        </w:rPr>
      </w:pPr>
      <w:r w:rsidRPr="00C93122">
        <w:rPr>
          <w:i/>
          <w:iCs/>
          <w:sz w:val="21"/>
          <w:szCs w:val="21"/>
        </w:rPr>
        <w:t>Note: In the '</w:t>
      </w:r>
      <w:r w:rsidR="00C93122" w:rsidRPr="00C93122">
        <w:rPr>
          <w:i/>
          <w:iCs/>
          <w:sz w:val="21"/>
          <w:szCs w:val="21"/>
        </w:rPr>
        <w:t>c</w:t>
      </w:r>
      <w:r w:rsidRPr="00C93122">
        <w:rPr>
          <w:i/>
          <w:iCs/>
          <w:sz w:val="21"/>
          <w:szCs w:val="21"/>
        </w:rPr>
        <w:t xml:space="preserve">omment on </w:t>
      </w:r>
      <w:r w:rsidR="00C93122" w:rsidRPr="00C93122">
        <w:rPr>
          <w:i/>
          <w:iCs/>
          <w:sz w:val="21"/>
          <w:szCs w:val="21"/>
        </w:rPr>
        <w:t>s</w:t>
      </w:r>
      <w:r w:rsidRPr="00C93122">
        <w:rPr>
          <w:i/>
          <w:iCs/>
          <w:sz w:val="21"/>
          <w:szCs w:val="21"/>
        </w:rPr>
        <w:t xml:space="preserve">pecification' column, </w:t>
      </w:r>
      <w:r w:rsidR="002253F1" w:rsidRPr="00C93122">
        <w:rPr>
          <w:i/>
          <w:iCs/>
          <w:sz w:val="21"/>
          <w:szCs w:val="21"/>
        </w:rPr>
        <w:t>indicate</w:t>
      </w:r>
      <w:r w:rsidRPr="00C93122">
        <w:rPr>
          <w:i/>
          <w:iCs/>
          <w:sz w:val="21"/>
          <w:szCs w:val="21"/>
        </w:rPr>
        <w:t xml:space="preserve"> whether the listed size is </w:t>
      </w:r>
      <w:r w:rsidR="00C93122" w:rsidRPr="00C93122">
        <w:rPr>
          <w:i/>
          <w:iCs/>
          <w:sz w:val="21"/>
          <w:szCs w:val="21"/>
        </w:rPr>
        <w:t>c</w:t>
      </w:r>
      <w:r w:rsidRPr="00C93122">
        <w:rPr>
          <w:i/>
          <w:iCs/>
          <w:sz w:val="21"/>
          <w:szCs w:val="21"/>
        </w:rPr>
        <w:t>orrect for standard medical use or</w:t>
      </w:r>
      <w:r w:rsidR="00C93122" w:rsidRPr="00C93122">
        <w:rPr>
          <w:i/>
          <w:iCs/>
          <w:sz w:val="21"/>
          <w:szCs w:val="21"/>
        </w:rPr>
        <w:t xml:space="preserve"> if you s</w:t>
      </w:r>
      <w:r w:rsidRPr="00C93122">
        <w:rPr>
          <w:i/>
          <w:iCs/>
          <w:sz w:val="21"/>
          <w:szCs w:val="21"/>
        </w:rPr>
        <w:t xml:space="preserve">uggest </w:t>
      </w:r>
      <w:r w:rsidR="00C93122" w:rsidRPr="00C93122">
        <w:rPr>
          <w:i/>
          <w:iCs/>
          <w:sz w:val="21"/>
          <w:szCs w:val="21"/>
        </w:rPr>
        <w:t>i</w:t>
      </w:r>
      <w:r w:rsidRPr="00C93122">
        <w:rPr>
          <w:i/>
          <w:iCs/>
          <w:sz w:val="21"/>
          <w:szCs w:val="21"/>
        </w:rPr>
        <w:t>mprovement</w:t>
      </w:r>
      <w:r w:rsidR="00C93122" w:rsidRPr="00C93122">
        <w:rPr>
          <w:i/>
          <w:iCs/>
          <w:sz w:val="21"/>
          <w:szCs w:val="21"/>
        </w:rPr>
        <w:t>,</w:t>
      </w:r>
      <w:r w:rsidRPr="00C93122">
        <w:rPr>
          <w:i/>
          <w:iCs/>
          <w:sz w:val="21"/>
          <w:szCs w:val="21"/>
        </w:rPr>
        <w:t xml:space="preserve"> specify the </w:t>
      </w:r>
      <w:r w:rsidR="00C93122" w:rsidRPr="00C93122">
        <w:rPr>
          <w:i/>
          <w:iCs/>
          <w:sz w:val="21"/>
          <w:szCs w:val="21"/>
        </w:rPr>
        <w:t>proposed</w:t>
      </w:r>
      <w:r w:rsidRPr="00C93122">
        <w:rPr>
          <w:i/>
          <w:iCs/>
          <w:sz w:val="21"/>
          <w:szCs w:val="21"/>
        </w:rPr>
        <w:t xml:space="preserve"> alternative. If an item is not available, provide </w:t>
      </w:r>
      <w:r w:rsidR="00C93122" w:rsidRPr="00C93122">
        <w:rPr>
          <w:i/>
          <w:iCs/>
          <w:sz w:val="21"/>
          <w:szCs w:val="21"/>
        </w:rPr>
        <w:t>a</w:t>
      </w:r>
      <w:r w:rsidRPr="00C93122">
        <w:rPr>
          <w:i/>
          <w:iCs/>
          <w:sz w:val="21"/>
          <w:szCs w:val="21"/>
        </w:rPr>
        <w:t xml:space="preserve"> reason (e.g., "Discontinued, replaced by safety version").</w:t>
      </w:r>
    </w:p>
    <w:p w14:paraId="49139B4B" w14:textId="27C94C2B" w:rsidR="008773A8" w:rsidRDefault="008773A8" w:rsidP="008773A8">
      <w:pPr>
        <w:rPr>
          <w:b/>
          <w:bCs/>
        </w:rPr>
      </w:pPr>
    </w:p>
    <w:p w14:paraId="212D2924" w14:textId="77777777" w:rsidR="00C93122" w:rsidRPr="008773A8" w:rsidRDefault="00C93122" w:rsidP="008773A8">
      <w:pPr>
        <w:rPr>
          <w:b/>
          <w:bCs/>
        </w:rPr>
      </w:pPr>
    </w:p>
    <w:p w14:paraId="5555E188" w14:textId="2BBE211F" w:rsidR="008773A8" w:rsidRPr="00C93122" w:rsidRDefault="00C93122" w:rsidP="00C93122">
      <w:pPr>
        <w:spacing w:before="120" w:after="120" w:line="360" w:lineRule="auto"/>
        <w:jc w:val="both"/>
        <w:rPr>
          <w:rFonts w:ascii="Aptos" w:hAnsi="Aptos"/>
          <w:b/>
          <w:bCs/>
        </w:rPr>
      </w:pPr>
      <w:r w:rsidRPr="00C93122">
        <w:rPr>
          <w:rFonts w:ascii="Aptos" w:hAnsi="Aptos"/>
          <w:b/>
          <w:bCs/>
        </w:rPr>
        <w:lastRenderedPageBreak/>
        <w:t>5.</w:t>
      </w:r>
      <w:r w:rsidR="008773A8" w:rsidRPr="00C93122">
        <w:rPr>
          <w:rFonts w:ascii="Aptos" w:hAnsi="Aptos"/>
          <w:b/>
          <w:bCs/>
        </w:rPr>
        <w:t xml:space="preserve"> Submission Instructions</w:t>
      </w:r>
    </w:p>
    <w:p w14:paraId="59EB5068" w14:textId="3A3CCAD0" w:rsidR="004448FA" w:rsidRPr="007D74F2" w:rsidRDefault="007D74F2" w:rsidP="004448FA">
      <w:pPr>
        <w:pStyle w:val="ListParagraph"/>
        <w:numPr>
          <w:ilvl w:val="0"/>
          <w:numId w:val="4"/>
        </w:numPr>
        <w:rPr>
          <w:rFonts w:ascii="Aptos" w:hAnsi="Aptos" w:cstheme="minorHAnsi"/>
          <w:sz w:val="22"/>
        </w:rPr>
      </w:pPr>
      <w:r w:rsidRPr="007D74F2">
        <w:rPr>
          <w:rFonts w:ascii="Aptos" w:hAnsi="Aptos" w:cstheme="minorHAnsi"/>
          <w:sz w:val="22"/>
        </w:rPr>
        <w:t xml:space="preserve">Manual or </w:t>
      </w:r>
      <w:r w:rsidR="004448FA" w:rsidRPr="007D74F2">
        <w:rPr>
          <w:rFonts w:ascii="Aptos" w:hAnsi="Aptos" w:cstheme="minorHAnsi"/>
          <w:sz w:val="22"/>
        </w:rPr>
        <w:t xml:space="preserve">hardcopy submissions </w:t>
      </w:r>
      <w:r w:rsidRPr="007D74F2">
        <w:rPr>
          <w:rFonts w:ascii="Aptos" w:hAnsi="Aptos" w:cstheme="minorHAnsi"/>
          <w:sz w:val="22"/>
        </w:rPr>
        <w:t xml:space="preserve">are not </w:t>
      </w:r>
      <w:r w:rsidR="004448FA" w:rsidRPr="007D74F2">
        <w:rPr>
          <w:rFonts w:ascii="Aptos" w:hAnsi="Aptos" w:cstheme="minorHAnsi"/>
          <w:sz w:val="22"/>
        </w:rPr>
        <w:t>accepted</w:t>
      </w:r>
    </w:p>
    <w:p w14:paraId="219AC39F" w14:textId="7B650AAC" w:rsidR="004448FA" w:rsidRPr="007D74F2" w:rsidRDefault="007D74F2" w:rsidP="004448FA">
      <w:pPr>
        <w:pStyle w:val="ListParagraph"/>
        <w:numPr>
          <w:ilvl w:val="0"/>
          <w:numId w:val="4"/>
        </w:numPr>
        <w:rPr>
          <w:rFonts w:ascii="Aptos" w:hAnsi="Aptos" w:cstheme="minorHAnsi"/>
          <w:sz w:val="22"/>
        </w:rPr>
      </w:pPr>
      <w:r w:rsidRPr="007D74F2">
        <w:rPr>
          <w:rFonts w:ascii="Aptos" w:hAnsi="Aptos" w:cstheme="minorHAnsi"/>
          <w:sz w:val="22"/>
        </w:rPr>
        <w:t>Submission must be online through the e-Tender Publication portal</w:t>
      </w:r>
    </w:p>
    <w:p w14:paraId="29BFA09D" w14:textId="0ACFFEFF" w:rsidR="007D74F2" w:rsidRDefault="007D74F2" w:rsidP="004448FA">
      <w:pPr>
        <w:pStyle w:val="ListParagraph"/>
        <w:numPr>
          <w:ilvl w:val="0"/>
          <w:numId w:val="4"/>
        </w:numPr>
        <w:rPr>
          <w:rFonts w:ascii="Aptos" w:hAnsi="Aptos" w:cstheme="minorHAnsi"/>
          <w:sz w:val="22"/>
        </w:rPr>
      </w:pPr>
      <w:r w:rsidRPr="007D74F2">
        <w:rPr>
          <w:rFonts w:ascii="Aptos" w:hAnsi="Aptos" w:cstheme="minorHAnsi"/>
          <w:sz w:val="22"/>
        </w:rPr>
        <w:t>Submissions received after the closing date and time will not be accepted.</w:t>
      </w:r>
    </w:p>
    <w:p w14:paraId="1DFB9FDC" w14:textId="77777777" w:rsidR="00C93122" w:rsidRDefault="00C93122" w:rsidP="00C93122">
      <w:pPr>
        <w:pStyle w:val="ListParagraph"/>
        <w:rPr>
          <w:rFonts w:ascii="Aptos" w:hAnsi="Aptos" w:cstheme="minorHAnsi"/>
          <w:sz w:val="22"/>
        </w:rPr>
      </w:pPr>
    </w:p>
    <w:p w14:paraId="3469754F" w14:textId="7A3BD432" w:rsidR="00C93122" w:rsidRPr="00C93122" w:rsidRDefault="00C93122" w:rsidP="00C93122">
      <w:pPr>
        <w:pStyle w:val="ListParagraph"/>
        <w:jc w:val="center"/>
        <w:rPr>
          <w:rFonts w:ascii="Aptos" w:hAnsi="Aptos" w:cstheme="minorHAnsi"/>
          <w:b/>
          <w:bCs/>
          <w:sz w:val="22"/>
        </w:rPr>
      </w:pPr>
      <w:r w:rsidRPr="00C93122">
        <w:rPr>
          <w:rFonts w:ascii="Aptos" w:hAnsi="Aptos" w:cstheme="minorHAnsi"/>
          <w:b/>
          <w:bCs/>
          <w:sz w:val="22"/>
        </w:rPr>
        <w:t>END</w:t>
      </w:r>
    </w:p>
    <w:p w14:paraId="0B47AC60" w14:textId="644879AC" w:rsidR="008773A8" w:rsidRPr="008773A8" w:rsidRDefault="008773A8" w:rsidP="008773A8"/>
    <w:p w14:paraId="2938A1C1" w14:textId="77777777" w:rsidR="008773A8" w:rsidRDefault="008773A8"/>
    <w:sectPr w:rsidR="008773A8" w:rsidSect="008773A8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5B4DD" w14:textId="77777777" w:rsidR="008773A8" w:rsidRDefault="008773A8" w:rsidP="008773A8">
      <w:pPr>
        <w:spacing w:after="0" w:line="240" w:lineRule="auto"/>
      </w:pPr>
      <w:r>
        <w:separator/>
      </w:r>
    </w:p>
  </w:endnote>
  <w:endnote w:type="continuationSeparator" w:id="0">
    <w:p w14:paraId="37F8F72D" w14:textId="77777777" w:rsidR="008773A8" w:rsidRDefault="008773A8" w:rsidP="008773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19514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28283E0" w14:textId="011A9E3D" w:rsidR="004448FA" w:rsidRDefault="004448F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747E9F1" w14:textId="77777777" w:rsidR="004448FA" w:rsidRPr="004448FA" w:rsidRDefault="004448FA" w:rsidP="004448FA">
    <w:pPr>
      <w:pStyle w:val="Footer"/>
      <w:jc w:val="center"/>
      <w:rPr>
        <w:sz w:val="20"/>
        <w:szCs w:val="20"/>
      </w:rPr>
    </w:pPr>
    <w:r w:rsidRPr="004448FA">
      <w:rPr>
        <w:sz w:val="20"/>
        <w:szCs w:val="20"/>
      </w:rPr>
      <w:t>Kindly note that this is not a briefing session for a tender or bid but it’s an RFI for</w:t>
    </w:r>
  </w:p>
  <w:p w14:paraId="32DC7394" w14:textId="011DFBE6" w:rsidR="004448FA" w:rsidRPr="004448FA" w:rsidRDefault="004448FA" w:rsidP="004448FA">
    <w:pPr>
      <w:pStyle w:val="Footer"/>
      <w:jc w:val="center"/>
      <w:rPr>
        <w:sz w:val="20"/>
        <w:szCs w:val="20"/>
      </w:rPr>
    </w:pPr>
    <w:r w:rsidRPr="004448FA">
      <w:rPr>
        <w:sz w:val="20"/>
        <w:szCs w:val="20"/>
      </w:rPr>
      <w:t>Information gathering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08509" w14:textId="77777777" w:rsidR="008773A8" w:rsidRDefault="008773A8" w:rsidP="008773A8">
      <w:pPr>
        <w:spacing w:after="0" w:line="240" w:lineRule="auto"/>
      </w:pPr>
      <w:r>
        <w:separator/>
      </w:r>
    </w:p>
  </w:footnote>
  <w:footnote w:type="continuationSeparator" w:id="0">
    <w:p w14:paraId="77D70B97" w14:textId="77777777" w:rsidR="008773A8" w:rsidRDefault="008773A8" w:rsidP="008773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CF715" w14:textId="04659C40" w:rsidR="008773A8" w:rsidRDefault="008773A8" w:rsidP="008773A8">
    <w:pPr>
      <w:jc w:val="center"/>
      <w:rPr>
        <w:b/>
        <w:bCs/>
        <w:sz w:val="20"/>
        <w:szCs w:val="20"/>
      </w:rPr>
    </w:pPr>
    <w:r w:rsidRPr="008773A8">
      <w:rPr>
        <w:b/>
        <w:bCs/>
        <w:sz w:val="20"/>
        <w:szCs w:val="20"/>
      </w:rPr>
      <w:t>Request for Information (RFI): Supply and Delivery of Hypodermic Syringes, Needles, and Bloodletting Devices and Related Items</w:t>
    </w:r>
  </w:p>
  <w:p w14:paraId="1CC0F44A" w14:textId="77777777" w:rsidR="008773A8" w:rsidRPr="008773A8" w:rsidRDefault="008773A8" w:rsidP="008773A8">
    <w:pPr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E1F5E"/>
    <w:multiLevelType w:val="multilevel"/>
    <w:tmpl w:val="0A9C6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F07972"/>
    <w:multiLevelType w:val="hybridMultilevel"/>
    <w:tmpl w:val="FFBC9746"/>
    <w:lvl w:ilvl="0" w:tplc="D3DE8CB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FE026D"/>
    <w:multiLevelType w:val="hybridMultilevel"/>
    <w:tmpl w:val="C02835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101D07"/>
    <w:multiLevelType w:val="multilevel"/>
    <w:tmpl w:val="38404F5C"/>
    <w:lvl w:ilvl="0">
      <w:start w:val="1"/>
      <w:numFmt w:val="decimal"/>
      <w:lvlText w:val="%1."/>
      <w:lvlJc w:val="left"/>
      <w:pPr>
        <w:ind w:left="851" w:hanging="851"/>
      </w:pPr>
      <w:rPr>
        <w:rFonts w:asciiTheme="minorHAnsi" w:hAnsiTheme="minorHAnsi" w:hint="default"/>
        <w:color w:val="C00000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="Arial" w:hAnsi="Arial" w:cs="Arial" w:hint="default"/>
        <w:b w:val="0"/>
        <w:color w:val="000000" w:themeColor="text1"/>
        <w:sz w:val="22"/>
        <w:szCs w:val="2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907" w:hanging="907"/>
      </w:pPr>
      <w:rPr>
        <w:rFonts w:hint="default"/>
        <w:b w:val="0"/>
        <w:color w:val="auto"/>
      </w:rPr>
    </w:lvl>
    <w:lvl w:ilvl="4">
      <w:start w:val="1"/>
      <w:numFmt w:val="lowerLetter"/>
      <w:lvlText w:val="%5)"/>
      <w:lvlJc w:val="left"/>
      <w:pPr>
        <w:ind w:left="1474" w:hanging="56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928" w:hanging="454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259024247">
    <w:abstractNumId w:val="0"/>
  </w:num>
  <w:num w:numId="2" w16cid:durableId="1639067381">
    <w:abstractNumId w:val="3"/>
  </w:num>
  <w:num w:numId="3" w16cid:durableId="726952056">
    <w:abstractNumId w:val="1"/>
  </w:num>
  <w:num w:numId="4" w16cid:durableId="401779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A8"/>
    <w:rsid w:val="000E3DAD"/>
    <w:rsid w:val="0022268B"/>
    <w:rsid w:val="002253F1"/>
    <w:rsid w:val="004448FA"/>
    <w:rsid w:val="004D7B45"/>
    <w:rsid w:val="005B3094"/>
    <w:rsid w:val="007D74F2"/>
    <w:rsid w:val="008773A8"/>
    <w:rsid w:val="00950AC8"/>
    <w:rsid w:val="00977375"/>
    <w:rsid w:val="00B0263D"/>
    <w:rsid w:val="00B126EC"/>
    <w:rsid w:val="00B52855"/>
    <w:rsid w:val="00C93122"/>
    <w:rsid w:val="00F1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4:docId w14:val="41731CE0"/>
  <w15:chartTrackingRefBased/>
  <w15:docId w15:val="{453866F9-87E7-47F2-9DAB-18C9EE923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7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3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3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3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3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3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3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3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3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7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7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7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73A8"/>
    <w:rPr>
      <w:i/>
      <w:iCs/>
      <w:color w:val="404040" w:themeColor="text1" w:themeTint="BF"/>
    </w:rPr>
  </w:style>
  <w:style w:type="paragraph" w:styleId="ListParagraph">
    <w:name w:val="List Paragraph"/>
    <w:aliases w:val="Table of contents numbered,Citation List,BBD_List_Paragraph,Bullet List,List Paragraph1,List Paragraph 1,numbers normal cal,Riana Table Bullets 1,List Paragraph - 2,MB SUB A,Chapter Numbering,Grey Bullet List,Grey Bullet Style,Gov 2"/>
    <w:basedOn w:val="Normal"/>
    <w:link w:val="ListParagraphChar"/>
    <w:qFormat/>
    <w:rsid w:val="008773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73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3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73A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73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3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77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3A8"/>
  </w:style>
  <w:style w:type="paragraph" w:styleId="Footer">
    <w:name w:val="footer"/>
    <w:basedOn w:val="Normal"/>
    <w:link w:val="FooterChar"/>
    <w:uiPriority w:val="99"/>
    <w:unhideWhenUsed/>
    <w:rsid w:val="008773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3A8"/>
  </w:style>
  <w:style w:type="character" w:customStyle="1" w:styleId="ListParagraphChar">
    <w:name w:val="List Paragraph Char"/>
    <w:aliases w:val="Table of contents numbered Char,Citation List Char,BBD_List_Paragraph Char,Bullet List Char,List Paragraph1 Char,List Paragraph 1 Char,numbers normal cal Char,Riana Table Bullets 1 Char,List Paragraph - 2 Char,MB SUB A Char"/>
    <w:basedOn w:val="DefaultParagraphFont"/>
    <w:link w:val="ListParagraph"/>
    <w:locked/>
    <w:rsid w:val="00B026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vhileli.Matshinyatsimbi@treasury.gov.z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treasury.gov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Keitumetse Mabusela</dc:creator>
  <cp:keywords/>
  <dc:description/>
  <cp:lastModifiedBy>Zanele Mkhwanazi</cp:lastModifiedBy>
  <cp:revision>4</cp:revision>
  <dcterms:created xsi:type="dcterms:W3CDTF">2025-10-10T07:13:00Z</dcterms:created>
  <dcterms:modified xsi:type="dcterms:W3CDTF">2025-10-17T09:19:00Z</dcterms:modified>
</cp:coreProperties>
</file>