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432C1" w14:textId="77777777" w:rsidR="00984E04" w:rsidRDefault="00984E04" w:rsidP="00B75DC2">
      <w:pPr>
        <w:pStyle w:val="BodyText2"/>
        <w:jc w:val="center"/>
        <w:rPr>
          <w:rFonts w:cs="Arial"/>
          <w:b/>
          <w:bCs/>
          <w:u w:val="single"/>
        </w:rPr>
      </w:pPr>
    </w:p>
    <w:p w14:paraId="3BEE3969" w14:textId="0980EBD6" w:rsidR="00B75DC2" w:rsidRPr="00F77C28" w:rsidRDefault="00B75DC2" w:rsidP="00B75DC2">
      <w:pPr>
        <w:pStyle w:val="BodyText2"/>
        <w:jc w:val="center"/>
        <w:rPr>
          <w:rFonts w:cs="Arial"/>
          <w:b/>
          <w:bCs/>
          <w:u w:val="single"/>
        </w:rPr>
      </w:pPr>
      <w:r w:rsidRPr="00F77C28">
        <w:rPr>
          <w:rFonts w:cs="Arial"/>
          <w:b/>
          <w:bCs/>
          <w:u w:val="single"/>
        </w:rPr>
        <w:t xml:space="preserve">Structural Consulting Engineering Services for the </w:t>
      </w:r>
    </w:p>
    <w:p w14:paraId="2DF04589" w14:textId="257B6B54" w:rsidR="00B75DC2" w:rsidRDefault="00B75DC2" w:rsidP="00B75DC2">
      <w:pPr>
        <w:pStyle w:val="BodyText2"/>
        <w:jc w:val="center"/>
        <w:rPr>
          <w:rFonts w:ascii="Times New Roman" w:hAnsi="Times New Roman"/>
          <w:b/>
          <w:bCs/>
          <w:u w:val="single"/>
        </w:rPr>
      </w:pPr>
      <w:r w:rsidRPr="00F77C28">
        <w:rPr>
          <w:rFonts w:cs="Arial"/>
          <w:b/>
          <w:bCs/>
          <w:u w:val="single"/>
        </w:rPr>
        <w:t>Johannesburg T97 First Floor RC Slab Investigation</w:t>
      </w:r>
    </w:p>
    <w:p w14:paraId="1769FC83" w14:textId="77777777" w:rsidR="00405D4B" w:rsidRDefault="00405D4B">
      <w:pPr>
        <w:rPr>
          <w:lang w:val="en-US"/>
        </w:rPr>
      </w:pPr>
    </w:p>
    <w:p w14:paraId="6AE7D2F5" w14:textId="77777777" w:rsidR="00871BE8" w:rsidRPr="00F77C28" w:rsidRDefault="00871BE8" w:rsidP="00871BE8">
      <w:pPr>
        <w:pStyle w:val="BodyText2"/>
        <w:rPr>
          <w:rFonts w:cs="Arial"/>
          <w:b/>
          <w:bCs/>
          <w:u w:val="single"/>
        </w:rPr>
      </w:pPr>
      <w:r w:rsidRPr="00F77C28">
        <w:rPr>
          <w:rFonts w:cs="Arial"/>
          <w:b/>
          <w:bCs/>
          <w:u w:val="single"/>
        </w:rPr>
        <w:t>Background and Existing Site Information</w:t>
      </w:r>
    </w:p>
    <w:p w14:paraId="5A94F032" w14:textId="77777777" w:rsidR="00871BE8" w:rsidRDefault="00871BE8" w:rsidP="00871BE8">
      <w:pPr>
        <w:pStyle w:val="BodyText2"/>
        <w:rPr>
          <w:rFonts w:ascii="Times New Roman" w:hAnsi="Times New Roman"/>
          <w:b/>
          <w:bCs/>
          <w:u w:val="single"/>
        </w:rPr>
      </w:pPr>
    </w:p>
    <w:p w14:paraId="492304E2" w14:textId="4A401BA8" w:rsidR="00DC23E3" w:rsidRDefault="00DC23E3" w:rsidP="00DC23E3">
      <w:pPr>
        <w:spacing w:after="0" w:line="240" w:lineRule="auto"/>
        <w:rPr>
          <w:rFonts w:ascii="Arial" w:eastAsia="Times" w:hAnsi="Arial" w:cs="Arial"/>
          <w:sz w:val="20"/>
          <w:szCs w:val="20"/>
          <w:lang w:val="en-GB"/>
        </w:rPr>
      </w:pPr>
      <w:r w:rsidRPr="00797680">
        <w:rPr>
          <w:rFonts w:ascii="Arial" w:eastAsia="Times" w:hAnsi="Arial" w:cs="Arial"/>
          <w:sz w:val="20"/>
          <w:szCs w:val="20"/>
          <w:lang w:val="en-GB"/>
        </w:rPr>
        <w:t xml:space="preserve">Sentech </w:t>
      </w:r>
      <w:r w:rsidRPr="00797680">
        <w:rPr>
          <w:rFonts w:ascii="Arial" w:eastAsia="Times" w:hAnsi="Arial" w:cs="Arial"/>
          <w:bCs/>
          <w:sz w:val="20"/>
          <w:szCs w:val="20"/>
          <w:lang w:val="en-GB"/>
        </w:rPr>
        <w:t>Ltd</w:t>
      </w:r>
      <w:r w:rsidRPr="00797680">
        <w:rPr>
          <w:rFonts w:ascii="Arial" w:eastAsia="Times" w:hAnsi="Arial" w:cs="Arial"/>
          <w:sz w:val="20"/>
          <w:szCs w:val="20"/>
          <w:lang w:val="en-GB"/>
        </w:rPr>
        <w:t xml:space="preserve"> is the common carrier for broadcasting signal distribution in South Africa </w:t>
      </w:r>
      <w:r w:rsidRPr="00797680">
        <w:rPr>
          <w:rFonts w:ascii="Arial" w:eastAsia="Times" w:hAnsi="Arial" w:cs="Arial"/>
          <w:bCs/>
          <w:sz w:val="20"/>
          <w:szCs w:val="20"/>
          <w:lang w:val="en-GB"/>
        </w:rPr>
        <w:t>and transmits radio and television signal countrywide via integrated terrestrial and satellite networks. Sentech</w:t>
      </w:r>
      <w:r w:rsidRPr="00797680">
        <w:rPr>
          <w:rFonts w:ascii="Arial" w:eastAsia="Times" w:hAnsi="Arial" w:cs="Arial"/>
          <w:sz w:val="20"/>
          <w:szCs w:val="20"/>
          <w:lang w:val="en-GB"/>
        </w:rPr>
        <w:t xml:space="preserve"> has a network of transmitting sites throughout South Africa. These sites typically consist of an access road leading to a fenced compound enclosing a </w:t>
      </w:r>
      <w:r w:rsidR="004820C6">
        <w:rPr>
          <w:rFonts w:ascii="Arial" w:eastAsia="Times" w:hAnsi="Arial" w:cs="Arial"/>
          <w:sz w:val="20"/>
          <w:szCs w:val="20"/>
          <w:lang w:val="en-GB"/>
        </w:rPr>
        <w:t>tower/</w:t>
      </w:r>
      <w:r w:rsidRPr="00797680">
        <w:rPr>
          <w:rFonts w:ascii="Arial" w:eastAsia="Times" w:hAnsi="Arial" w:cs="Arial"/>
          <w:sz w:val="20"/>
          <w:szCs w:val="20"/>
          <w:lang w:val="en-GB"/>
        </w:rPr>
        <w:t>mast and transmitter building. These remote and unmanned sites are visited by Sentech on a call-out or scheduled maintenance basis.</w:t>
      </w:r>
    </w:p>
    <w:p w14:paraId="6903FFE1" w14:textId="77777777" w:rsidR="00216E14" w:rsidRDefault="00216E14" w:rsidP="00216E14">
      <w:pPr>
        <w:spacing w:after="0" w:line="240" w:lineRule="auto"/>
        <w:rPr>
          <w:rFonts w:ascii="Arial" w:hAnsi="Arial" w:cs="Arial"/>
          <w:sz w:val="20"/>
        </w:rPr>
      </w:pPr>
    </w:p>
    <w:p w14:paraId="6F4B1315" w14:textId="4D99F34A" w:rsidR="00216E14" w:rsidRPr="00054D56" w:rsidRDefault="00216E14" w:rsidP="00216E14">
      <w:pPr>
        <w:spacing w:after="0" w:line="240" w:lineRule="auto"/>
        <w:rPr>
          <w:rFonts w:ascii="Arial" w:hAnsi="Arial" w:cs="Arial"/>
          <w:sz w:val="20"/>
          <w:szCs w:val="20"/>
        </w:rPr>
      </w:pPr>
      <w:r w:rsidRPr="00054D56">
        <w:rPr>
          <w:rFonts w:ascii="Arial" w:hAnsi="Arial" w:cs="Arial"/>
          <w:sz w:val="20"/>
        </w:rPr>
        <w:t xml:space="preserve">The </w:t>
      </w:r>
      <w:r>
        <w:rPr>
          <w:rFonts w:ascii="Arial" w:hAnsi="Arial" w:cs="Arial"/>
          <w:sz w:val="20"/>
        </w:rPr>
        <w:t>Johannesburg T97</w:t>
      </w:r>
      <w:r w:rsidRPr="00054D56">
        <w:rPr>
          <w:rFonts w:ascii="Arial" w:hAnsi="Arial" w:cs="Arial"/>
          <w:sz w:val="20"/>
        </w:rPr>
        <w:t xml:space="preserve"> transmitter site</w:t>
      </w:r>
      <w:r w:rsidR="00852CB3">
        <w:rPr>
          <w:rFonts w:ascii="Arial" w:hAnsi="Arial" w:cs="Arial"/>
          <w:sz w:val="20"/>
        </w:rPr>
        <w:t xml:space="preserve">, which consists of </w:t>
      </w:r>
      <w:r w:rsidR="00852CB3">
        <w:rPr>
          <w:rFonts w:ascii="Arial" w:hAnsi="Arial" w:cs="Arial"/>
          <w:sz w:val="20"/>
          <w:szCs w:val="20"/>
        </w:rPr>
        <w:t>various mixed construction buildings surrounding a 210m RC tower</w:t>
      </w:r>
      <w:r w:rsidR="00724D9F">
        <w:rPr>
          <w:rFonts w:ascii="Arial" w:hAnsi="Arial" w:cs="Arial"/>
          <w:sz w:val="20"/>
          <w:szCs w:val="20"/>
        </w:rPr>
        <w:t>,</w:t>
      </w:r>
      <w:r w:rsidRPr="00054D56">
        <w:rPr>
          <w:rFonts w:ascii="Arial" w:hAnsi="Arial" w:cs="Arial"/>
          <w:sz w:val="20"/>
        </w:rPr>
        <w:t xml:space="preserve"> is situated </w:t>
      </w:r>
      <w:r>
        <w:rPr>
          <w:rFonts w:ascii="Arial" w:hAnsi="Arial" w:cs="Arial"/>
          <w:sz w:val="20"/>
        </w:rPr>
        <w:t>in the suburb of Brixton in the greater Johannesburg area</w:t>
      </w:r>
      <w:r w:rsidRPr="00054D56">
        <w:rPr>
          <w:rFonts w:ascii="Arial" w:hAnsi="Arial" w:cs="Arial"/>
          <w:sz w:val="20"/>
        </w:rPr>
        <w:t xml:space="preserve">. </w:t>
      </w:r>
      <w:r>
        <w:rPr>
          <w:rFonts w:ascii="Arial" w:hAnsi="Arial" w:cs="Arial"/>
          <w:sz w:val="20"/>
        </w:rPr>
        <w:t xml:space="preserve">The site is accessed off the M17, between </w:t>
      </w:r>
      <w:proofErr w:type="gramStart"/>
      <w:r>
        <w:rPr>
          <w:rFonts w:ascii="Arial" w:hAnsi="Arial" w:cs="Arial"/>
          <w:sz w:val="20"/>
        </w:rPr>
        <w:t>Stanley avenue</w:t>
      </w:r>
      <w:proofErr w:type="gramEnd"/>
      <w:r>
        <w:rPr>
          <w:rFonts w:ascii="Arial" w:hAnsi="Arial" w:cs="Arial"/>
          <w:sz w:val="20"/>
        </w:rPr>
        <w:t xml:space="preserve"> and </w:t>
      </w:r>
      <w:proofErr w:type="gramStart"/>
      <w:r>
        <w:rPr>
          <w:rFonts w:ascii="Arial" w:hAnsi="Arial" w:cs="Arial"/>
          <w:sz w:val="20"/>
        </w:rPr>
        <w:t>Bartlett road</w:t>
      </w:r>
      <w:proofErr w:type="gramEnd"/>
      <w:r w:rsidRPr="00054D56">
        <w:rPr>
          <w:rFonts w:ascii="Arial" w:hAnsi="Arial" w:cs="Arial"/>
          <w:sz w:val="20"/>
        </w:rPr>
        <w:t xml:space="preserve">. </w:t>
      </w:r>
    </w:p>
    <w:p w14:paraId="4F19C472" w14:textId="77777777" w:rsidR="00724D9F" w:rsidRDefault="00724D9F" w:rsidP="00724D9F">
      <w:pPr>
        <w:pStyle w:val="BodyText2"/>
        <w:rPr>
          <w:rFonts w:cs="Arial"/>
        </w:rPr>
      </w:pPr>
    </w:p>
    <w:p w14:paraId="758FCFE8" w14:textId="7D5F6104" w:rsidR="00724D9F" w:rsidRPr="00F77C28" w:rsidRDefault="00724D9F" w:rsidP="00724D9F">
      <w:pPr>
        <w:pStyle w:val="BodyText2"/>
        <w:rPr>
          <w:rFonts w:cs="Arial"/>
        </w:rPr>
      </w:pPr>
      <w:r w:rsidRPr="00F77C28">
        <w:rPr>
          <w:rFonts w:cs="Arial"/>
        </w:rPr>
        <w:t xml:space="preserve">Site co-ordinates are </w:t>
      </w:r>
      <w:r w:rsidRPr="00F77C28">
        <w:rPr>
          <w:rFonts w:cs="Arial"/>
          <w:szCs w:val="20"/>
        </w:rPr>
        <w:t xml:space="preserve">26° 11’ 31” S and 28° 00’ 26” </w:t>
      </w:r>
      <w:r w:rsidRPr="00F77C28">
        <w:rPr>
          <w:rFonts w:cs="Arial"/>
        </w:rPr>
        <w:t xml:space="preserve"> </w:t>
      </w:r>
    </w:p>
    <w:p w14:paraId="5F7F3AED" w14:textId="77777777" w:rsidR="00DC23E3" w:rsidRPr="00724D9F" w:rsidRDefault="00DC23E3" w:rsidP="00DC23E3">
      <w:pPr>
        <w:spacing w:after="0" w:line="240" w:lineRule="auto"/>
        <w:rPr>
          <w:rFonts w:ascii="Arial" w:eastAsia="Times" w:hAnsi="Arial" w:cs="Arial"/>
          <w:sz w:val="20"/>
          <w:szCs w:val="20"/>
          <w:lang w:val="en-US"/>
        </w:rPr>
      </w:pPr>
    </w:p>
    <w:p w14:paraId="1CF54442" w14:textId="3A0D9649" w:rsidR="002E74E2" w:rsidRDefault="002E74E2" w:rsidP="00DC23E3">
      <w:pPr>
        <w:spacing w:after="0" w:line="240" w:lineRule="auto"/>
        <w:rPr>
          <w:rFonts w:ascii="Arial" w:hAnsi="Arial" w:cs="Arial"/>
          <w:sz w:val="20"/>
          <w:szCs w:val="20"/>
        </w:rPr>
      </w:pPr>
      <w:r>
        <w:rPr>
          <w:rFonts w:ascii="Arial" w:eastAsia="Times" w:hAnsi="Arial" w:cs="Arial"/>
          <w:sz w:val="20"/>
          <w:szCs w:val="20"/>
          <w:lang w:val="en-GB"/>
        </w:rPr>
        <w:t>Sentech routinely expands/upgrades</w:t>
      </w:r>
      <w:r w:rsidR="00D85A63">
        <w:rPr>
          <w:rFonts w:ascii="Arial" w:eastAsia="Times" w:hAnsi="Arial" w:cs="Arial"/>
          <w:sz w:val="20"/>
          <w:szCs w:val="20"/>
          <w:lang w:val="en-GB"/>
        </w:rPr>
        <w:t xml:space="preserve"> the</w:t>
      </w:r>
      <w:r>
        <w:rPr>
          <w:rFonts w:ascii="Arial" w:eastAsia="Times" w:hAnsi="Arial" w:cs="Arial"/>
          <w:sz w:val="20"/>
          <w:szCs w:val="20"/>
          <w:lang w:val="en-GB"/>
        </w:rPr>
        <w:t xml:space="preserve"> TV/Radio equipment</w:t>
      </w:r>
      <w:r w:rsidR="00856AFF">
        <w:rPr>
          <w:rFonts w:ascii="Arial" w:eastAsia="Times" w:hAnsi="Arial" w:cs="Arial"/>
          <w:sz w:val="20"/>
          <w:szCs w:val="20"/>
          <w:lang w:val="en-GB"/>
        </w:rPr>
        <w:t xml:space="preserve"> in the </w:t>
      </w:r>
      <w:r w:rsidR="000338F1">
        <w:rPr>
          <w:rFonts w:ascii="Arial" w:eastAsia="Times" w:hAnsi="Arial" w:cs="Arial"/>
          <w:sz w:val="20"/>
          <w:szCs w:val="20"/>
          <w:lang w:val="en-GB"/>
        </w:rPr>
        <w:t xml:space="preserve">Transmitter </w:t>
      </w:r>
      <w:r w:rsidR="00856AFF">
        <w:rPr>
          <w:rFonts w:ascii="Arial" w:eastAsia="Times" w:hAnsi="Arial" w:cs="Arial"/>
          <w:sz w:val="20"/>
          <w:szCs w:val="20"/>
          <w:lang w:val="en-GB"/>
        </w:rPr>
        <w:t>buildings</w:t>
      </w:r>
      <w:r w:rsidR="00E84A8C">
        <w:rPr>
          <w:rFonts w:ascii="Arial" w:eastAsia="Times" w:hAnsi="Arial" w:cs="Arial"/>
          <w:sz w:val="20"/>
          <w:szCs w:val="20"/>
          <w:lang w:val="en-GB"/>
        </w:rPr>
        <w:t xml:space="preserve"> </w:t>
      </w:r>
      <w:r w:rsidR="003405F4">
        <w:rPr>
          <w:rFonts w:ascii="Arial" w:eastAsia="Times" w:hAnsi="Arial" w:cs="Arial"/>
          <w:sz w:val="20"/>
          <w:szCs w:val="20"/>
          <w:lang w:val="en-GB"/>
        </w:rPr>
        <w:t>as technology advances and</w:t>
      </w:r>
      <w:r>
        <w:rPr>
          <w:rFonts w:ascii="Arial" w:eastAsia="Times" w:hAnsi="Arial" w:cs="Arial"/>
          <w:sz w:val="20"/>
          <w:szCs w:val="20"/>
          <w:lang w:val="en-GB"/>
        </w:rPr>
        <w:t xml:space="preserve"> </w:t>
      </w:r>
      <w:proofErr w:type="gramStart"/>
      <w:r>
        <w:rPr>
          <w:rFonts w:ascii="Arial" w:eastAsia="Times" w:hAnsi="Arial" w:cs="Arial"/>
          <w:sz w:val="20"/>
          <w:szCs w:val="20"/>
          <w:lang w:val="en-GB"/>
        </w:rPr>
        <w:t>in order to</w:t>
      </w:r>
      <w:proofErr w:type="gramEnd"/>
      <w:r>
        <w:rPr>
          <w:rFonts w:ascii="Arial" w:eastAsia="Times" w:hAnsi="Arial" w:cs="Arial"/>
          <w:sz w:val="20"/>
          <w:szCs w:val="20"/>
          <w:lang w:val="en-GB"/>
        </w:rPr>
        <w:t xml:space="preserve"> provide optimal services to its clients</w:t>
      </w:r>
      <w:r w:rsidR="007F47DF">
        <w:rPr>
          <w:rFonts w:ascii="Arial" w:eastAsia="Times" w:hAnsi="Arial" w:cs="Arial"/>
          <w:sz w:val="20"/>
          <w:szCs w:val="20"/>
          <w:lang w:val="en-GB"/>
        </w:rPr>
        <w:t xml:space="preserve">. </w:t>
      </w:r>
    </w:p>
    <w:p w14:paraId="310DA787" w14:textId="6883DA9C" w:rsidR="00EC2010" w:rsidRPr="00EC2010" w:rsidRDefault="00381366" w:rsidP="00DC23E3">
      <w:pPr>
        <w:spacing w:after="0" w:line="240" w:lineRule="auto"/>
        <w:rPr>
          <w:rFonts w:ascii="Arial" w:eastAsia="Times" w:hAnsi="Arial" w:cs="Arial"/>
          <w:sz w:val="20"/>
          <w:szCs w:val="20"/>
          <w:lang w:val="en-GB"/>
        </w:rPr>
      </w:pPr>
      <w:r>
        <w:rPr>
          <w:rFonts w:ascii="Arial" w:hAnsi="Arial" w:cs="Arial"/>
          <w:sz w:val="20"/>
          <w:szCs w:val="20"/>
        </w:rPr>
        <w:t>Continual upgrading of</w:t>
      </w:r>
      <w:r w:rsidR="00EF4887">
        <w:rPr>
          <w:rFonts w:ascii="Arial" w:hAnsi="Arial" w:cs="Arial"/>
          <w:sz w:val="20"/>
          <w:szCs w:val="20"/>
        </w:rPr>
        <w:t xml:space="preserve"> transmitters in</w:t>
      </w:r>
      <w:r>
        <w:rPr>
          <w:rFonts w:ascii="Arial" w:hAnsi="Arial" w:cs="Arial"/>
          <w:sz w:val="20"/>
          <w:szCs w:val="20"/>
        </w:rPr>
        <w:t xml:space="preserve"> on</w:t>
      </w:r>
      <w:r w:rsidR="00EF4887">
        <w:rPr>
          <w:rFonts w:ascii="Arial" w:hAnsi="Arial" w:cs="Arial"/>
          <w:sz w:val="20"/>
          <w:szCs w:val="20"/>
        </w:rPr>
        <w:t>e</w:t>
      </w:r>
      <w:r>
        <w:rPr>
          <w:rFonts w:ascii="Arial" w:hAnsi="Arial" w:cs="Arial"/>
          <w:sz w:val="20"/>
          <w:szCs w:val="20"/>
        </w:rPr>
        <w:t xml:space="preserve"> of the</w:t>
      </w:r>
      <w:r w:rsidR="0032264B">
        <w:rPr>
          <w:rFonts w:ascii="Arial" w:hAnsi="Arial" w:cs="Arial"/>
          <w:sz w:val="20"/>
          <w:szCs w:val="20"/>
        </w:rPr>
        <w:t xml:space="preserve"> </w:t>
      </w:r>
      <w:proofErr w:type="gramStart"/>
      <w:r w:rsidR="0032264B">
        <w:rPr>
          <w:rFonts w:ascii="Arial" w:hAnsi="Arial" w:cs="Arial"/>
          <w:sz w:val="20"/>
          <w:szCs w:val="20"/>
        </w:rPr>
        <w:t>first floor</w:t>
      </w:r>
      <w:proofErr w:type="gramEnd"/>
      <w:r>
        <w:rPr>
          <w:rFonts w:ascii="Arial" w:hAnsi="Arial" w:cs="Arial"/>
          <w:sz w:val="20"/>
          <w:szCs w:val="20"/>
        </w:rPr>
        <w:t xml:space="preserve"> </w:t>
      </w:r>
      <w:r w:rsidR="005E0093">
        <w:rPr>
          <w:rFonts w:ascii="Arial" w:hAnsi="Arial" w:cs="Arial"/>
          <w:sz w:val="20"/>
          <w:szCs w:val="20"/>
        </w:rPr>
        <w:t>transmitting</w:t>
      </w:r>
      <w:r>
        <w:rPr>
          <w:rFonts w:ascii="Arial" w:hAnsi="Arial" w:cs="Arial"/>
          <w:sz w:val="20"/>
          <w:szCs w:val="20"/>
        </w:rPr>
        <w:t xml:space="preserve"> rooms</w:t>
      </w:r>
      <w:r w:rsidR="00D9692D">
        <w:rPr>
          <w:rFonts w:ascii="Arial" w:hAnsi="Arial" w:cs="Arial"/>
          <w:sz w:val="20"/>
          <w:szCs w:val="20"/>
        </w:rPr>
        <w:t>,</w:t>
      </w:r>
      <w:r w:rsidR="004E6E58">
        <w:rPr>
          <w:rFonts w:ascii="Arial" w:hAnsi="Arial" w:cs="Arial"/>
          <w:sz w:val="20"/>
          <w:szCs w:val="20"/>
        </w:rPr>
        <w:t xml:space="preserve"> in a</w:t>
      </w:r>
      <w:r w:rsidR="00765596">
        <w:rPr>
          <w:rFonts w:ascii="Arial" w:hAnsi="Arial" w:cs="Arial"/>
          <w:sz w:val="20"/>
          <w:szCs w:val="20"/>
        </w:rPr>
        <w:t xml:space="preserve"> portion</w:t>
      </w:r>
      <w:r w:rsidR="00520848">
        <w:rPr>
          <w:rFonts w:ascii="Arial" w:hAnsi="Arial" w:cs="Arial"/>
          <w:sz w:val="20"/>
          <w:szCs w:val="20"/>
        </w:rPr>
        <w:t xml:space="preserve"> of one of the</w:t>
      </w:r>
      <w:r w:rsidR="00EC2010" w:rsidRPr="00EC2010">
        <w:rPr>
          <w:rFonts w:ascii="Arial" w:hAnsi="Arial" w:cs="Arial"/>
          <w:sz w:val="20"/>
          <w:szCs w:val="20"/>
        </w:rPr>
        <w:t xml:space="preserve"> reinforced concrete</w:t>
      </w:r>
      <w:r w:rsidR="004E6E58">
        <w:rPr>
          <w:rFonts w:ascii="Arial" w:hAnsi="Arial" w:cs="Arial"/>
          <w:sz w:val="20"/>
          <w:szCs w:val="20"/>
        </w:rPr>
        <w:t xml:space="preserve"> framed</w:t>
      </w:r>
      <w:r w:rsidR="00EC2010" w:rsidRPr="00EC2010">
        <w:rPr>
          <w:rFonts w:ascii="Arial" w:hAnsi="Arial" w:cs="Arial"/>
          <w:sz w:val="20"/>
          <w:szCs w:val="20"/>
        </w:rPr>
        <w:t xml:space="preserve"> building</w:t>
      </w:r>
      <w:r w:rsidR="00D9692D">
        <w:rPr>
          <w:rFonts w:ascii="Arial" w:hAnsi="Arial" w:cs="Arial"/>
          <w:sz w:val="20"/>
          <w:szCs w:val="20"/>
        </w:rPr>
        <w:t>s</w:t>
      </w:r>
      <w:r w:rsidR="008566BA">
        <w:rPr>
          <w:rFonts w:ascii="Arial" w:hAnsi="Arial" w:cs="Arial"/>
          <w:sz w:val="20"/>
          <w:szCs w:val="20"/>
        </w:rPr>
        <w:t>, has consisted of the re</w:t>
      </w:r>
      <w:r w:rsidR="009B1906">
        <w:rPr>
          <w:rFonts w:ascii="Arial" w:hAnsi="Arial" w:cs="Arial"/>
          <w:sz w:val="20"/>
          <w:szCs w:val="20"/>
        </w:rPr>
        <w:t xml:space="preserve">moval of the original </w:t>
      </w:r>
      <w:r w:rsidR="005D4422">
        <w:rPr>
          <w:rFonts w:ascii="Arial" w:hAnsi="Arial" w:cs="Arial"/>
          <w:sz w:val="20"/>
          <w:szCs w:val="20"/>
        </w:rPr>
        <w:t>large</w:t>
      </w:r>
      <w:r w:rsidR="0025166B">
        <w:rPr>
          <w:rFonts w:ascii="Arial" w:hAnsi="Arial" w:cs="Arial"/>
          <w:sz w:val="20"/>
          <w:szCs w:val="20"/>
        </w:rPr>
        <w:t xml:space="preserve"> </w:t>
      </w:r>
      <w:r w:rsidR="009B1906">
        <w:rPr>
          <w:rFonts w:ascii="Arial" w:hAnsi="Arial" w:cs="Arial"/>
          <w:sz w:val="20"/>
          <w:szCs w:val="20"/>
        </w:rPr>
        <w:t>valve</w:t>
      </w:r>
      <w:r w:rsidR="003A6E74">
        <w:rPr>
          <w:rFonts w:ascii="Arial" w:hAnsi="Arial" w:cs="Arial"/>
          <w:sz w:val="20"/>
          <w:szCs w:val="20"/>
        </w:rPr>
        <w:t xml:space="preserve"> type</w:t>
      </w:r>
      <w:r w:rsidR="009B1906">
        <w:rPr>
          <w:rFonts w:ascii="Arial" w:hAnsi="Arial" w:cs="Arial"/>
          <w:sz w:val="20"/>
          <w:szCs w:val="20"/>
        </w:rPr>
        <w:t xml:space="preserve"> transmitters</w:t>
      </w:r>
      <w:r w:rsidR="00520848">
        <w:rPr>
          <w:rFonts w:ascii="Arial" w:hAnsi="Arial" w:cs="Arial"/>
          <w:sz w:val="20"/>
          <w:szCs w:val="20"/>
        </w:rPr>
        <w:t xml:space="preserve"> </w:t>
      </w:r>
      <w:r w:rsidR="005D4422">
        <w:rPr>
          <w:rFonts w:ascii="Arial" w:hAnsi="Arial" w:cs="Arial"/>
          <w:sz w:val="20"/>
          <w:szCs w:val="20"/>
        </w:rPr>
        <w:t>and their replacement with</w:t>
      </w:r>
      <w:r w:rsidR="00311D74">
        <w:rPr>
          <w:rFonts w:ascii="Arial" w:hAnsi="Arial" w:cs="Arial"/>
          <w:sz w:val="20"/>
          <w:szCs w:val="20"/>
        </w:rPr>
        <w:t xml:space="preserve"> numerous transmitters with a smaller footprint</w:t>
      </w:r>
      <w:r w:rsidR="001723F3">
        <w:rPr>
          <w:rFonts w:ascii="Arial" w:hAnsi="Arial" w:cs="Arial"/>
          <w:sz w:val="20"/>
          <w:szCs w:val="20"/>
        </w:rPr>
        <w:t xml:space="preserve"> (see the current TV1 transmitter room drawing below)</w:t>
      </w:r>
      <w:r w:rsidR="00EC2010" w:rsidRPr="00EC2010">
        <w:rPr>
          <w:rFonts w:ascii="Arial" w:hAnsi="Arial" w:cs="Arial"/>
          <w:sz w:val="20"/>
          <w:szCs w:val="20"/>
        </w:rPr>
        <w:t xml:space="preserve">. </w:t>
      </w:r>
      <w:r w:rsidR="00415787">
        <w:rPr>
          <w:rFonts w:ascii="Arial" w:hAnsi="Arial" w:cs="Arial"/>
          <w:sz w:val="20"/>
          <w:szCs w:val="20"/>
        </w:rPr>
        <w:t>The design of the</w:t>
      </w:r>
      <w:r w:rsidR="005001F4">
        <w:rPr>
          <w:rFonts w:ascii="Arial" w:hAnsi="Arial" w:cs="Arial"/>
          <w:sz w:val="20"/>
          <w:szCs w:val="20"/>
        </w:rPr>
        <w:t xml:space="preserve"> continuous</w:t>
      </w:r>
      <w:r w:rsidR="00415787">
        <w:rPr>
          <w:rFonts w:ascii="Arial" w:hAnsi="Arial" w:cs="Arial"/>
          <w:sz w:val="20"/>
          <w:szCs w:val="20"/>
        </w:rPr>
        <w:t xml:space="preserve"> </w:t>
      </w:r>
      <w:r w:rsidR="00C742B2">
        <w:rPr>
          <w:rFonts w:ascii="Arial" w:hAnsi="Arial" w:cs="Arial"/>
          <w:sz w:val="20"/>
          <w:szCs w:val="20"/>
        </w:rPr>
        <w:t xml:space="preserve">RC slab allowed for specific </w:t>
      </w:r>
      <w:r w:rsidR="004B4906">
        <w:rPr>
          <w:rFonts w:ascii="Arial" w:hAnsi="Arial" w:cs="Arial"/>
          <w:sz w:val="20"/>
          <w:szCs w:val="20"/>
        </w:rPr>
        <w:t>floor penetrations</w:t>
      </w:r>
      <w:r w:rsidR="00C742B2">
        <w:rPr>
          <w:rFonts w:ascii="Arial" w:hAnsi="Arial" w:cs="Arial"/>
          <w:sz w:val="20"/>
          <w:szCs w:val="20"/>
        </w:rPr>
        <w:t xml:space="preserve"> directly related</w:t>
      </w:r>
      <w:r w:rsidR="004B4906">
        <w:rPr>
          <w:rFonts w:ascii="Arial" w:hAnsi="Arial" w:cs="Arial"/>
          <w:sz w:val="20"/>
          <w:szCs w:val="20"/>
        </w:rPr>
        <w:t xml:space="preserve"> </w:t>
      </w:r>
      <w:r w:rsidR="00C742B2">
        <w:rPr>
          <w:rFonts w:ascii="Arial" w:hAnsi="Arial" w:cs="Arial"/>
          <w:sz w:val="20"/>
          <w:szCs w:val="20"/>
        </w:rPr>
        <w:t>to</w:t>
      </w:r>
      <w:r w:rsidR="004B4906">
        <w:rPr>
          <w:rFonts w:ascii="Arial" w:hAnsi="Arial" w:cs="Arial"/>
          <w:sz w:val="20"/>
          <w:szCs w:val="20"/>
        </w:rPr>
        <w:t xml:space="preserve"> the </w:t>
      </w:r>
      <w:r w:rsidR="00856C84">
        <w:rPr>
          <w:rFonts w:ascii="Arial" w:hAnsi="Arial" w:cs="Arial"/>
          <w:sz w:val="20"/>
          <w:szCs w:val="20"/>
        </w:rPr>
        <w:t>valve type transmitters</w:t>
      </w:r>
      <w:r w:rsidR="00510A9D">
        <w:rPr>
          <w:rFonts w:ascii="Arial" w:hAnsi="Arial" w:cs="Arial"/>
          <w:sz w:val="20"/>
          <w:szCs w:val="20"/>
        </w:rPr>
        <w:t xml:space="preserve"> (see the </w:t>
      </w:r>
      <w:r w:rsidR="00960797">
        <w:rPr>
          <w:rFonts w:ascii="Arial" w:hAnsi="Arial" w:cs="Arial"/>
          <w:sz w:val="20"/>
          <w:szCs w:val="20"/>
        </w:rPr>
        <w:t>original TV1 transmitter room drawing below)</w:t>
      </w:r>
      <w:r w:rsidR="00856C84">
        <w:rPr>
          <w:rFonts w:ascii="Arial" w:hAnsi="Arial" w:cs="Arial"/>
          <w:sz w:val="20"/>
          <w:szCs w:val="20"/>
        </w:rPr>
        <w:t>. These penetrations were closed</w:t>
      </w:r>
      <w:r w:rsidR="00E7417F">
        <w:rPr>
          <w:rFonts w:ascii="Arial" w:hAnsi="Arial" w:cs="Arial"/>
          <w:sz w:val="20"/>
          <w:szCs w:val="20"/>
        </w:rPr>
        <w:t xml:space="preserve"> when the valve type transmitters were removed</w:t>
      </w:r>
      <w:r w:rsidR="00A0438D">
        <w:rPr>
          <w:rFonts w:ascii="Arial" w:hAnsi="Arial" w:cs="Arial"/>
          <w:sz w:val="20"/>
          <w:szCs w:val="20"/>
        </w:rPr>
        <w:t>.</w:t>
      </w:r>
      <w:r w:rsidR="00C742B2">
        <w:rPr>
          <w:rFonts w:ascii="Arial" w:hAnsi="Arial" w:cs="Arial"/>
          <w:sz w:val="20"/>
          <w:szCs w:val="20"/>
        </w:rPr>
        <w:t xml:space="preserve"> </w:t>
      </w:r>
      <w:r w:rsidR="003645AF">
        <w:rPr>
          <w:rFonts w:ascii="Arial" w:hAnsi="Arial" w:cs="Arial"/>
          <w:sz w:val="20"/>
          <w:szCs w:val="20"/>
        </w:rPr>
        <w:t>Various n</w:t>
      </w:r>
      <w:r w:rsidR="00303724">
        <w:rPr>
          <w:rFonts w:ascii="Arial" w:hAnsi="Arial" w:cs="Arial"/>
          <w:sz w:val="20"/>
          <w:szCs w:val="20"/>
        </w:rPr>
        <w:t>ew floor penetrations w</w:t>
      </w:r>
      <w:r w:rsidR="003645AF">
        <w:rPr>
          <w:rFonts w:ascii="Arial" w:hAnsi="Arial" w:cs="Arial"/>
          <w:sz w:val="20"/>
          <w:szCs w:val="20"/>
        </w:rPr>
        <w:t xml:space="preserve">ere formed </w:t>
      </w:r>
      <w:r w:rsidR="008B7B0F">
        <w:rPr>
          <w:rFonts w:ascii="Arial" w:hAnsi="Arial" w:cs="Arial"/>
          <w:sz w:val="20"/>
          <w:szCs w:val="20"/>
        </w:rPr>
        <w:t xml:space="preserve">for </w:t>
      </w:r>
      <w:r w:rsidR="00656AC2">
        <w:rPr>
          <w:rFonts w:ascii="Arial" w:hAnsi="Arial" w:cs="Arial"/>
          <w:sz w:val="20"/>
          <w:szCs w:val="20"/>
        </w:rPr>
        <w:t xml:space="preserve">services required </w:t>
      </w:r>
      <w:r w:rsidR="001D36AA">
        <w:rPr>
          <w:rFonts w:ascii="Arial" w:hAnsi="Arial" w:cs="Arial"/>
          <w:sz w:val="20"/>
          <w:szCs w:val="20"/>
        </w:rPr>
        <w:t xml:space="preserve">for </w:t>
      </w:r>
      <w:r w:rsidR="008B7B0F">
        <w:rPr>
          <w:rFonts w:ascii="Arial" w:hAnsi="Arial" w:cs="Arial"/>
          <w:sz w:val="20"/>
          <w:szCs w:val="20"/>
        </w:rPr>
        <w:t>the establishment of the</w:t>
      </w:r>
      <w:r w:rsidR="00DE380F">
        <w:rPr>
          <w:rFonts w:ascii="Arial" w:hAnsi="Arial" w:cs="Arial"/>
          <w:sz w:val="20"/>
          <w:szCs w:val="20"/>
        </w:rPr>
        <w:t xml:space="preserve"> smaller</w:t>
      </w:r>
      <w:r w:rsidR="00303724">
        <w:rPr>
          <w:rFonts w:ascii="Arial" w:hAnsi="Arial" w:cs="Arial"/>
          <w:sz w:val="20"/>
          <w:szCs w:val="20"/>
        </w:rPr>
        <w:t xml:space="preserve"> transmitters</w:t>
      </w:r>
      <w:r w:rsidR="00D145EB">
        <w:rPr>
          <w:rFonts w:ascii="Arial" w:hAnsi="Arial" w:cs="Arial"/>
          <w:sz w:val="20"/>
          <w:szCs w:val="20"/>
        </w:rPr>
        <w:t xml:space="preserve">. </w:t>
      </w:r>
    </w:p>
    <w:p w14:paraId="463D18D0" w14:textId="7E9768C8" w:rsidR="00B24FD8" w:rsidRDefault="00B24FD8" w:rsidP="00DC23E3">
      <w:pPr>
        <w:spacing w:after="0" w:line="240" w:lineRule="auto"/>
        <w:rPr>
          <w:rFonts w:ascii="Arial" w:eastAsia="Times" w:hAnsi="Arial" w:cs="Arial"/>
          <w:sz w:val="20"/>
          <w:szCs w:val="20"/>
          <w:lang w:val="en-GB"/>
        </w:rPr>
      </w:pPr>
    </w:p>
    <w:p w14:paraId="120B8B9C" w14:textId="04D821A4" w:rsidR="00871BE8" w:rsidRPr="00400EFF" w:rsidRDefault="00DC23E3" w:rsidP="00DC23E3">
      <w:pPr>
        <w:pStyle w:val="BodyText2"/>
        <w:rPr>
          <w:rFonts w:ascii="Times New Roman" w:hAnsi="Times New Roman"/>
        </w:rPr>
      </w:pPr>
      <w:r w:rsidRPr="00797680">
        <w:rPr>
          <w:rFonts w:cs="Arial"/>
          <w:szCs w:val="20"/>
        </w:rPr>
        <w:t xml:space="preserve">Sentech is </w:t>
      </w:r>
      <w:r w:rsidR="00052262">
        <w:rPr>
          <w:rFonts w:cs="Arial"/>
          <w:szCs w:val="20"/>
        </w:rPr>
        <w:t>once again upgrading</w:t>
      </w:r>
      <w:r w:rsidR="00DA59CF">
        <w:rPr>
          <w:rFonts w:cs="Arial"/>
          <w:szCs w:val="20"/>
        </w:rPr>
        <w:t xml:space="preserve"> and adding to</w:t>
      </w:r>
      <w:r w:rsidR="00052262">
        <w:rPr>
          <w:rFonts w:cs="Arial"/>
          <w:szCs w:val="20"/>
        </w:rPr>
        <w:t xml:space="preserve"> its </w:t>
      </w:r>
      <w:r w:rsidR="00A9224F">
        <w:rPr>
          <w:rFonts w:cs="Arial"/>
          <w:szCs w:val="20"/>
        </w:rPr>
        <w:t>transmitting equipment</w:t>
      </w:r>
      <w:r w:rsidR="00632C54">
        <w:rPr>
          <w:rFonts w:cs="Arial"/>
          <w:szCs w:val="20"/>
        </w:rPr>
        <w:t xml:space="preserve"> in the </w:t>
      </w:r>
      <w:proofErr w:type="gramStart"/>
      <w:r w:rsidR="007C3D2A">
        <w:rPr>
          <w:rFonts w:cs="Arial"/>
          <w:szCs w:val="20"/>
        </w:rPr>
        <w:t>first floor</w:t>
      </w:r>
      <w:proofErr w:type="gramEnd"/>
      <w:r w:rsidR="007C3D2A">
        <w:rPr>
          <w:rFonts w:cs="Arial"/>
          <w:szCs w:val="20"/>
        </w:rPr>
        <w:t xml:space="preserve"> transmitting room mentioned above</w:t>
      </w:r>
      <w:r w:rsidRPr="00797680">
        <w:rPr>
          <w:rFonts w:cs="Arial"/>
          <w:szCs w:val="20"/>
        </w:rPr>
        <w:t>. Th</w:t>
      </w:r>
      <w:r w:rsidR="00F07AC9">
        <w:rPr>
          <w:rFonts w:cs="Arial"/>
          <w:szCs w:val="20"/>
        </w:rPr>
        <w:t>is upgrade</w:t>
      </w:r>
      <w:r w:rsidRPr="00797680">
        <w:rPr>
          <w:rFonts w:cs="Arial"/>
          <w:szCs w:val="20"/>
        </w:rPr>
        <w:t xml:space="preserve"> will require </w:t>
      </w:r>
      <w:r w:rsidR="00F07AC9">
        <w:rPr>
          <w:rFonts w:cs="Arial"/>
          <w:szCs w:val="20"/>
        </w:rPr>
        <w:t xml:space="preserve">additional </w:t>
      </w:r>
      <w:r w:rsidR="00C60C87">
        <w:rPr>
          <w:rFonts w:cs="Arial"/>
          <w:szCs w:val="20"/>
        </w:rPr>
        <w:t>RC slab penetrations for</w:t>
      </w:r>
      <w:r>
        <w:rPr>
          <w:rFonts w:cs="Arial"/>
          <w:szCs w:val="20"/>
        </w:rPr>
        <w:t xml:space="preserve"> services </w:t>
      </w:r>
      <w:r w:rsidR="00234891">
        <w:rPr>
          <w:rFonts w:cs="Arial"/>
          <w:szCs w:val="20"/>
        </w:rPr>
        <w:t>r</w:t>
      </w:r>
      <w:r w:rsidR="0061379C">
        <w:rPr>
          <w:rFonts w:cs="Arial"/>
          <w:szCs w:val="20"/>
        </w:rPr>
        <w:t>elated to</w:t>
      </w:r>
      <w:r w:rsidR="00234891">
        <w:rPr>
          <w:rFonts w:cs="Arial"/>
          <w:szCs w:val="20"/>
        </w:rPr>
        <w:t xml:space="preserve"> the transmitting equipment</w:t>
      </w:r>
      <w:r w:rsidR="00871BE8">
        <w:rPr>
          <w:rFonts w:ascii="Times New Roman" w:hAnsi="Times New Roman"/>
        </w:rPr>
        <w:t xml:space="preserve">. </w:t>
      </w:r>
    </w:p>
    <w:p w14:paraId="60FE1C26" w14:textId="77777777" w:rsidR="00C24C8B" w:rsidRDefault="00C24C8B" w:rsidP="00871BE8">
      <w:pPr>
        <w:pStyle w:val="BodyText2"/>
        <w:rPr>
          <w:rFonts w:cs="Arial"/>
          <w:szCs w:val="20"/>
        </w:rPr>
      </w:pPr>
    </w:p>
    <w:p w14:paraId="5FF7A534" w14:textId="0C317910" w:rsidR="00871BE8" w:rsidRPr="00400EFF" w:rsidRDefault="00C24C8B" w:rsidP="00871BE8">
      <w:pPr>
        <w:pStyle w:val="BodyText2"/>
        <w:rPr>
          <w:rFonts w:ascii="Times New Roman" w:hAnsi="Times New Roman"/>
        </w:rPr>
      </w:pPr>
      <w:proofErr w:type="gramStart"/>
      <w:r>
        <w:rPr>
          <w:rFonts w:cs="Arial"/>
          <w:szCs w:val="20"/>
        </w:rPr>
        <w:t>Availability</w:t>
      </w:r>
      <w:proofErr w:type="gramEnd"/>
      <w:r>
        <w:rPr>
          <w:rFonts w:cs="Arial"/>
          <w:szCs w:val="20"/>
        </w:rPr>
        <w:t xml:space="preserve"> of s</w:t>
      </w:r>
      <w:r w:rsidRPr="00EC2010">
        <w:rPr>
          <w:rFonts w:cs="Arial"/>
          <w:szCs w:val="20"/>
        </w:rPr>
        <w:t xml:space="preserve">tructural drawings for the building </w:t>
      </w:r>
      <w:proofErr w:type="gramStart"/>
      <w:r w:rsidRPr="00EC2010">
        <w:rPr>
          <w:rFonts w:cs="Arial"/>
          <w:szCs w:val="20"/>
        </w:rPr>
        <w:t>are</w:t>
      </w:r>
      <w:proofErr w:type="gramEnd"/>
      <w:r w:rsidRPr="00EC2010">
        <w:rPr>
          <w:rFonts w:cs="Arial"/>
          <w:szCs w:val="20"/>
        </w:rPr>
        <w:t xml:space="preserve"> </w:t>
      </w:r>
      <w:r>
        <w:rPr>
          <w:rFonts w:cs="Arial"/>
          <w:szCs w:val="20"/>
        </w:rPr>
        <w:t>limited. Only details of an adjacent portion of the building have been found in Sentech archives.</w:t>
      </w:r>
    </w:p>
    <w:p w14:paraId="4E7DD35C" w14:textId="77777777" w:rsidR="00871BE8" w:rsidRPr="00400EFF" w:rsidRDefault="00871BE8" w:rsidP="00871BE8">
      <w:pPr>
        <w:pStyle w:val="BodyText2"/>
        <w:rPr>
          <w:rFonts w:ascii="Times New Roman" w:hAnsi="Times New Roman"/>
        </w:rPr>
      </w:pPr>
    </w:p>
    <w:p w14:paraId="6B8A02C1" w14:textId="3B13F1B6" w:rsidR="00413C52" w:rsidRPr="00B60C24" w:rsidRDefault="00DF208F" w:rsidP="00413C52">
      <w:pPr>
        <w:rPr>
          <w:rFonts w:ascii="Arial" w:hAnsi="Arial" w:cs="Arial"/>
          <w:bCs/>
          <w:sz w:val="20"/>
          <w:szCs w:val="20"/>
        </w:rPr>
      </w:pPr>
      <w:r w:rsidRPr="00B60C24">
        <w:rPr>
          <w:rFonts w:ascii="Arial" w:hAnsi="Arial" w:cs="Arial"/>
          <w:bCs/>
          <w:sz w:val="20"/>
          <w:szCs w:val="20"/>
        </w:rPr>
        <w:t xml:space="preserve">Sentech would like to ascertain </w:t>
      </w:r>
      <w:r>
        <w:rPr>
          <w:rFonts w:ascii="Arial" w:hAnsi="Arial" w:cs="Arial"/>
          <w:bCs/>
          <w:sz w:val="20"/>
          <w:szCs w:val="20"/>
        </w:rPr>
        <w:t>the current</w:t>
      </w:r>
      <w:r w:rsidRPr="00B60C24">
        <w:rPr>
          <w:rFonts w:ascii="Arial" w:hAnsi="Arial" w:cs="Arial"/>
          <w:bCs/>
          <w:sz w:val="20"/>
          <w:szCs w:val="20"/>
        </w:rPr>
        <w:t xml:space="preserve"> </w:t>
      </w:r>
      <w:r>
        <w:rPr>
          <w:rFonts w:ascii="Arial" w:hAnsi="Arial" w:cs="Arial"/>
          <w:bCs/>
          <w:sz w:val="20"/>
          <w:szCs w:val="20"/>
        </w:rPr>
        <w:t>structural status of the RC floor</w:t>
      </w:r>
      <w:r w:rsidR="0007315B">
        <w:rPr>
          <w:rFonts w:ascii="Arial" w:hAnsi="Arial" w:cs="Arial"/>
          <w:bCs/>
          <w:sz w:val="20"/>
          <w:szCs w:val="20"/>
        </w:rPr>
        <w:t xml:space="preserve">. </w:t>
      </w:r>
      <w:r w:rsidR="00B742F2">
        <w:rPr>
          <w:rFonts w:ascii="Arial" w:hAnsi="Arial" w:cs="Arial"/>
          <w:bCs/>
          <w:sz w:val="20"/>
          <w:szCs w:val="20"/>
        </w:rPr>
        <w:t>A f</w:t>
      </w:r>
      <w:r w:rsidR="00413C52" w:rsidRPr="00B60C24">
        <w:rPr>
          <w:rFonts w:ascii="Arial" w:hAnsi="Arial" w:cs="Arial"/>
          <w:bCs/>
          <w:sz w:val="20"/>
          <w:szCs w:val="20"/>
        </w:rPr>
        <w:t>ee and disbursement proposal</w:t>
      </w:r>
      <w:r w:rsidR="00921F21">
        <w:rPr>
          <w:rFonts w:ascii="Arial" w:hAnsi="Arial" w:cs="Arial"/>
          <w:bCs/>
          <w:sz w:val="20"/>
          <w:szCs w:val="20"/>
        </w:rPr>
        <w:t xml:space="preserve"> will be required</w:t>
      </w:r>
      <w:r w:rsidR="001F3DAD">
        <w:rPr>
          <w:rFonts w:ascii="Arial" w:hAnsi="Arial" w:cs="Arial"/>
          <w:bCs/>
          <w:sz w:val="20"/>
          <w:szCs w:val="20"/>
        </w:rPr>
        <w:t>,</w:t>
      </w:r>
      <w:r w:rsidR="00413C52" w:rsidRPr="00B60C24">
        <w:rPr>
          <w:rFonts w:ascii="Arial" w:hAnsi="Arial" w:cs="Arial"/>
          <w:bCs/>
          <w:sz w:val="20"/>
          <w:szCs w:val="20"/>
        </w:rPr>
        <w:t xml:space="preserve"> </w:t>
      </w:r>
      <w:r w:rsidR="00E93A59">
        <w:rPr>
          <w:rFonts w:ascii="Arial" w:hAnsi="Arial" w:cs="Arial"/>
          <w:bCs/>
          <w:sz w:val="20"/>
          <w:szCs w:val="20"/>
        </w:rPr>
        <w:t xml:space="preserve">from </w:t>
      </w:r>
      <w:r w:rsidR="0008773F">
        <w:rPr>
          <w:rFonts w:ascii="Arial" w:hAnsi="Arial" w:cs="Arial"/>
          <w:bCs/>
          <w:sz w:val="20"/>
          <w:szCs w:val="20"/>
        </w:rPr>
        <w:t>ECSA registered professional structural engineers</w:t>
      </w:r>
      <w:r w:rsidR="00B92699">
        <w:rPr>
          <w:rFonts w:ascii="Arial" w:hAnsi="Arial" w:cs="Arial"/>
          <w:bCs/>
          <w:sz w:val="20"/>
          <w:szCs w:val="20"/>
        </w:rPr>
        <w:t>,</w:t>
      </w:r>
      <w:r w:rsidR="0008773F">
        <w:rPr>
          <w:rFonts w:ascii="Arial" w:hAnsi="Arial" w:cs="Arial"/>
          <w:bCs/>
          <w:sz w:val="20"/>
          <w:szCs w:val="20"/>
        </w:rPr>
        <w:t xml:space="preserve"> </w:t>
      </w:r>
      <w:r w:rsidR="00413C52" w:rsidRPr="00B60C24">
        <w:rPr>
          <w:rFonts w:ascii="Arial" w:hAnsi="Arial" w:cs="Arial"/>
          <w:bCs/>
          <w:sz w:val="20"/>
          <w:szCs w:val="20"/>
        </w:rPr>
        <w:t>for the following professional services at this site:</w:t>
      </w:r>
      <w:r w:rsidR="00231A60">
        <w:rPr>
          <w:rFonts w:ascii="Arial" w:hAnsi="Arial" w:cs="Arial"/>
          <w:bCs/>
          <w:sz w:val="20"/>
          <w:szCs w:val="20"/>
        </w:rPr>
        <w:t xml:space="preserve"> </w:t>
      </w:r>
    </w:p>
    <w:p w14:paraId="44AA2FEB" w14:textId="0CBA9DE6" w:rsidR="00932FC8" w:rsidRDefault="00691453" w:rsidP="00413C52">
      <w:pPr>
        <w:numPr>
          <w:ilvl w:val="0"/>
          <w:numId w:val="1"/>
        </w:numPr>
        <w:spacing w:after="0" w:line="240" w:lineRule="auto"/>
        <w:rPr>
          <w:rFonts w:ascii="Arial" w:hAnsi="Arial" w:cs="Arial"/>
          <w:bCs/>
          <w:sz w:val="20"/>
          <w:szCs w:val="20"/>
        </w:rPr>
      </w:pPr>
      <w:r>
        <w:rPr>
          <w:rFonts w:ascii="Arial" w:hAnsi="Arial" w:cs="Arial"/>
          <w:bCs/>
          <w:sz w:val="20"/>
          <w:szCs w:val="20"/>
        </w:rPr>
        <w:t>Site investigation</w:t>
      </w:r>
    </w:p>
    <w:p w14:paraId="3E0DD5A0" w14:textId="665C1C55" w:rsidR="00B32907" w:rsidRDefault="00B32907" w:rsidP="00413C52">
      <w:pPr>
        <w:numPr>
          <w:ilvl w:val="0"/>
          <w:numId w:val="1"/>
        </w:numPr>
        <w:spacing w:after="0" w:line="240" w:lineRule="auto"/>
        <w:rPr>
          <w:rFonts w:ascii="Arial" w:hAnsi="Arial" w:cs="Arial"/>
          <w:bCs/>
          <w:sz w:val="20"/>
          <w:szCs w:val="20"/>
        </w:rPr>
      </w:pPr>
      <w:r w:rsidRPr="00B60C24">
        <w:rPr>
          <w:rFonts w:ascii="Arial" w:hAnsi="Arial" w:cs="Arial"/>
          <w:bCs/>
          <w:sz w:val="20"/>
          <w:szCs w:val="20"/>
        </w:rPr>
        <w:t>Non-destructive testing</w:t>
      </w:r>
      <w:r>
        <w:rPr>
          <w:rFonts w:ascii="Arial" w:hAnsi="Arial" w:cs="Arial"/>
          <w:bCs/>
          <w:sz w:val="20"/>
          <w:szCs w:val="20"/>
        </w:rPr>
        <w:t>/</w:t>
      </w:r>
      <w:r w:rsidRPr="00B60C24">
        <w:rPr>
          <w:rFonts w:ascii="Arial" w:hAnsi="Arial" w:cs="Arial"/>
          <w:bCs/>
          <w:sz w:val="20"/>
          <w:szCs w:val="20"/>
        </w:rPr>
        <w:t>scanning of the RC floor slab</w:t>
      </w:r>
      <w:r>
        <w:rPr>
          <w:rFonts w:ascii="Arial" w:hAnsi="Arial" w:cs="Arial"/>
          <w:bCs/>
          <w:sz w:val="20"/>
          <w:szCs w:val="20"/>
        </w:rPr>
        <w:t xml:space="preserve"> for rebar location</w:t>
      </w:r>
    </w:p>
    <w:p w14:paraId="1EAA69CA" w14:textId="6DE097D6" w:rsidR="007B1B1D" w:rsidRDefault="007B1B1D" w:rsidP="00413C52">
      <w:pPr>
        <w:numPr>
          <w:ilvl w:val="0"/>
          <w:numId w:val="1"/>
        </w:numPr>
        <w:spacing w:after="0" w:line="240" w:lineRule="auto"/>
        <w:rPr>
          <w:rFonts w:ascii="Arial" w:hAnsi="Arial" w:cs="Arial"/>
          <w:bCs/>
          <w:sz w:val="20"/>
          <w:szCs w:val="20"/>
        </w:rPr>
      </w:pPr>
      <w:r>
        <w:rPr>
          <w:rFonts w:ascii="Arial" w:hAnsi="Arial" w:cs="Arial"/>
          <w:bCs/>
          <w:sz w:val="20"/>
          <w:szCs w:val="20"/>
        </w:rPr>
        <w:t>Structural design audit</w:t>
      </w:r>
    </w:p>
    <w:p w14:paraId="28988A85" w14:textId="75A77A3E" w:rsidR="00413C52" w:rsidRPr="00B60C24" w:rsidRDefault="001070A8" w:rsidP="00413C52">
      <w:pPr>
        <w:numPr>
          <w:ilvl w:val="0"/>
          <w:numId w:val="1"/>
        </w:numPr>
        <w:spacing w:after="0" w:line="240" w:lineRule="auto"/>
        <w:rPr>
          <w:rFonts w:ascii="Arial" w:hAnsi="Arial" w:cs="Arial"/>
          <w:bCs/>
          <w:sz w:val="20"/>
          <w:szCs w:val="20"/>
        </w:rPr>
      </w:pPr>
      <w:r>
        <w:rPr>
          <w:rFonts w:ascii="Arial" w:hAnsi="Arial" w:cs="Arial"/>
          <w:bCs/>
          <w:sz w:val="20"/>
          <w:szCs w:val="20"/>
        </w:rPr>
        <w:t>A</w:t>
      </w:r>
      <w:r w:rsidR="00413C52" w:rsidRPr="00B60C24">
        <w:rPr>
          <w:rFonts w:ascii="Arial" w:hAnsi="Arial" w:cs="Arial"/>
          <w:bCs/>
          <w:sz w:val="20"/>
          <w:szCs w:val="20"/>
        </w:rPr>
        <w:t xml:space="preserve"> report confirming that the</w:t>
      </w:r>
      <w:r w:rsidR="009219F9">
        <w:rPr>
          <w:rFonts w:ascii="Arial" w:hAnsi="Arial" w:cs="Arial"/>
          <w:bCs/>
          <w:sz w:val="20"/>
          <w:szCs w:val="20"/>
        </w:rPr>
        <w:t xml:space="preserve"> existing/</w:t>
      </w:r>
      <w:r w:rsidR="00413C52" w:rsidRPr="00B60C24">
        <w:rPr>
          <w:rFonts w:ascii="Arial" w:hAnsi="Arial" w:cs="Arial"/>
          <w:bCs/>
          <w:sz w:val="20"/>
          <w:szCs w:val="20"/>
        </w:rPr>
        <w:t>new infrastructure can be accommodated without strengthening work or confirmation that strengthening work will be required before the new infrastructure is implemented</w:t>
      </w:r>
    </w:p>
    <w:p w14:paraId="39CC5F01" w14:textId="77777777" w:rsidR="002248BF" w:rsidRDefault="00413C52" w:rsidP="00413C52">
      <w:pPr>
        <w:numPr>
          <w:ilvl w:val="0"/>
          <w:numId w:val="1"/>
        </w:numPr>
        <w:spacing w:after="0" w:line="240" w:lineRule="auto"/>
        <w:rPr>
          <w:rFonts w:ascii="Arial" w:hAnsi="Arial" w:cs="Arial"/>
          <w:bCs/>
          <w:sz w:val="20"/>
          <w:szCs w:val="20"/>
        </w:rPr>
      </w:pPr>
      <w:proofErr w:type="gramStart"/>
      <w:r w:rsidRPr="00B60C24">
        <w:rPr>
          <w:rFonts w:ascii="Arial" w:hAnsi="Arial" w:cs="Arial"/>
          <w:bCs/>
          <w:sz w:val="20"/>
          <w:szCs w:val="20"/>
        </w:rPr>
        <w:t>In the event that</w:t>
      </w:r>
      <w:proofErr w:type="gramEnd"/>
      <w:r w:rsidRPr="00B60C24">
        <w:rPr>
          <w:rFonts w:ascii="Arial" w:hAnsi="Arial" w:cs="Arial"/>
          <w:bCs/>
          <w:sz w:val="20"/>
          <w:szCs w:val="20"/>
        </w:rPr>
        <w:t xml:space="preserve"> strengthening work is required, the design and detailing of the strengthening measures</w:t>
      </w:r>
      <w:r w:rsidR="006B553B">
        <w:rPr>
          <w:rFonts w:ascii="Arial" w:hAnsi="Arial" w:cs="Arial"/>
          <w:bCs/>
          <w:sz w:val="20"/>
          <w:szCs w:val="20"/>
        </w:rPr>
        <w:t xml:space="preserve">, </w:t>
      </w:r>
      <w:r w:rsidR="00493478">
        <w:rPr>
          <w:rFonts w:ascii="Arial" w:hAnsi="Arial" w:cs="Arial"/>
          <w:bCs/>
          <w:sz w:val="20"/>
          <w:szCs w:val="20"/>
        </w:rPr>
        <w:t xml:space="preserve">as well as </w:t>
      </w:r>
      <w:r w:rsidR="00302D21">
        <w:rPr>
          <w:rFonts w:ascii="Arial" w:hAnsi="Arial" w:cs="Arial"/>
          <w:bCs/>
          <w:sz w:val="20"/>
          <w:szCs w:val="20"/>
        </w:rPr>
        <w:t xml:space="preserve">any </w:t>
      </w:r>
      <w:r w:rsidR="006B4701" w:rsidRPr="006B4701">
        <w:rPr>
          <w:rFonts w:ascii="Arial" w:hAnsi="Arial" w:cs="Arial"/>
          <w:sz w:val="20"/>
          <w:szCs w:val="20"/>
        </w:rPr>
        <w:t>specifications, quantities and works methodologies</w:t>
      </w:r>
      <w:r w:rsidRPr="00B60C24">
        <w:rPr>
          <w:rFonts w:ascii="Arial" w:hAnsi="Arial" w:cs="Arial"/>
          <w:bCs/>
          <w:sz w:val="20"/>
          <w:szCs w:val="20"/>
        </w:rPr>
        <w:t xml:space="preserve"> </w:t>
      </w:r>
      <w:r w:rsidR="00117D5C">
        <w:rPr>
          <w:rFonts w:ascii="Arial" w:hAnsi="Arial" w:cs="Arial"/>
          <w:bCs/>
          <w:sz w:val="20"/>
          <w:szCs w:val="20"/>
        </w:rPr>
        <w:t xml:space="preserve">for incorporation into </w:t>
      </w:r>
      <w:r w:rsidRPr="00B60C24">
        <w:rPr>
          <w:rFonts w:ascii="Arial" w:hAnsi="Arial" w:cs="Arial"/>
          <w:bCs/>
          <w:sz w:val="20"/>
          <w:szCs w:val="20"/>
        </w:rPr>
        <w:t xml:space="preserve">Sentech’s quotation </w:t>
      </w:r>
      <w:r w:rsidR="004B52B3">
        <w:rPr>
          <w:rFonts w:ascii="Arial" w:hAnsi="Arial" w:cs="Arial"/>
          <w:bCs/>
          <w:sz w:val="20"/>
          <w:szCs w:val="20"/>
        </w:rPr>
        <w:t>documentation</w:t>
      </w:r>
      <w:r w:rsidR="00F023F6">
        <w:rPr>
          <w:rFonts w:ascii="Arial" w:hAnsi="Arial" w:cs="Arial"/>
          <w:bCs/>
          <w:sz w:val="20"/>
          <w:szCs w:val="20"/>
        </w:rPr>
        <w:t>/</w:t>
      </w:r>
      <w:r w:rsidRPr="00B60C24">
        <w:rPr>
          <w:rFonts w:ascii="Arial" w:hAnsi="Arial" w:cs="Arial"/>
          <w:bCs/>
          <w:sz w:val="20"/>
          <w:szCs w:val="20"/>
        </w:rPr>
        <w:t>process for the actual works</w:t>
      </w:r>
    </w:p>
    <w:p w14:paraId="7FC59A51" w14:textId="228709F8" w:rsidR="001A272E" w:rsidRDefault="00DF7313" w:rsidP="00413C52">
      <w:pPr>
        <w:numPr>
          <w:ilvl w:val="0"/>
          <w:numId w:val="1"/>
        </w:numPr>
        <w:spacing w:after="0" w:line="240" w:lineRule="auto"/>
        <w:rPr>
          <w:rFonts w:ascii="Arial" w:hAnsi="Arial" w:cs="Arial"/>
          <w:bCs/>
          <w:sz w:val="20"/>
          <w:szCs w:val="20"/>
        </w:rPr>
      </w:pPr>
      <w:r>
        <w:rPr>
          <w:rFonts w:ascii="Arial" w:hAnsi="Arial" w:cs="Arial"/>
          <w:bCs/>
          <w:sz w:val="20"/>
          <w:szCs w:val="20"/>
        </w:rPr>
        <w:t>For the purposes of the fee proposal</w:t>
      </w:r>
      <w:r w:rsidR="00F52052">
        <w:rPr>
          <w:rFonts w:ascii="Arial" w:hAnsi="Arial" w:cs="Arial"/>
          <w:bCs/>
          <w:sz w:val="20"/>
          <w:szCs w:val="20"/>
        </w:rPr>
        <w:t xml:space="preserve"> assume s</w:t>
      </w:r>
      <w:r w:rsidR="00413C52" w:rsidRPr="00B60C24">
        <w:rPr>
          <w:rFonts w:ascii="Arial" w:hAnsi="Arial" w:cs="Arial"/>
          <w:bCs/>
          <w:sz w:val="20"/>
          <w:szCs w:val="20"/>
        </w:rPr>
        <w:t xml:space="preserve">trengthening measures </w:t>
      </w:r>
      <w:r w:rsidR="000C1CEF">
        <w:rPr>
          <w:rFonts w:ascii="Arial" w:hAnsi="Arial" w:cs="Arial"/>
          <w:bCs/>
          <w:sz w:val="20"/>
          <w:szCs w:val="20"/>
        </w:rPr>
        <w:t xml:space="preserve">to </w:t>
      </w:r>
      <w:r w:rsidR="00413C52" w:rsidRPr="00B60C24">
        <w:rPr>
          <w:rFonts w:ascii="Arial" w:hAnsi="Arial" w:cs="Arial"/>
          <w:bCs/>
          <w:sz w:val="20"/>
          <w:szCs w:val="20"/>
        </w:rPr>
        <w:t>tak</w:t>
      </w:r>
      <w:r w:rsidR="000C1CEF">
        <w:rPr>
          <w:rFonts w:ascii="Arial" w:hAnsi="Arial" w:cs="Arial"/>
          <w:bCs/>
          <w:sz w:val="20"/>
          <w:szCs w:val="20"/>
        </w:rPr>
        <w:t>e</w:t>
      </w:r>
      <w:r w:rsidR="00413C52" w:rsidRPr="00B60C24">
        <w:rPr>
          <w:rFonts w:ascii="Arial" w:hAnsi="Arial" w:cs="Arial"/>
          <w:bCs/>
          <w:sz w:val="20"/>
          <w:szCs w:val="20"/>
        </w:rPr>
        <w:t xml:space="preserve"> the form of supporting structural beams</w:t>
      </w:r>
      <w:r w:rsidR="00D708E4">
        <w:rPr>
          <w:rFonts w:ascii="Arial" w:hAnsi="Arial" w:cs="Arial"/>
          <w:bCs/>
          <w:sz w:val="20"/>
          <w:szCs w:val="20"/>
        </w:rPr>
        <w:t>/</w:t>
      </w:r>
      <w:r w:rsidR="005920E9">
        <w:rPr>
          <w:rFonts w:ascii="Arial" w:hAnsi="Arial" w:cs="Arial"/>
          <w:bCs/>
          <w:sz w:val="20"/>
          <w:szCs w:val="20"/>
        </w:rPr>
        <w:t xml:space="preserve"> </w:t>
      </w:r>
      <w:r w:rsidR="00CB03C9">
        <w:rPr>
          <w:rFonts w:ascii="Arial" w:hAnsi="Arial" w:cs="Arial"/>
          <w:bCs/>
          <w:sz w:val="20"/>
          <w:szCs w:val="20"/>
        </w:rPr>
        <w:t xml:space="preserve">external </w:t>
      </w:r>
      <w:r w:rsidR="002A7D3A">
        <w:rPr>
          <w:rFonts w:ascii="Arial" w:hAnsi="Arial" w:cs="Arial"/>
          <w:bCs/>
          <w:sz w:val="20"/>
          <w:szCs w:val="20"/>
        </w:rPr>
        <w:t>bonded steel plates</w:t>
      </w:r>
      <w:r w:rsidR="008E28EB">
        <w:rPr>
          <w:rFonts w:ascii="Arial" w:hAnsi="Arial" w:cs="Arial"/>
          <w:bCs/>
          <w:sz w:val="20"/>
          <w:szCs w:val="20"/>
        </w:rPr>
        <w:t>/</w:t>
      </w:r>
      <w:r w:rsidR="00CB03C9">
        <w:rPr>
          <w:rFonts w:ascii="Arial" w:hAnsi="Arial" w:cs="Arial"/>
          <w:bCs/>
          <w:sz w:val="20"/>
          <w:szCs w:val="20"/>
        </w:rPr>
        <w:t xml:space="preserve">external bonded </w:t>
      </w:r>
      <w:r w:rsidR="00B46960">
        <w:rPr>
          <w:rFonts w:ascii="Arial" w:hAnsi="Arial" w:cs="Arial"/>
          <w:bCs/>
          <w:sz w:val="20"/>
          <w:szCs w:val="20"/>
        </w:rPr>
        <w:t>fabrics</w:t>
      </w:r>
      <w:r w:rsidR="008E28EB">
        <w:rPr>
          <w:rFonts w:ascii="Arial" w:hAnsi="Arial" w:cs="Arial"/>
          <w:bCs/>
          <w:sz w:val="20"/>
          <w:szCs w:val="20"/>
        </w:rPr>
        <w:t>, etc</w:t>
      </w:r>
      <w:r w:rsidR="00413C52" w:rsidRPr="00B60C24">
        <w:rPr>
          <w:rFonts w:ascii="Arial" w:hAnsi="Arial" w:cs="Arial"/>
          <w:bCs/>
          <w:sz w:val="20"/>
          <w:szCs w:val="20"/>
        </w:rPr>
        <w:t xml:space="preserve"> below the </w:t>
      </w:r>
      <w:r w:rsidR="008E28EB">
        <w:rPr>
          <w:rFonts w:ascii="Arial" w:hAnsi="Arial" w:cs="Arial"/>
          <w:sz w:val="20"/>
          <w:szCs w:val="20"/>
        </w:rPr>
        <w:t>1</w:t>
      </w:r>
      <w:r w:rsidR="008E28EB" w:rsidRPr="008E28EB">
        <w:rPr>
          <w:rFonts w:ascii="Arial" w:hAnsi="Arial" w:cs="Arial"/>
          <w:sz w:val="20"/>
          <w:szCs w:val="20"/>
          <w:vertAlign w:val="superscript"/>
        </w:rPr>
        <w:t>st</w:t>
      </w:r>
      <w:r w:rsidR="008E28EB">
        <w:rPr>
          <w:rFonts w:ascii="Arial" w:hAnsi="Arial" w:cs="Arial"/>
          <w:sz w:val="20"/>
          <w:szCs w:val="20"/>
        </w:rPr>
        <w:t xml:space="preserve"> </w:t>
      </w:r>
      <w:r w:rsidR="00413C52" w:rsidRPr="00B60C24">
        <w:rPr>
          <w:rFonts w:ascii="Arial" w:hAnsi="Arial" w:cs="Arial"/>
          <w:bCs/>
          <w:sz w:val="20"/>
          <w:szCs w:val="20"/>
        </w:rPr>
        <w:t>floor slab</w:t>
      </w:r>
    </w:p>
    <w:p w14:paraId="7F06D313" w14:textId="57764D3D" w:rsidR="00413C52" w:rsidRPr="00675AFE" w:rsidRDefault="001A272E" w:rsidP="00413C52">
      <w:pPr>
        <w:numPr>
          <w:ilvl w:val="0"/>
          <w:numId w:val="1"/>
        </w:numPr>
        <w:spacing w:after="0" w:line="240" w:lineRule="auto"/>
        <w:rPr>
          <w:rFonts w:ascii="Arial" w:hAnsi="Arial" w:cs="Arial"/>
          <w:bCs/>
          <w:sz w:val="20"/>
          <w:szCs w:val="20"/>
        </w:rPr>
      </w:pPr>
      <w:r w:rsidRPr="00675AFE">
        <w:rPr>
          <w:rFonts w:ascii="Arial" w:hAnsi="Arial" w:cs="Arial"/>
          <w:sz w:val="20"/>
          <w:szCs w:val="20"/>
        </w:rPr>
        <w:t xml:space="preserve">Site Tender </w:t>
      </w:r>
      <w:r w:rsidR="00B46FC1">
        <w:rPr>
          <w:rFonts w:ascii="Arial" w:hAnsi="Arial" w:cs="Arial"/>
          <w:sz w:val="20"/>
          <w:szCs w:val="20"/>
        </w:rPr>
        <w:t>meeting</w:t>
      </w:r>
    </w:p>
    <w:p w14:paraId="0B0544CA" w14:textId="77777777" w:rsidR="001A272E" w:rsidRDefault="001A272E" w:rsidP="001A272E">
      <w:pPr>
        <w:pStyle w:val="BodyText2"/>
        <w:numPr>
          <w:ilvl w:val="0"/>
          <w:numId w:val="1"/>
        </w:numPr>
        <w:rPr>
          <w:rFonts w:cs="Arial"/>
          <w:szCs w:val="20"/>
        </w:rPr>
      </w:pPr>
      <w:r w:rsidRPr="00675AFE">
        <w:rPr>
          <w:rFonts w:cs="Arial"/>
          <w:szCs w:val="20"/>
        </w:rPr>
        <w:t>Contract administration</w:t>
      </w:r>
    </w:p>
    <w:p w14:paraId="07F70EE7" w14:textId="4AC5631D" w:rsidR="008D20AB" w:rsidRPr="00675AFE" w:rsidRDefault="008D20AB" w:rsidP="001A272E">
      <w:pPr>
        <w:pStyle w:val="BodyText2"/>
        <w:numPr>
          <w:ilvl w:val="0"/>
          <w:numId w:val="1"/>
        </w:numPr>
        <w:rPr>
          <w:rFonts w:cs="Arial"/>
          <w:szCs w:val="20"/>
        </w:rPr>
      </w:pPr>
      <w:r>
        <w:rPr>
          <w:rFonts w:cs="Arial"/>
          <w:szCs w:val="20"/>
        </w:rPr>
        <w:t>Site handover</w:t>
      </w:r>
    </w:p>
    <w:p w14:paraId="43DC7A09" w14:textId="64B53D76" w:rsidR="00413C52" w:rsidRPr="009D30E5" w:rsidRDefault="001A272E" w:rsidP="00413C52">
      <w:pPr>
        <w:numPr>
          <w:ilvl w:val="0"/>
          <w:numId w:val="1"/>
        </w:numPr>
        <w:spacing w:after="0" w:line="240" w:lineRule="auto"/>
        <w:rPr>
          <w:rFonts w:ascii="Arial" w:hAnsi="Arial" w:cs="Arial"/>
          <w:bCs/>
          <w:sz w:val="20"/>
          <w:szCs w:val="20"/>
        </w:rPr>
      </w:pPr>
      <w:r w:rsidRPr="009D30E5">
        <w:rPr>
          <w:rFonts w:ascii="Arial" w:hAnsi="Arial" w:cs="Arial"/>
          <w:sz w:val="20"/>
          <w:szCs w:val="20"/>
        </w:rPr>
        <w:t xml:space="preserve">Construction inspections to ensure conformity </w:t>
      </w:r>
      <w:r w:rsidR="00603B46">
        <w:rPr>
          <w:rFonts w:ascii="Arial" w:hAnsi="Arial" w:cs="Arial"/>
          <w:sz w:val="20"/>
          <w:szCs w:val="20"/>
        </w:rPr>
        <w:t>with</w:t>
      </w:r>
      <w:r w:rsidRPr="009D30E5">
        <w:rPr>
          <w:rFonts w:ascii="Arial" w:hAnsi="Arial" w:cs="Arial"/>
          <w:sz w:val="20"/>
          <w:szCs w:val="20"/>
        </w:rPr>
        <w:t xml:space="preserve"> design/specification</w:t>
      </w:r>
      <w:r w:rsidR="009D30E5" w:rsidRPr="009D30E5">
        <w:rPr>
          <w:rFonts w:ascii="Arial" w:hAnsi="Arial" w:cs="Arial"/>
          <w:sz w:val="20"/>
          <w:szCs w:val="20"/>
        </w:rPr>
        <w:t xml:space="preserve"> (</w:t>
      </w:r>
      <w:r w:rsidR="00413C52" w:rsidRPr="009D30E5">
        <w:rPr>
          <w:rFonts w:ascii="Arial" w:hAnsi="Arial" w:cs="Arial"/>
          <w:bCs/>
          <w:sz w:val="20"/>
          <w:szCs w:val="20"/>
        </w:rPr>
        <w:t xml:space="preserve">Allow for </w:t>
      </w:r>
      <w:r w:rsidR="00866224">
        <w:rPr>
          <w:rFonts w:ascii="Arial" w:hAnsi="Arial" w:cs="Arial"/>
          <w:bCs/>
          <w:sz w:val="20"/>
          <w:szCs w:val="20"/>
        </w:rPr>
        <w:t>five</w:t>
      </w:r>
      <w:r w:rsidR="00974317">
        <w:rPr>
          <w:rFonts w:ascii="Arial" w:hAnsi="Arial" w:cs="Arial"/>
          <w:bCs/>
          <w:sz w:val="20"/>
          <w:szCs w:val="20"/>
        </w:rPr>
        <w:t xml:space="preserve"> inspections</w:t>
      </w:r>
      <w:r w:rsidR="00413C52" w:rsidRPr="009D30E5">
        <w:rPr>
          <w:rFonts w:ascii="Arial" w:hAnsi="Arial" w:cs="Arial"/>
          <w:bCs/>
          <w:sz w:val="20"/>
          <w:szCs w:val="20"/>
        </w:rPr>
        <w:t xml:space="preserve"> </w:t>
      </w:r>
      <w:r w:rsidR="00D24CD3" w:rsidRPr="009D30E5">
        <w:rPr>
          <w:rFonts w:ascii="Arial" w:hAnsi="Arial" w:cs="Arial"/>
          <w:bCs/>
          <w:sz w:val="20"/>
          <w:szCs w:val="20"/>
        </w:rPr>
        <w:t>for</w:t>
      </w:r>
      <w:r w:rsidR="00435D16">
        <w:rPr>
          <w:rFonts w:ascii="Arial" w:hAnsi="Arial" w:cs="Arial"/>
          <w:bCs/>
          <w:sz w:val="20"/>
          <w:szCs w:val="20"/>
        </w:rPr>
        <w:t xml:space="preserve"> the purposes </w:t>
      </w:r>
      <w:r w:rsidR="00344503">
        <w:rPr>
          <w:rFonts w:ascii="Arial" w:hAnsi="Arial" w:cs="Arial"/>
          <w:bCs/>
          <w:sz w:val="20"/>
          <w:szCs w:val="20"/>
        </w:rPr>
        <w:t>of the fee proposal)</w:t>
      </w:r>
    </w:p>
    <w:p w14:paraId="7C42881A" w14:textId="0F03DC34" w:rsidR="00413C52" w:rsidRPr="000235F9" w:rsidRDefault="00675AFE" w:rsidP="00413C52">
      <w:pPr>
        <w:pStyle w:val="ListParagraph"/>
        <w:numPr>
          <w:ilvl w:val="0"/>
          <w:numId w:val="1"/>
        </w:numPr>
        <w:spacing w:after="0" w:line="240" w:lineRule="auto"/>
        <w:rPr>
          <w:rFonts w:ascii="Arial" w:hAnsi="Arial" w:cs="Arial"/>
          <w:bCs/>
          <w:sz w:val="20"/>
          <w:szCs w:val="20"/>
        </w:rPr>
      </w:pPr>
      <w:r w:rsidRPr="000235F9">
        <w:rPr>
          <w:rFonts w:ascii="Arial" w:hAnsi="Arial" w:cs="Arial"/>
          <w:sz w:val="20"/>
          <w:szCs w:val="20"/>
        </w:rPr>
        <w:t>End of defects liability inspection</w:t>
      </w:r>
    </w:p>
    <w:p w14:paraId="1F6C4FAC" w14:textId="77777777" w:rsidR="00413C52" w:rsidRDefault="00413C52" w:rsidP="00413C52">
      <w:pPr>
        <w:rPr>
          <w:b/>
          <w:sz w:val="20"/>
        </w:rPr>
      </w:pPr>
    </w:p>
    <w:p w14:paraId="193947A3" w14:textId="77777777" w:rsidR="00413C52" w:rsidRDefault="00413C52" w:rsidP="00413C52">
      <w:pPr>
        <w:pStyle w:val="BodyText2"/>
        <w:rPr>
          <w:rFonts w:cs="Arial"/>
        </w:rPr>
      </w:pPr>
    </w:p>
    <w:p w14:paraId="53471D4C" w14:textId="77777777" w:rsidR="004B3EEB" w:rsidRDefault="004B3EEB" w:rsidP="00865EB6">
      <w:pPr>
        <w:pStyle w:val="BodyText2"/>
        <w:rPr>
          <w:rFonts w:ascii="Times New Roman" w:hAnsi="Times New Roman"/>
          <w:b/>
          <w:u w:val="single"/>
        </w:rPr>
      </w:pPr>
    </w:p>
    <w:p w14:paraId="163B1600" w14:textId="77777777" w:rsidR="00865EB6" w:rsidRPr="00E65EC2" w:rsidRDefault="00865EB6" w:rsidP="00865EB6">
      <w:pPr>
        <w:pStyle w:val="BodyText2"/>
        <w:rPr>
          <w:rFonts w:cs="Arial"/>
        </w:rPr>
      </w:pPr>
      <w:r w:rsidRPr="00E65EC2">
        <w:rPr>
          <w:rFonts w:cs="Arial"/>
        </w:rPr>
        <w:t>Scope of services as well as fee and disbursement tariffs will be in terms of the latest relevant guidelines set out by the Engineering Council of South Africa under Section 34(2) of the Engineering Profession Act, 2000, (Act No 46. of 2000) determining the Guideline Scope of Services and Tariff of Fees for Persons Registered in terms of the Engineering Profession.</w:t>
      </w:r>
    </w:p>
    <w:p w14:paraId="3ACA40BD" w14:textId="77777777" w:rsidR="00D321CC" w:rsidRDefault="00D321CC" w:rsidP="00865EB6">
      <w:pPr>
        <w:pStyle w:val="BodyText2"/>
        <w:rPr>
          <w:rFonts w:cs="Arial"/>
        </w:rPr>
      </w:pPr>
    </w:p>
    <w:p w14:paraId="5204038E" w14:textId="40A53F28" w:rsidR="00865EB6" w:rsidRPr="00584305" w:rsidRDefault="00865EB6" w:rsidP="00865EB6">
      <w:pPr>
        <w:pStyle w:val="BodyText2"/>
        <w:rPr>
          <w:rFonts w:cs="Arial"/>
        </w:rPr>
      </w:pPr>
      <w:r w:rsidRPr="00584305">
        <w:rPr>
          <w:rFonts w:cs="Arial"/>
        </w:rPr>
        <w:t>Fees and Disbursements are to be based on information supplied within this document, office</w:t>
      </w:r>
      <w:r w:rsidR="00E85816">
        <w:rPr>
          <w:rFonts w:cs="Arial"/>
        </w:rPr>
        <w:t xml:space="preserve"> and </w:t>
      </w:r>
      <w:proofErr w:type="gramStart"/>
      <w:r w:rsidR="00E85816">
        <w:rPr>
          <w:rFonts w:cs="Arial"/>
        </w:rPr>
        <w:t xml:space="preserve">site </w:t>
      </w:r>
      <w:r w:rsidRPr="00584305">
        <w:rPr>
          <w:rFonts w:cs="Arial"/>
        </w:rPr>
        <w:t>based</w:t>
      </w:r>
      <w:proofErr w:type="gramEnd"/>
      <w:r w:rsidRPr="00584305">
        <w:rPr>
          <w:rFonts w:cs="Arial"/>
        </w:rPr>
        <w:t xml:space="preserve"> investigations</w:t>
      </w:r>
      <w:r w:rsidR="00C4427C">
        <w:rPr>
          <w:rFonts w:cs="Arial"/>
        </w:rPr>
        <w:t xml:space="preserve"> and</w:t>
      </w:r>
      <w:r w:rsidRPr="00584305">
        <w:rPr>
          <w:rFonts w:cs="Arial"/>
        </w:rPr>
        <w:t xml:space="preserve"> scope of services.</w:t>
      </w:r>
    </w:p>
    <w:p w14:paraId="40724017" w14:textId="77777777" w:rsidR="00724971" w:rsidRDefault="00865EB6" w:rsidP="00865EB6">
      <w:pPr>
        <w:pStyle w:val="BodyText2"/>
        <w:rPr>
          <w:rFonts w:cs="Arial"/>
        </w:rPr>
      </w:pPr>
      <w:r w:rsidRPr="00584305">
        <w:rPr>
          <w:rFonts w:cs="Arial"/>
        </w:rPr>
        <w:t>Fees and disbursements are to be broken down to clearly indicate all the services, activities and disbursements proposed. The attached schedule of fees and disbursements spreadsheet can be used (and expanded) for this purpose.</w:t>
      </w:r>
    </w:p>
    <w:p w14:paraId="7F094DB3" w14:textId="7A119C27" w:rsidR="00865EB6" w:rsidRPr="00584305" w:rsidRDefault="00865EB6" w:rsidP="00865EB6">
      <w:pPr>
        <w:pStyle w:val="BodyText2"/>
        <w:rPr>
          <w:rFonts w:cs="Arial"/>
        </w:rPr>
      </w:pPr>
      <w:r w:rsidRPr="00584305">
        <w:rPr>
          <w:rFonts w:cs="Arial"/>
          <w:lang w:val="en-ZA"/>
        </w:rPr>
        <w:t>It is understood that the submission will be based on the “Time Based Fee” scenario for Normal Services.</w:t>
      </w:r>
      <w:r w:rsidRPr="00584305">
        <w:rPr>
          <w:rFonts w:cs="Arial"/>
        </w:rPr>
        <w:t xml:space="preserve"> </w:t>
      </w:r>
    </w:p>
    <w:p w14:paraId="22F6DA8B" w14:textId="77777777" w:rsidR="00865EB6" w:rsidRDefault="00865EB6" w:rsidP="00865EB6">
      <w:pPr>
        <w:pStyle w:val="BodyText2"/>
        <w:rPr>
          <w:rFonts w:ascii="Times New Roman" w:hAnsi="Times New Roman"/>
        </w:rPr>
      </w:pPr>
    </w:p>
    <w:p w14:paraId="2D697F58" w14:textId="38184185" w:rsidR="00963488" w:rsidRDefault="007B58B9" w:rsidP="00865EB6">
      <w:pPr>
        <w:rPr>
          <w:rFonts w:ascii="Arial" w:hAnsi="Arial" w:cs="Arial"/>
          <w:sz w:val="20"/>
          <w:szCs w:val="20"/>
        </w:rPr>
      </w:pPr>
      <w:r>
        <w:rPr>
          <w:rFonts w:ascii="Arial" w:hAnsi="Arial" w:cs="Arial"/>
          <w:sz w:val="20"/>
          <w:szCs w:val="20"/>
        </w:rPr>
        <w:t xml:space="preserve">Note that the </w:t>
      </w:r>
      <w:r w:rsidR="00FD2978">
        <w:rPr>
          <w:rFonts w:ascii="Arial" w:hAnsi="Arial" w:cs="Arial"/>
          <w:sz w:val="20"/>
          <w:szCs w:val="20"/>
        </w:rPr>
        <w:t>Johannesburg T97</w:t>
      </w:r>
      <w:r w:rsidR="00B15CB6" w:rsidRPr="007B58B9">
        <w:rPr>
          <w:rFonts w:ascii="Arial" w:hAnsi="Arial" w:cs="Arial"/>
          <w:sz w:val="20"/>
          <w:szCs w:val="20"/>
        </w:rPr>
        <w:t xml:space="preserve"> site </w:t>
      </w:r>
      <w:r w:rsidR="00527813">
        <w:rPr>
          <w:rFonts w:ascii="Arial" w:hAnsi="Arial" w:cs="Arial"/>
          <w:sz w:val="20"/>
          <w:szCs w:val="20"/>
        </w:rPr>
        <w:t>has been</w:t>
      </w:r>
      <w:r w:rsidR="00B15CB6" w:rsidRPr="007B58B9">
        <w:rPr>
          <w:rFonts w:ascii="Arial" w:hAnsi="Arial" w:cs="Arial"/>
          <w:sz w:val="20"/>
          <w:szCs w:val="20"/>
        </w:rPr>
        <w:t xml:space="preserve"> declared a National Key Point</w:t>
      </w:r>
      <w:r w:rsidR="00527813">
        <w:rPr>
          <w:rFonts w:ascii="Arial" w:hAnsi="Arial" w:cs="Arial"/>
          <w:sz w:val="20"/>
          <w:szCs w:val="20"/>
        </w:rPr>
        <w:t xml:space="preserve"> and</w:t>
      </w:r>
      <w:r w:rsidR="00B76F60">
        <w:rPr>
          <w:rFonts w:ascii="Arial" w:hAnsi="Arial" w:cs="Arial"/>
          <w:sz w:val="20"/>
          <w:szCs w:val="20"/>
        </w:rPr>
        <w:t>,</w:t>
      </w:r>
      <w:r w:rsidR="00527813">
        <w:rPr>
          <w:rFonts w:ascii="Arial" w:hAnsi="Arial" w:cs="Arial"/>
          <w:sz w:val="20"/>
          <w:szCs w:val="20"/>
        </w:rPr>
        <w:t xml:space="preserve"> as such</w:t>
      </w:r>
      <w:r w:rsidR="00B76F60">
        <w:rPr>
          <w:rFonts w:ascii="Arial" w:hAnsi="Arial" w:cs="Arial"/>
          <w:sz w:val="20"/>
          <w:szCs w:val="20"/>
        </w:rPr>
        <w:t>, companies</w:t>
      </w:r>
      <w:r w:rsidR="00ED0952">
        <w:rPr>
          <w:rFonts w:ascii="Arial" w:hAnsi="Arial" w:cs="Arial"/>
          <w:sz w:val="20"/>
          <w:szCs w:val="20"/>
        </w:rPr>
        <w:t>/</w:t>
      </w:r>
      <w:r w:rsidR="00B76F60">
        <w:rPr>
          <w:rFonts w:ascii="Arial" w:hAnsi="Arial" w:cs="Arial"/>
          <w:sz w:val="20"/>
          <w:szCs w:val="20"/>
        </w:rPr>
        <w:t>persons</w:t>
      </w:r>
      <w:r w:rsidR="00ED0952">
        <w:rPr>
          <w:rFonts w:ascii="Arial" w:hAnsi="Arial" w:cs="Arial"/>
          <w:sz w:val="20"/>
          <w:szCs w:val="20"/>
        </w:rPr>
        <w:t xml:space="preserve"> external to Sentech will be required to undergo security vetting</w:t>
      </w:r>
      <w:r w:rsidR="00EA0416">
        <w:rPr>
          <w:rFonts w:ascii="Arial" w:hAnsi="Arial" w:cs="Arial"/>
          <w:sz w:val="20"/>
          <w:szCs w:val="20"/>
        </w:rPr>
        <w:t>, should they be appointed</w:t>
      </w:r>
      <w:r w:rsidR="00D321CC">
        <w:rPr>
          <w:rFonts w:ascii="Arial" w:hAnsi="Arial" w:cs="Arial"/>
          <w:sz w:val="20"/>
          <w:szCs w:val="20"/>
        </w:rPr>
        <w:t xml:space="preserve"> to provide professional services</w:t>
      </w:r>
      <w:r w:rsidR="00ED0952">
        <w:rPr>
          <w:rFonts w:ascii="Arial" w:hAnsi="Arial" w:cs="Arial"/>
          <w:sz w:val="20"/>
          <w:szCs w:val="20"/>
        </w:rPr>
        <w:t>.</w:t>
      </w:r>
      <w:r w:rsidR="00B76F60">
        <w:rPr>
          <w:rFonts w:ascii="Arial" w:hAnsi="Arial" w:cs="Arial"/>
          <w:sz w:val="20"/>
          <w:szCs w:val="20"/>
        </w:rPr>
        <w:t xml:space="preserve"> </w:t>
      </w:r>
      <w:r w:rsidR="00527813">
        <w:rPr>
          <w:rFonts w:ascii="Arial" w:hAnsi="Arial" w:cs="Arial"/>
          <w:sz w:val="20"/>
          <w:szCs w:val="20"/>
        </w:rPr>
        <w:t xml:space="preserve"> </w:t>
      </w:r>
    </w:p>
    <w:p w14:paraId="12AEBB7F" w14:textId="5B70904F" w:rsidR="00675659" w:rsidRPr="00194D62" w:rsidRDefault="00675659" w:rsidP="00675659">
      <w:pPr>
        <w:spacing w:after="0" w:line="240" w:lineRule="auto"/>
        <w:rPr>
          <w:rFonts w:ascii="Arial" w:hAnsi="Arial" w:cs="Arial"/>
          <w:sz w:val="20"/>
          <w:szCs w:val="20"/>
        </w:rPr>
      </w:pPr>
      <w:r w:rsidRPr="00194D62">
        <w:rPr>
          <w:rFonts w:ascii="Arial" w:hAnsi="Arial" w:cs="Arial"/>
          <w:sz w:val="20"/>
          <w:szCs w:val="20"/>
        </w:rPr>
        <w:t>The following documents must be included with the submission of your</w:t>
      </w:r>
      <w:r>
        <w:rPr>
          <w:rFonts w:ascii="Arial" w:hAnsi="Arial" w:cs="Arial"/>
          <w:sz w:val="20"/>
          <w:szCs w:val="20"/>
        </w:rPr>
        <w:t xml:space="preserve"> fee and disbursement</w:t>
      </w:r>
      <w:r w:rsidRPr="00194D62">
        <w:rPr>
          <w:rFonts w:ascii="Arial" w:hAnsi="Arial" w:cs="Arial"/>
          <w:sz w:val="20"/>
          <w:szCs w:val="20"/>
        </w:rPr>
        <w:t xml:space="preserve"> </w:t>
      </w:r>
      <w:r>
        <w:rPr>
          <w:rFonts w:ascii="Arial" w:hAnsi="Arial" w:cs="Arial"/>
          <w:sz w:val="20"/>
          <w:szCs w:val="20"/>
        </w:rPr>
        <w:t>proposal</w:t>
      </w:r>
      <w:r w:rsidRPr="00194D62">
        <w:rPr>
          <w:rFonts w:ascii="Arial" w:hAnsi="Arial" w:cs="Arial"/>
          <w:sz w:val="20"/>
          <w:szCs w:val="20"/>
        </w:rPr>
        <w:t>:</w:t>
      </w:r>
    </w:p>
    <w:p w14:paraId="545BBB05" w14:textId="5D5D9A3E" w:rsidR="00675659" w:rsidRPr="00194D62" w:rsidRDefault="00675659" w:rsidP="00675659">
      <w:pPr>
        <w:pStyle w:val="ListParagraph"/>
        <w:numPr>
          <w:ilvl w:val="0"/>
          <w:numId w:val="6"/>
        </w:numPr>
        <w:spacing w:after="0" w:line="240" w:lineRule="auto"/>
        <w:rPr>
          <w:rFonts w:ascii="Arial" w:hAnsi="Arial" w:cs="Arial"/>
          <w:sz w:val="20"/>
          <w:szCs w:val="20"/>
        </w:rPr>
      </w:pPr>
      <w:r w:rsidRPr="00194D62">
        <w:rPr>
          <w:rFonts w:ascii="Arial" w:hAnsi="Arial" w:cs="Arial"/>
          <w:sz w:val="20"/>
          <w:szCs w:val="20"/>
        </w:rPr>
        <w:t xml:space="preserve">The completed </w:t>
      </w:r>
      <w:r w:rsidR="006C1F7E" w:rsidRPr="00F23E21">
        <w:rPr>
          <w:rFonts w:ascii="Arial" w:hAnsi="Arial" w:cs="Arial"/>
          <w:sz w:val="20"/>
          <w:szCs w:val="20"/>
        </w:rPr>
        <w:t>schedule of fees and disbursements</w:t>
      </w:r>
    </w:p>
    <w:p w14:paraId="5E229E62" w14:textId="5F3AD256" w:rsidR="00675659" w:rsidRPr="00194D62" w:rsidRDefault="00675659" w:rsidP="00675659">
      <w:pPr>
        <w:pStyle w:val="ListParagraph"/>
        <w:numPr>
          <w:ilvl w:val="0"/>
          <w:numId w:val="6"/>
        </w:numPr>
        <w:spacing w:after="0" w:line="240" w:lineRule="auto"/>
        <w:rPr>
          <w:rFonts w:ascii="Arial" w:hAnsi="Arial" w:cs="Arial"/>
          <w:sz w:val="20"/>
          <w:szCs w:val="20"/>
        </w:rPr>
      </w:pPr>
      <w:r w:rsidRPr="00194D62">
        <w:rPr>
          <w:rFonts w:ascii="Arial" w:hAnsi="Arial" w:cs="Arial"/>
          <w:sz w:val="20"/>
          <w:szCs w:val="20"/>
        </w:rPr>
        <w:t xml:space="preserve">A signed company letterhead with the quoted prices depicted, availability to </w:t>
      </w:r>
      <w:r w:rsidR="00EA3001">
        <w:rPr>
          <w:rFonts w:ascii="Arial" w:hAnsi="Arial" w:cs="Arial"/>
          <w:sz w:val="20"/>
          <w:szCs w:val="20"/>
        </w:rPr>
        <w:t>provide</w:t>
      </w:r>
      <w:r w:rsidRPr="00194D62">
        <w:rPr>
          <w:rFonts w:ascii="Arial" w:hAnsi="Arial" w:cs="Arial"/>
          <w:sz w:val="20"/>
          <w:szCs w:val="20"/>
        </w:rPr>
        <w:t xml:space="preserve"> the </w:t>
      </w:r>
      <w:r w:rsidR="00EA3001">
        <w:rPr>
          <w:rFonts w:ascii="Arial" w:hAnsi="Arial" w:cs="Arial"/>
          <w:sz w:val="20"/>
          <w:szCs w:val="20"/>
        </w:rPr>
        <w:t>services</w:t>
      </w:r>
      <w:r w:rsidRPr="00194D62">
        <w:rPr>
          <w:rFonts w:ascii="Arial" w:hAnsi="Arial" w:cs="Arial"/>
          <w:sz w:val="20"/>
          <w:szCs w:val="20"/>
        </w:rPr>
        <w:t>, etc.</w:t>
      </w:r>
    </w:p>
    <w:p w14:paraId="443DD204" w14:textId="3A5BA4DA" w:rsidR="00675659" w:rsidRDefault="00675659" w:rsidP="00FD60AD">
      <w:pPr>
        <w:pStyle w:val="ListParagraph"/>
        <w:numPr>
          <w:ilvl w:val="0"/>
          <w:numId w:val="6"/>
        </w:numPr>
        <w:rPr>
          <w:rFonts w:ascii="Arial" w:hAnsi="Arial" w:cs="Arial"/>
          <w:sz w:val="20"/>
          <w:szCs w:val="20"/>
        </w:rPr>
      </w:pPr>
      <w:r w:rsidRPr="00FD60AD">
        <w:rPr>
          <w:rFonts w:ascii="Arial" w:hAnsi="Arial" w:cs="Arial"/>
          <w:sz w:val="20"/>
          <w:szCs w:val="20"/>
        </w:rPr>
        <w:t xml:space="preserve">A program showing indicative lead times, duration of </w:t>
      </w:r>
      <w:r w:rsidR="00FD60AD">
        <w:rPr>
          <w:rFonts w:ascii="Arial" w:hAnsi="Arial" w:cs="Arial"/>
          <w:sz w:val="20"/>
          <w:szCs w:val="20"/>
        </w:rPr>
        <w:t>services</w:t>
      </w:r>
      <w:r w:rsidRPr="00FD60AD">
        <w:rPr>
          <w:rFonts w:ascii="Arial" w:hAnsi="Arial" w:cs="Arial"/>
          <w:sz w:val="20"/>
          <w:szCs w:val="20"/>
        </w:rPr>
        <w:t xml:space="preserve">, etc from the receipt of a Purchase Order (date independent) to the completion </w:t>
      </w:r>
      <w:r w:rsidR="00BE5D40">
        <w:rPr>
          <w:rFonts w:ascii="Arial" w:hAnsi="Arial" w:cs="Arial"/>
          <w:sz w:val="20"/>
          <w:szCs w:val="20"/>
        </w:rPr>
        <w:t>of the slab investigation and report</w:t>
      </w:r>
      <w:r w:rsidR="00EE22CF">
        <w:rPr>
          <w:rFonts w:ascii="Arial" w:hAnsi="Arial" w:cs="Arial"/>
          <w:sz w:val="20"/>
          <w:szCs w:val="20"/>
        </w:rPr>
        <w:t xml:space="preserve"> (phase 1)</w:t>
      </w:r>
    </w:p>
    <w:p w14:paraId="62272715" w14:textId="0557C527" w:rsidR="00EB4ACD" w:rsidRDefault="00EB4ACD" w:rsidP="00FD60AD">
      <w:pPr>
        <w:pStyle w:val="ListParagraph"/>
        <w:numPr>
          <w:ilvl w:val="0"/>
          <w:numId w:val="6"/>
        </w:numPr>
        <w:rPr>
          <w:rFonts w:ascii="Arial" w:hAnsi="Arial" w:cs="Arial"/>
          <w:sz w:val="20"/>
          <w:szCs w:val="20"/>
        </w:rPr>
      </w:pPr>
      <w:r>
        <w:rPr>
          <w:rFonts w:ascii="Arial" w:hAnsi="Arial" w:cs="Arial"/>
          <w:sz w:val="20"/>
          <w:szCs w:val="20"/>
        </w:rPr>
        <w:t>Documentation as required by Sentech’s SCM Department</w:t>
      </w:r>
    </w:p>
    <w:p w14:paraId="0DF9EE29" w14:textId="77777777" w:rsidR="00BE5D40" w:rsidRPr="00FD60AD" w:rsidRDefault="00BE5D40" w:rsidP="00BE5D40">
      <w:pPr>
        <w:pStyle w:val="ListParagraph"/>
        <w:rPr>
          <w:rFonts w:ascii="Arial" w:hAnsi="Arial" w:cs="Arial"/>
          <w:sz w:val="20"/>
          <w:szCs w:val="20"/>
        </w:rPr>
      </w:pPr>
    </w:p>
    <w:p w14:paraId="72FA59B1" w14:textId="77777777" w:rsidR="003C4204" w:rsidRDefault="003C4204" w:rsidP="003C4204">
      <w:pPr>
        <w:spacing w:line="240" w:lineRule="auto"/>
        <w:rPr>
          <w:rFonts w:ascii="Arial" w:hAnsi="Arial" w:cs="Arial"/>
          <w:sz w:val="20"/>
          <w:szCs w:val="20"/>
        </w:rPr>
      </w:pPr>
      <w:r>
        <w:rPr>
          <w:rFonts w:ascii="Arial" w:hAnsi="Arial" w:cs="Arial"/>
          <w:sz w:val="20"/>
          <w:szCs w:val="20"/>
        </w:rPr>
        <w:t>Site Locality</w:t>
      </w:r>
    </w:p>
    <w:p w14:paraId="5DC91C32" w14:textId="074B8894" w:rsidR="00D35D21" w:rsidRDefault="00D35D21" w:rsidP="005847E8">
      <w:r w:rsidRPr="006E353C">
        <w:rPr>
          <w:rFonts w:ascii="Arial" w:hAnsi="Arial" w:cs="Arial"/>
          <w:noProof/>
          <w:sz w:val="20"/>
          <w:szCs w:val="20"/>
        </w:rPr>
        <w:drawing>
          <wp:inline distT="0" distB="0" distL="0" distR="0" wp14:anchorId="77C34425" wp14:editId="37D01E8C">
            <wp:extent cx="5731510" cy="3597910"/>
            <wp:effectExtent l="0" t="0" r="2540" b="2540"/>
            <wp:docPr id="37326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65022" name=""/>
                    <pic:cNvPicPr/>
                  </pic:nvPicPr>
                  <pic:blipFill>
                    <a:blip r:embed="rId5"/>
                    <a:stretch>
                      <a:fillRect/>
                    </a:stretch>
                  </pic:blipFill>
                  <pic:spPr>
                    <a:xfrm>
                      <a:off x="0" y="0"/>
                      <a:ext cx="5731510" cy="3597910"/>
                    </a:xfrm>
                    <a:prstGeom prst="rect">
                      <a:avLst/>
                    </a:prstGeom>
                  </pic:spPr>
                </pic:pic>
              </a:graphicData>
            </a:graphic>
          </wp:inline>
        </w:drawing>
      </w:r>
    </w:p>
    <w:p w14:paraId="097C28ED" w14:textId="77777777" w:rsidR="003C4204" w:rsidRDefault="003C4204" w:rsidP="005847E8"/>
    <w:p w14:paraId="159555F1" w14:textId="567A6DED" w:rsidR="003C4204" w:rsidRDefault="00292AB2" w:rsidP="005847E8">
      <w:r w:rsidRPr="00F05D3C">
        <w:rPr>
          <w:rFonts w:ascii="Arial" w:hAnsi="Arial" w:cs="Arial"/>
          <w:noProof/>
        </w:rPr>
        <w:lastRenderedPageBreak/>
        <w:drawing>
          <wp:inline distT="0" distB="0" distL="0" distR="0" wp14:anchorId="31D8070C" wp14:editId="683E70CF">
            <wp:extent cx="5731510" cy="3806825"/>
            <wp:effectExtent l="0" t="0" r="2540" b="3175"/>
            <wp:docPr id="92100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01049" name=""/>
                    <pic:cNvPicPr/>
                  </pic:nvPicPr>
                  <pic:blipFill>
                    <a:blip r:embed="rId6"/>
                    <a:stretch>
                      <a:fillRect/>
                    </a:stretch>
                  </pic:blipFill>
                  <pic:spPr>
                    <a:xfrm>
                      <a:off x="0" y="0"/>
                      <a:ext cx="5731510" cy="3806825"/>
                    </a:xfrm>
                    <a:prstGeom prst="rect">
                      <a:avLst/>
                    </a:prstGeom>
                  </pic:spPr>
                </pic:pic>
              </a:graphicData>
            </a:graphic>
          </wp:inline>
        </w:drawing>
      </w:r>
    </w:p>
    <w:p w14:paraId="61453270" w14:textId="77777777" w:rsidR="006D57EF" w:rsidRDefault="006D57EF" w:rsidP="005847E8"/>
    <w:p w14:paraId="6C721203" w14:textId="77777777" w:rsidR="00126E3D" w:rsidRDefault="00126E3D" w:rsidP="005847E8"/>
    <w:p w14:paraId="342CCE84" w14:textId="77777777" w:rsidR="00126E3D" w:rsidRDefault="00126E3D" w:rsidP="005847E8"/>
    <w:p w14:paraId="08C2945B" w14:textId="77777777" w:rsidR="00126E3D" w:rsidRDefault="00126E3D" w:rsidP="005847E8"/>
    <w:p w14:paraId="519A7EC4" w14:textId="77777777" w:rsidR="00126E3D" w:rsidRDefault="00126E3D" w:rsidP="005847E8"/>
    <w:p w14:paraId="63D47C25" w14:textId="77777777" w:rsidR="00126E3D" w:rsidRDefault="00126E3D" w:rsidP="005847E8"/>
    <w:p w14:paraId="74CEBEAA" w14:textId="77777777" w:rsidR="00126E3D" w:rsidRDefault="00126E3D" w:rsidP="005847E8"/>
    <w:p w14:paraId="488CD42F" w14:textId="77777777" w:rsidR="00126E3D" w:rsidRDefault="00126E3D" w:rsidP="005847E8"/>
    <w:p w14:paraId="7FB4520C" w14:textId="77777777" w:rsidR="00126E3D" w:rsidRDefault="00126E3D" w:rsidP="005847E8"/>
    <w:p w14:paraId="358CBC9D" w14:textId="77777777" w:rsidR="00126E3D" w:rsidRDefault="00126E3D" w:rsidP="005847E8"/>
    <w:p w14:paraId="132A87F9" w14:textId="77777777" w:rsidR="00126E3D" w:rsidRDefault="00126E3D" w:rsidP="005847E8"/>
    <w:p w14:paraId="162CDDDC" w14:textId="77777777" w:rsidR="00126E3D" w:rsidRDefault="00126E3D" w:rsidP="005847E8"/>
    <w:p w14:paraId="2CA8C80A" w14:textId="77777777" w:rsidR="00126E3D" w:rsidRDefault="00126E3D" w:rsidP="005847E8"/>
    <w:p w14:paraId="732022FE" w14:textId="77777777" w:rsidR="00126E3D" w:rsidRDefault="00126E3D" w:rsidP="005847E8"/>
    <w:p w14:paraId="08054E40" w14:textId="77777777" w:rsidR="00126E3D" w:rsidRDefault="00126E3D" w:rsidP="005847E8"/>
    <w:p w14:paraId="29207B34" w14:textId="77777777" w:rsidR="00126E3D" w:rsidRDefault="00126E3D" w:rsidP="005847E8"/>
    <w:p w14:paraId="080E8FA0" w14:textId="77777777" w:rsidR="00126E3D" w:rsidRDefault="00126E3D" w:rsidP="005847E8"/>
    <w:p w14:paraId="0BD4B043" w14:textId="650F6FC1" w:rsidR="0064442F" w:rsidRDefault="00EF019D" w:rsidP="005847E8">
      <w:r>
        <w:lastRenderedPageBreak/>
        <w:t>TV</w:t>
      </w:r>
      <w:r w:rsidR="00DF3A3B">
        <w:t xml:space="preserve"> 1 Transmitter Room – Layout of </w:t>
      </w:r>
      <w:r w:rsidR="0064442F">
        <w:t xml:space="preserve">Original </w:t>
      </w:r>
      <w:r w:rsidR="00AD0FF6">
        <w:t>Valve Transmitter</w:t>
      </w:r>
      <w:r w:rsidR="00FF2656">
        <w:t>s</w:t>
      </w:r>
      <w:r w:rsidR="00DE764D">
        <w:t xml:space="preserve"> and Opening</w:t>
      </w:r>
      <w:r>
        <w:t>s</w:t>
      </w:r>
    </w:p>
    <w:p w14:paraId="1E040AA8" w14:textId="03756CC3" w:rsidR="006D57EF" w:rsidRDefault="006D57EF" w:rsidP="005847E8">
      <w:r w:rsidRPr="006D57EF">
        <w:rPr>
          <w:noProof/>
        </w:rPr>
        <w:drawing>
          <wp:inline distT="0" distB="0" distL="0" distR="0" wp14:anchorId="4ADA373A" wp14:editId="1EEA8394">
            <wp:extent cx="4573013" cy="3238500"/>
            <wp:effectExtent l="0" t="0" r="0" b="0"/>
            <wp:docPr id="1170720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20781" name=""/>
                    <pic:cNvPicPr/>
                  </pic:nvPicPr>
                  <pic:blipFill>
                    <a:blip r:embed="rId7"/>
                    <a:stretch>
                      <a:fillRect/>
                    </a:stretch>
                  </pic:blipFill>
                  <pic:spPr>
                    <a:xfrm>
                      <a:off x="0" y="0"/>
                      <a:ext cx="4605492" cy="3261501"/>
                    </a:xfrm>
                    <a:prstGeom prst="rect">
                      <a:avLst/>
                    </a:prstGeom>
                  </pic:spPr>
                </pic:pic>
              </a:graphicData>
            </a:graphic>
          </wp:inline>
        </w:drawing>
      </w:r>
    </w:p>
    <w:p w14:paraId="671926F7" w14:textId="77777777" w:rsidR="006D57EF" w:rsidRDefault="006D57EF" w:rsidP="005847E8"/>
    <w:p w14:paraId="56E7A7CE" w14:textId="4108646C" w:rsidR="00FF2656" w:rsidRDefault="00FF2656" w:rsidP="00FF2656">
      <w:r>
        <w:t>TV 1 Transmitter Room – Current Layout of Transmitters</w:t>
      </w:r>
    </w:p>
    <w:p w14:paraId="44E88306" w14:textId="77777777" w:rsidR="006D57EF" w:rsidRDefault="006D57EF" w:rsidP="005847E8"/>
    <w:p w14:paraId="7B05BEA6" w14:textId="3FA42C38" w:rsidR="006D57EF" w:rsidRDefault="0064442F" w:rsidP="005847E8">
      <w:r w:rsidRPr="0064442F">
        <w:rPr>
          <w:noProof/>
        </w:rPr>
        <w:drawing>
          <wp:inline distT="0" distB="0" distL="0" distR="0" wp14:anchorId="18413EC2" wp14:editId="79F44A08">
            <wp:extent cx="4526280" cy="3560446"/>
            <wp:effectExtent l="0" t="0" r="7620" b="1905"/>
            <wp:docPr id="190433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33120" name=""/>
                    <pic:cNvPicPr/>
                  </pic:nvPicPr>
                  <pic:blipFill>
                    <a:blip r:embed="rId8"/>
                    <a:stretch>
                      <a:fillRect/>
                    </a:stretch>
                  </pic:blipFill>
                  <pic:spPr>
                    <a:xfrm>
                      <a:off x="0" y="0"/>
                      <a:ext cx="4545434" cy="3575513"/>
                    </a:xfrm>
                    <a:prstGeom prst="rect">
                      <a:avLst/>
                    </a:prstGeom>
                  </pic:spPr>
                </pic:pic>
              </a:graphicData>
            </a:graphic>
          </wp:inline>
        </w:drawing>
      </w:r>
    </w:p>
    <w:p w14:paraId="29CA5B94" w14:textId="77777777" w:rsidR="00825C68" w:rsidRDefault="00825C68" w:rsidP="005847E8"/>
    <w:p w14:paraId="3F018325" w14:textId="77777777" w:rsidR="00825C68" w:rsidRDefault="00825C68" w:rsidP="005847E8"/>
    <w:p w14:paraId="01424308" w14:textId="5327F57C" w:rsidR="00E11BEE" w:rsidRDefault="00041DD9" w:rsidP="005847E8">
      <w:r>
        <w:lastRenderedPageBreak/>
        <w:t>Transmitter Room</w:t>
      </w:r>
      <w:r w:rsidR="005214FA">
        <w:t xml:space="preserve"> 1 – First Floor</w:t>
      </w:r>
    </w:p>
    <w:p w14:paraId="66171B45" w14:textId="49F813D7" w:rsidR="00E11BEE" w:rsidRDefault="001F7C82" w:rsidP="005847E8">
      <w:r w:rsidRPr="001F7C82">
        <w:rPr>
          <w:noProof/>
        </w:rPr>
        <w:drawing>
          <wp:inline distT="0" distB="0" distL="0" distR="0" wp14:anchorId="13CA232E" wp14:editId="0A01A092">
            <wp:extent cx="2528456" cy="1904605"/>
            <wp:effectExtent l="0" t="0" r="5715" b="635"/>
            <wp:docPr id="2028219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19689" name=""/>
                    <pic:cNvPicPr/>
                  </pic:nvPicPr>
                  <pic:blipFill>
                    <a:blip r:embed="rId9"/>
                    <a:stretch>
                      <a:fillRect/>
                    </a:stretch>
                  </pic:blipFill>
                  <pic:spPr>
                    <a:xfrm>
                      <a:off x="0" y="0"/>
                      <a:ext cx="2540085" cy="1913365"/>
                    </a:xfrm>
                    <a:prstGeom prst="rect">
                      <a:avLst/>
                    </a:prstGeom>
                  </pic:spPr>
                </pic:pic>
              </a:graphicData>
            </a:graphic>
          </wp:inline>
        </w:drawing>
      </w:r>
      <w:r w:rsidR="00B61985">
        <w:t xml:space="preserve"> </w:t>
      </w:r>
      <w:r w:rsidR="00041DD9" w:rsidRPr="00041DD9">
        <w:rPr>
          <w:noProof/>
        </w:rPr>
        <w:drawing>
          <wp:inline distT="0" distB="0" distL="0" distR="0" wp14:anchorId="4D1DEC82" wp14:editId="7931ED16">
            <wp:extent cx="2522220" cy="1902144"/>
            <wp:effectExtent l="0" t="0" r="0" b="3175"/>
            <wp:docPr id="1614404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04553" name=""/>
                    <pic:cNvPicPr/>
                  </pic:nvPicPr>
                  <pic:blipFill>
                    <a:blip r:embed="rId10"/>
                    <a:stretch>
                      <a:fillRect/>
                    </a:stretch>
                  </pic:blipFill>
                  <pic:spPr>
                    <a:xfrm>
                      <a:off x="0" y="0"/>
                      <a:ext cx="2532652" cy="1910011"/>
                    </a:xfrm>
                    <a:prstGeom prst="rect">
                      <a:avLst/>
                    </a:prstGeom>
                  </pic:spPr>
                </pic:pic>
              </a:graphicData>
            </a:graphic>
          </wp:inline>
        </w:drawing>
      </w:r>
    </w:p>
    <w:p w14:paraId="76FA3163" w14:textId="77777777" w:rsidR="005214FA" w:rsidRDefault="005214FA" w:rsidP="005847E8"/>
    <w:p w14:paraId="168124A2" w14:textId="406C5900" w:rsidR="005214FA" w:rsidRDefault="005214FA" w:rsidP="005847E8">
      <w:r>
        <w:t xml:space="preserve">Ground Floor </w:t>
      </w:r>
      <w:r w:rsidR="00D97270">
        <w:t>–</w:t>
      </w:r>
      <w:r w:rsidR="00540920">
        <w:t xml:space="preserve"> </w:t>
      </w:r>
      <w:r w:rsidR="00D97270">
        <w:t>Transmitter Room 1</w:t>
      </w:r>
      <w:r w:rsidR="00540920">
        <w:t xml:space="preserve"> First Floor Slab Soffit</w:t>
      </w:r>
    </w:p>
    <w:p w14:paraId="1BBDA327" w14:textId="30869025" w:rsidR="00D97270" w:rsidRDefault="004F72BD" w:rsidP="005847E8">
      <w:r w:rsidRPr="004F72BD">
        <w:rPr>
          <w:noProof/>
        </w:rPr>
        <w:drawing>
          <wp:inline distT="0" distB="0" distL="0" distR="0" wp14:anchorId="5871B380" wp14:editId="7B47CD05">
            <wp:extent cx="2507378" cy="1890395"/>
            <wp:effectExtent l="0" t="0" r="7620" b="0"/>
            <wp:docPr id="124692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926084" name=""/>
                    <pic:cNvPicPr/>
                  </pic:nvPicPr>
                  <pic:blipFill>
                    <a:blip r:embed="rId11"/>
                    <a:stretch>
                      <a:fillRect/>
                    </a:stretch>
                  </pic:blipFill>
                  <pic:spPr>
                    <a:xfrm>
                      <a:off x="0" y="0"/>
                      <a:ext cx="2517188" cy="1897791"/>
                    </a:xfrm>
                    <a:prstGeom prst="rect">
                      <a:avLst/>
                    </a:prstGeom>
                  </pic:spPr>
                </pic:pic>
              </a:graphicData>
            </a:graphic>
          </wp:inline>
        </w:drawing>
      </w:r>
      <w:r w:rsidR="00A32BB1" w:rsidRPr="00A32BB1">
        <w:rPr>
          <w:noProof/>
        </w:rPr>
        <w:drawing>
          <wp:inline distT="0" distB="0" distL="0" distR="0" wp14:anchorId="2ADA1111" wp14:editId="38D88C4D">
            <wp:extent cx="2507969" cy="1889729"/>
            <wp:effectExtent l="0" t="0" r="6985" b="0"/>
            <wp:docPr id="143254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46555" name=""/>
                    <pic:cNvPicPr/>
                  </pic:nvPicPr>
                  <pic:blipFill>
                    <a:blip r:embed="rId12"/>
                    <a:stretch>
                      <a:fillRect/>
                    </a:stretch>
                  </pic:blipFill>
                  <pic:spPr>
                    <a:xfrm>
                      <a:off x="0" y="0"/>
                      <a:ext cx="2532159" cy="1907956"/>
                    </a:xfrm>
                    <a:prstGeom prst="rect">
                      <a:avLst/>
                    </a:prstGeom>
                  </pic:spPr>
                </pic:pic>
              </a:graphicData>
            </a:graphic>
          </wp:inline>
        </w:drawing>
      </w:r>
    </w:p>
    <w:p w14:paraId="4A3B9BF5" w14:textId="77777777" w:rsidR="00825C68" w:rsidRDefault="00825C68" w:rsidP="005847E8"/>
    <w:p w14:paraId="420DD9DA" w14:textId="77777777" w:rsidR="005214FA" w:rsidRPr="00963488" w:rsidRDefault="005214FA" w:rsidP="005847E8"/>
    <w:sectPr w:rsidR="005214FA" w:rsidRPr="009634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741225"/>
    <w:multiLevelType w:val="hybridMultilevel"/>
    <w:tmpl w:val="703C3E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F2C76BE"/>
    <w:multiLevelType w:val="hybridMultilevel"/>
    <w:tmpl w:val="636ECA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172EC1"/>
    <w:multiLevelType w:val="hybridMultilevel"/>
    <w:tmpl w:val="D11CCC10"/>
    <w:lvl w:ilvl="0" w:tplc="063C6F82">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CA70AC0"/>
    <w:multiLevelType w:val="hybridMultilevel"/>
    <w:tmpl w:val="DB48E3EC"/>
    <w:lvl w:ilvl="0" w:tplc="063C6F82">
      <w:numFmt w:val="bullet"/>
      <w:lvlText w:val="•"/>
      <w:lvlJc w:val="left"/>
      <w:pPr>
        <w:ind w:left="1080" w:hanging="72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1CA2AF8"/>
    <w:multiLevelType w:val="hybridMultilevel"/>
    <w:tmpl w:val="8C0C20B6"/>
    <w:lvl w:ilvl="0" w:tplc="1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0A1224"/>
    <w:multiLevelType w:val="hybridMultilevel"/>
    <w:tmpl w:val="33D2893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1928801360">
    <w:abstractNumId w:val="5"/>
  </w:num>
  <w:num w:numId="2" w16cid:durableId="993991087">
    <w:abstractNumId w:val="4"/>
  </w:num>
  <w:num w:numId="3" w16cid:durableId="309023504">
    <w:abstractNumId w:val="0"/>
  </w:num>
  <w:num w:numId="4" w16cid:durableId="1632594138">
    <w:abstractNumId w:val="1"/>
  </w:num>
  <w:num w:numId="5" w16cid:durableId="1258245576">
    <w:abstractNumId w:val="3"/>
  </w:num>
  <w:num w:numId="6" w16cid:durableId="11130905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DC2"/>
    <w:rsid w:val="000235F9"/>
    <w:rsid w:val="000338F1"/>
    <w:rsid w:val="00041DD9"/>
    <w:rsid w:val="00052262"/>
    <w:rsid w:val="00054DC2"/>
    <w:rsid w:val="0007315B"/>
    <w:rsid w:val="0008773F"/>
    <w:rsid w:val="000943AC"/>
    <w:rsid w:val="000A76AE"/>
    <w:rsid w:val="000C1CEF"/>
    <w:rsid w:val="000E24A7"/>
    <w:rsid w:val="001070A8"/>
    <w:rsid w:val="00117D5C"/>
    <w:rsid w:val="00126E3D"/>
    <w:rsid w:val="001723F3"/>
    <w:rsid w:val="001A272E"/>
    <w:rsid w:val="001D36AA"/>
    <w:rsid w:val="001E0885"/>
    <w:rsid w:val="001F3DAD"/>
    <w:rsid w:val="001F5E92"/>
    <w:rsid w:val="001F7C82"/>
    <w:rsid w:val="00216E14"/>
    <w:rsid w:val="00220FF6"/>
    <w:rsid w:val="002248BF"/>
    <w:rsid w:val="00227C58"/>
    <w:rsid w:val="00231A60"/>
    <w:rsid w:val="00234891"/>
    <w:rsid w:val="0025166B"/>
    <w:rsid w:val="00265EA0"/>
    <w:rsid w:val="00292501"/>
    <w:rsid w:val="00292AB2"/>
    <w:rsid w:val="002A7D3A"/>
    <w:rsid w:val="002C18AB"/>
    <w:rsid w:val="002D333C"/>
    <w:rsid w:val="002D3572"/>
    <w:rsid w:val="002E74E2"/>
    <w:rsid w:val="00302D21"/>
    <w:rsid w:val="00303724"/>
    <w:rsid w:val="00311D74"/>
    <w:rsid w:val="0032264B"/>
    <w:rsid w:val="003405F4"/>
    <w:rsid w:val="003408A3"/>
    <w:rsid w:val="00344503"/>
    <w:rsid w:val="003645AF"/>
    <w:rsid w:val="00381366"/>
    <w:rsid w:val="00383749"/>
    <w:rsid w:val="003A6E74"/>
    <w:rsid w:val="003C4204"/>
    <w:rsid w:val="003D121F"/>
    <w:rsid w:val="00405D4B"/>
    <w:rsid w:val="00406112"/>
    <w:rsid w:val="00413C52"/>
    <w:rsid w:val="00414A4C"/>
    <w:rsid w:val="00415787"/>
    <w:rsid w:val="00425D64"/>
    <w:rsid w:val="00434568"/>
    <w:rsid w:val="00435D16"/>
    <w:rsid w:val="0044693C"/>
    <w:rsid w:val="00453BBD"/>
    <w:rsid w:val="00464FB4"/>
    <w:rsid w:val="004820C6"/>
    <w:rsid w:val="00493478"/>
    <w:rsid w:val="00496EE6"/>
    <w:rsid w:val="004B3EEB"/>
    <w:rsid w:val="004B4906"/>
    <w:rsid w:val="004B52B3"/>
    <w:rsid w:val="004D3245"/>
    <w:rsid w:val="004D4BCB"/>
    <w:rsid w:val="004E6E58"/>
    <w:rsid w:val="004F72BD"/>
    <w:rsid w:val="005001F4"/>
    <w:rsid w:val="00510A9D"/>
    <w:rsid w:val="00511916"/>
    <w:rsid w:val="00520848"/>
    <w:rsid w:val="005214FA"/>
    <w:rsid w:val="00527813"/>
    <w:rsid w:val="00540920"/>
    <w:rsid w:val="00584305"/>
    <w:rsid w:val="005847E8"/>
    <w:rsid w:val="005901AA"/>
    <w:rsid w:val="005920E9"/>
    <w:rsid w:val="005B42ED"/>
    <w:rsid w:val="005B4FD8"/>
    <w:rsid w:val="005C247B"/>
    <w:rsid w:val="005D4422"/>
    <w:rsid w:val="005E0093"/>
    <w:rsid w:val="005F60D2"/>
    <w:rsid w:val="00603B46"/>
    <w:rsid w:val="0061379C"/>
    <w:rsid w:val="00632C54"/>
    <w:rsid w:val="0064442F"/>
    <w:rsid w:val="00656AC2"/>
    <w:rsid w:val="00675659"/>
    <w:rsid w:val="00675AFE"/>
    <w:rsid w:val="006761E9"/>
    <w:rsid w:val="00691453"/>
    <w:rsid w:val="006A392C"/>
    <w:rsid w:val="006B4701"/>
    <w:rsid w:val="006B553B"/>
    <w:rsid w:val="006C1F7E"/>
    <w:rsid w:val="006D57EF"/>
    <w:rsid w:val="00724971"/>
    <w:rsid w:val="00724D9F"/>
    <w:rsid w:val="00765596"/>
    <w:rsid w:val="007821F7"/>
    <w:rsid w:val="00786F0E"/>
    <w:rsid w:val="007B1B1D"/>
    <w:rsid w:val="007B2E64"/>
    <w:rsid w:val="007B58B9"/>
    <w:rsid w:val="007C3D2A"/>
    <w:rsid w:val="007E0E58"/>
    <w:rsid w:val="007F47DF"/>
    <w:rsid w:val="007F7271"/>
    <w:rsid w:val="00825C68"/>
    <w:rsid w:val="00841240"/>
    <w:rsid w:val="00852CB3"/>
    <w:rsid w:val="00852EFA"/>
    <w:rsid w:val="008566BA"/>
    <w:rsid w:val="00856AFF"/>
    <w:rsid w:val="00856C84"/>
    <w:rsid w:val="00865EB6"/>
    <w:rsid w:val="00866224"/>
    <w:rsid w:val="00871BE8"/>
    <w:rsid w:val="00873ABB"/>
    <w:rsid w:val="008B7B0F"/>
    <w:rsid w:val="008D20AB"/>
    <w:rsid w:val="008E28EB"/>
    <w:rsid w:val="009219F9"/>
    <w:rsid w:val="00921F21"/>
    <w:rsid w:val="009324A4"/>
    <w:rsid w:val="00932FC8"/>
    <w:rsid w:val="00935485"/>
    <w:rsid w:val="00953DF7"/>
    <w:rsid w:val="00960797"/>
    <w:rsid w:val="00963488"/>
    <w:rsid w:val="00974317"/>
    <w:rsid w:val="009810E5"/>
    <w:rsid w:val="00984E04"/>
    <w:rsid w:val="0099597E"/>
    <w:rsid w:val="009B07DF"/>
    <w:rsid w:val="009B1906"/>
    <w:rsid w:val="009C3F12"/>
    <w:rsid w:val="009D30E5"/>
    <w:rsid w:val="009E142F"/>
    <w:rsid w:val="00A0438D"/>
    <w:rsid w:val="00A05FA3"/>
    <w:rsid w:val="00A06094"/>
    <w:rsid w:val="00A22BF8"/>
    <w:rsid w:val="00A32BB1"/>
    <w:rsid w:val="00A66DF2"/>
    <w:rsid w:val="00A9224F"/>
    <w:rsid w:val="00AA4D31"/>
    <w:rsid w:val="00AB378F"/>
    <w:rsid w:val="00AC25E2"/>
    <w:rsid w:val="00AC3564"/>
    <w:rsid w:val="00AD0FF6"/>
    <w:rsid w:val="00B04942"/>
    <w:rsid w:val="00B15CB6"/>
    <w:rsid w:val="00B218AD"/>
    <w:rsid w:val="00B24FD8"/>
    <w:rsid w:val="00B32907"/>
    <w:rsid w:val="00B46960"/>
    <w:rsid w:val="00B46FC1"/>
    <w:rsid w:val="00B60C24"/>
    <w:rsid w:val="00B61985"/>
    <w:rsid w:val="00B742F2"/>
    <w:rsid w:val="00B75DC2"/>
    <w:rsid w:val="00B76F60"/>
    <w:rsid w:val="00B92699"/>
    <w:rsid w:val="00BC07F1"/>
    <w:rsid w:val="00BE5D40"/>
    <w:rsid w:val="00C0085E"/>
    <w:rsid w:val="00C24C8B"/>
    <w:rsid w:val="00C4427C"/>
    <w:rsid w:val="00C5231E"/>
    <w:rsid w:val="00C604FF"/>
    <w:rsid w:val="00C60C87"/>
    <w:rsid w:val="00C742B2"/>
    <w:rsid w:val="00C9248C"/>
    <w:rsid w:val="00C95B53"/>
    <w:rsid w:val="00CB03C9"/>
    <w:rsid w:val="00D012FE"/>
    <w:rsid w:val="00D145EB"/>
    <w:rsid w:val="00D148F3"/>
    <w:rsid w:val="00D24CD3"/>
    <w:rsid w:val="00D321CC"/>
    <w:rsid w:val="00D35D21"/>
    <w:rsid w:val="00D708E4"/>
    <w:rsid w:val="00D724A1"/>
    <w:rsid w:val="00D82B0D"/>
    <w:rsid w:val="00D8411C"/>
    <w:rsid w:val="00D85A63"/>
    <w:rsid w:val="00D9692D"/>
    <w:rsid w:val="00D97270"/>
    <w:rsid w:val="00DA59CF"/>
    <w:rsid w:val="00DA5F46"/>
    <w:rsid w:val="00DC23E3"/>
    <w:rsid w:val="00DE380F"/>
    <w:rsid w:val="00DE764D"/>
    <w:rsid w:val="00DF208F"/>
    <w:rsid w:val="00DF36CE"/>
    <w:rsid w:val="00DF3A3B"/>
    <w:rsid w:val="00DF7313"/>
    <w:rsid w:val="00E11578"/>
    <w:rsid w:val="00E11BEE"/>
    <w:rsid w:val="00E616BB"/>
    <w:rsid w:val="00E65EC2"/>
    <w:rsid w:val="00E7417F"/>
    <w:rsid w:val="00E84A8C"/>
    <w:rsid w:val="00E85816"/>
    <w:rsid w:val="00E91482"/>
    <w:rsid w:val="00E93290"/>
    <w:rsid w:val="00E93A59"/>
    <w:rsid w:val="00EA0416"/>
    <w:rsid w:val="00EA3001"/>
    <w:rsid w:val="00EB4ACD"/>
    <w:rsid w:val="00EC2010"/>
    <w:rsid w:val="00ED0952"/>
    <w:rsid w:val="00ED2BA8"/>
    <w:rsid w:val="00EE22CF"/>
    <w:rsid w:val="00EF019D"/>
    <w:rsid w:val="00EF32A2"/>
    <w:rsid w:val="00EF4887"/>
    <w:rsid w:val="00EF4AC6"/>
    <w:rsid w:val="00F023F6"/>
    <w:rsid w:val="00F07AC9"/>
    <w:rsid w:val="00F16E3F"/>
    <w:rsid w:val="00F2333F"/>
    <w:rsid w:val="00F23E21"/>
    <w:rsid w:val="00F30C2E"/>
    <w:rsid w:val="00F52052"/>
    <w:rsid w:val="00F77C28"/>
    <w:rsid w:val="00FD2978"/>
    <w:rsid w:val="00FD60AD"/>
    <w:rsid w:val="00FF265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A1985"/>
  <w15:chartTrackingRefBased/>
  <w15:docId w15:val="{AA252682-5ABE-4842-8983-E6C65DF4C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D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5D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5D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5D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5D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5D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5D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5D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5D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D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5D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5D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5D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5D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5D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5D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5D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5DC2"/>
    <w:rPr>
      <w:rFonts w:eastAsiaTheme="majorEastAsia" w:cstheme="majorBidi"/>
      <w:color w:val="272727" w:themeColor="text1" w:themeTint="D8"/>
    </w:rPr>
  </w:style>
  <w:style w:type="paragraph" w:styleId="Title">
    <w:name w:val="Title"/>
    <w:basedOn w:val="Normal"/>
    <w:next w:val="Normal"/>
    <w:link w:val="TitleChar"/>
    <w:uiPriority w:val="10"/>
    <w:qFormat/>
    <w:rsid w:val="00B75D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D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D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5D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5DC2"/>
    <w:pPr>
      <w:spacing w:before="160"/>
      <w:jc w:val="center"/>
    </w:pPr>
    <w:rPr>
      <w:i/>
      <w:iCs/>
      <w:color w:val="404040" w:themeColor="text1" w:themeTint="BF"/>
    </w:rPr>
  </w:style>
  <w:style w:type="character" w:customStyle="1" w:styleId="QuoteChar">
    <w:name w:val="Quote Char"/>
    <w:basedOn w:val="DefaultParagraphFont"/>
    <w:link w:val="Quote"/>
    <w:uiPriority w:val="29"/>
    <w:rsid w:val="00B75DC2"/>
    <w:rPr>
      <w:i/>
      <w:iCs/>
      <w:color w:val="404040" w:themeColor="text1" w:themeTint="BF"/>
    </w:rPr>
  </w:style>
  <w:style w:type="paragraph" w:styleId="ListParagraph">
    <w:name w:val="List Paragraph"/>
    <w:basedOn w:val="Normal"/>
    <w:uiPriority w:val="34"/>
    <w:qFormat/>
    <w:rsid w:val="00B75DC2"/>
    <w:pPr>
      <w:ind w:left="720"/>
      <w:contextualSpacing/>
    </w:pPr>
  </w:style>
  <w:style w:type="character" w:styleId="IntenseEmphasis">
    <w:name w:val="Intense Emphasis"/>
    <w:basedOn w:val="DefaultParagraphFont"/>
    <w:uiPriority w:val="21"/>
    <w:qFormat/>
    <w:rsid w:val="00B75DC2"/>
    <w:rPr>
      <w:i/>
      <w:iCs/>
      <w:color w:val="0F4761" w:themeColor="accent1" w:themeShade="BF"/>
    </w:rPr>
  </w:style>
  <w:style w:type="paragraph" w:styleId="IntenseQuote">
    <w:name w:val="Intense Quote"/>
    <w:basedOn w:val="Normal"/>
    <w:next w:val="Normal"/>
    <w:link w:val="IntenseQuoteChar"/>
    <w:uiPriority w:val="30"/>
    <w:qFormat/>
    <w:rsid w:val="00B75D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5DC2"/>
    <w:rPr>
      <w:i/>
      <w:iCs/>
      <w:color w:val="0F4761" w:themeColor="accent1" w:themeShade="BF"/>
    </w:rPr>
  </w:style>
  <w:style w:type="character" w:styleId="IntenseReference">
    <w:name w:val="Intense Reference"/>
    <w:basedOn w:val="DefaultParagraphFont"/>
    <w:uiPriority w:val="32"/>
    <w:qFormat/>
    <w:rsid w:val="00B75DC2"/>
    <w:rPr>
      <w:b/>
      <w:bCs/>
      <w:smallCaps/>
      <w:color w:val="0F4761" w:themeColor="accent1" w:themeShade="BF"/>
      <w:spacing w:val="5"/>
    </w:rPr>
  </w:style>
  <w:style w:type="paragraph" w:styleId="BodyText2">
    <w:name w:val="Body Text 2"/>
    <w:basedOn w:val="Normal"/>
    <w:link w:val="BodyText2Char"/>
    <w:rsid w:val="00B75DC2"/>
    <w:pPr>
      <w:spacing w:after="0" w:line="240" w:lineRule="auto"/>
    </w:pPr>
    <w:rPr>
      <w:rFonts w:ascii="Arial" w:eastAsia="Times New Roman" w:hAnsi="Arial" w:cs="Times New Roman"/>
      <w:kern w:val="0"/>
      <w:sz w:val="20"/>
      <w:szCs w:val="24"/>
      <w:lang w:val="en-US"/>
      <w14:ligatures w14:val="none"/>
    </w:rPr>
  </w:style>
  <w:style w:type="character" w:customStyle="1" w:styleId="BodyText2Char">
    <w:name w:val="Body Text 2 Char"/>
    <w:basedOn w:val="DefaultParagraphFont"/>
    <w:link w:val="BodyText2"/>
    <w:rsid w:val="00B75DC2"/>
    <w:rPr>
      <w:rFonts w:ascii="Arial" w:eastAsia="Times New Roman" w:hAnsi="Arial" w:cs="Times New Roman"/>
      <w:kern w:val="0"/>
      <w:sz w:val="20"/>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Pio</dc:creator>
  <cp:keywords/>
  <dc:description/>
  <cp:lastModifiedBy>Lungile Sithole</cp:lastModifiedBy>
  <cp:revision>2</cp:revision>
  <dcterms:created xsi:type="dcterms:W3CDTF">2025-09-01T12:19:00Z</dcterms:created>
  <dcterms:modified xsi:type="dcterms:W3CDTF">2025-09-01T12:19:00Z</dcterms:modified>
</cp:coreProperties>
</file>