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D975" w14:textId="77777777" w:rsidR="007F01A3" w:rsidRDefault="00C527C9">
      <w:pPr>
        <w:rPr>
          <w:rFonts w:ascii="Arial" w:hAnsi="Arial" w:cs="Arial"/>
          <w:b/>
          <w:bCs/>
          <w:lang w:val="en-GB"/>
        </w:rPr>
      </w:pPr>
      <w:r w:rsidRPr="008C57DA">
        <w:rPr>
          <w:rFonts w:ascii="Arial" w:hAnsi="Arial" w:cs="Arial"/>
          <w:b/>
          <w:bCs/>
          <w:u w:val="single"/>
          <w:lang w:val="en-GB"/>
        </w:rPr>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proofErr w:type="gramStart"/>
      <w:r w:rsidR="00CE0DC9" w:rsidRPr="00890A5E">
        <w:rPr>
          <w:rFonts w:ascii="Arial" w:hAnsi="Arial" w:cs="Arial"/>
          <w:lang w:val="en-US"/>
        </w:rPr>
        <w:t>tenderer</w:t>
      </w:r>
      <w:proofErr w:type="gramEnd"/>
      <w:r w:rsidR="00CE0DC9" w:rsidRPr="00890A5E">
        <w:rPr>
          <w:rFonts w:ascii="Arial" w:hAnsi="Arial" w:cs="Arial"/>
          <w:lang w:val="en-US"/>
        </w:rPr>
        <w:t xml:space="preserve"> </w:t>
      </w:r>
      <w:r w:rsidRPr="00890A5E">
        <w:rPr>
          <w:rFonts w:ascii="Arial" w:hAnsi="Arial" w:cs="Arial"/>
          <w:lang w:val="en-US"/>
        </w:rPr>
        <w:t xml:space="preserve">or any of its directors / trustees / shareholders / members / partners or any person having a controlling interest in the enterprise have any interest in any other related enterprise </w:t>
      </w:r>
      <w:proofErr w:type="gramStart"/>
      <w:r w:rsidRPr="00890A5E">
        <w:rPr>
          <w:rFonts w:ascii="Arial" w:hAnsi="Arial" w:cs="Arial"/>
          <w:lang w:val="en-US"/>
        </w:rPr>
        <w:t>whether or not</w:t>
      </w:r>
      <w:proofErr w:type="gramEnd"/>
      <w:r w:rsidRPr="00890A5E">
        <w:rPr>
          <w:rFonts w:ascii="Arial" w:hAnsi="Arial" w:cs="Arial"/>
          <w:lang w:val="en-US"/>
        </w:rPr>
        <w:t xml:space="preserve">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A40204">
      <w:pPr>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F9A9" w14:textId="77777777" w:rsidR="00940DFE" w:rsidRDefault="00940DFE" w:rsidP="00201A98">
      <w:pPr>
        <w:spacing w:after="0" w:line="240" w:lineRule="auto"/>
      </w:pPr>
      <w:r>
        <w:separator/>
      </w:r>
    </w:p>
  </w:endnote>
  <w:endnote w:type="continuationSeparator" w:id="0">
    <w:p w14:paraId="48D824B3" w14:textId="77777777" w:rsidR="00940DFE" w:rsidRDefault="00940D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DAF6" w14:textId="77777777" w:rsidR="00940DFE" w:rsidRDefault="00940DFE" w:rsidP="00201A98">
      <w:pPr>
        <w:spacing w:after="0" w:line="240" w:lineRule="auto"/>
      </w:pPr>
      <w:r>
        <w:separator/>
      </w:r>
    </w:p>
  </w:footnote>
  <w:footnote w:type="continuationSeparator" w:id="0">
    <w:p w14:paraId="13004810" w14:textId="77777777" w:rsidR="00940DFE" w:rsidRDefault="00940D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940DFE"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33447014"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589E"/>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65BD"/>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570"/>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5CAD"/>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17D46"/>
    <w:rsid w:val="00622560"/>
    <w:rsid w:val="006232D6"/>
    <w:rsid w:val="0062625B"/>
    <w:rsid w:val="00627923"/>
    <w:rsid w:val="0063215C"/>
    <w:rsid w:val="00635C0A"/>
    <w:rsid w:val="0063688D"/>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0DFE"/>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4E76"/>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6A0"/>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0A05"/>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006"/>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Johanna Heisi</cp:lastModifiedBy>
  <cp:revision>2</cp:revision>
  <cp:lastPrinted>2024-02-01T11:02:00Z</cp:lastPrinted>
  <dcterms:created xsi:type="dcterms:W3CDTF">2026-02-24T11:56:00Z</dcterms:created>
  <dcterms:modified xsi:type="dcterms:W3CDTF">2026-02-24T11:56:00Z</dcterms:modified>
</cp:coreProperties>
</file>