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6A" w:rsidRDefault="004E056A" w:rsidP="004E056A">
      <w:pPr>
        <w:shd w:val="clear" w:color="auto" w:fill="FFFFFF"/>
        <w:spacing w:after="130" w:line="240" w:lineRule="auto"/>
        <w:outlineLvl w:val="1"/>
        <w:rPr>
          <w:rFonts w:ascii="Helvetica" w:eastAsia="Times New Roman" w:hAnsi="Helvetica" w:cs="Times New Roman"/>
          <w:color w:val="333333"/>
          <w:sz w:val="48"/>
          <w:szCs w:val="48"/>
          <w:lang w:eastAsia="en-ZA"/>
        </w:rPr>
      </w:pPr>
    </w:p>
    <w:p w:rsidR="004E056A" w:rsidRDefault="004E056A" w:rsidP="004E056A">
      <w:pPr>
        <w:shd w:val="clear" w:color="auto" w:fill="FFFFFF"/>
        <w:spacing w:after="130" w:line="240" w:lineRule="auto"/>
        <w:outlineLvl w:val="1"/>
        <w:rPr>
          <w:rFonts w:ascii="Helvetica" w:eastAsia="Times New Roman" w:hAnsi="Helvetica" w:cs="Times New Roman"/>
          <w:color w:val="333333"/>
          <w:sz w:val="48"/>
          <w:szCs w:val="48"/>
          <w:lang w:eastAsia="en-ZA"/>
        </w:rPr>
      </w:pPr>
      <w:r>
        <w:rPr>
          <w:rFonts w:ascii="Helvetica" w:eastAsia="Times New Roman" w:hAnsi="Helvetica" w:cs="Times New Roman"/>
          <w:noProof/>
          <w:color w:val="333333"/>
          <w:sz w:val="48"/>
          <w:szCs w:val="48"/>
          <w:lang w:eastAsia="en-ZA"/>
        </w:rPr>
        <w:drawing>
          <wp:inline distT="0" distB="0" distL="0" distR="0" wp14:anchorId="2108CC51">
            <wp:extent cx="2943225" cy="140951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088" cy="1434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56A" w:rsidRPr="004E056A" w:rsidRDefault="004E056A" w:rsidP="004E056A">
      <w:pPr>
        <w:shd w:val="clear" w:color="auto" w:fill="FFFFFF"/>
        <w:spacing w:after="130" w:line="240" w:lineRule="auto"/>
        <w:outlineLvl w:val="1"/>
        <w:rPr>
          <w:rFonts w:ascii="Helvetica" w:eastAsia="Times New Roman" w:hAnsi="Helvetica" w:cs="Times New Roman"/>
          <w:color w:val="333333"/>
          <w:sz w:val="48"/>
          <w:szCs w:val="48"/>
          <w:lang w:eastAsia="en-ZA"/>
        </w:rPr>
      </w:pPr>
      <w:r w:rsidRPr="004E056A">
        <w:rPr>
          <w:rFonts w:ascii="Helvetica" w:eastAsia="Times New Roman" w:hAnsi="Helvetica" w:cs="Times New Roman"/>
          <w:color w:val="333333"/>
          <w:sz w:val="48"/>
          <w:szCs w:val="48"/>
          <w:lang w:eastAsia="en-ZA"/>
        </w:rPr>
        <w:t>Description</w:t>
      </w:r>
    </w:p>
    <w:p w:rsidR="004E056A" w:rsidRPr="004E056A" w:rsidRDefault="004E056A" w:rsidP="004E056A">
      <w:pPr>
        <w:shd w:val="clear" w:color="auto" w:fill="FFFFFF"/>
        <w:spacing w:after="340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proofErr w:type="spellStart"/>
      <w:r w:rsidRPr="004E056A">
        <w:rPr>
          <w:rFonts w:ascii="Helvetica" w:eastAsia="Times New Roman" w:hAnsi="Helvetica" w:cs="Times New Roman"/>
          <w:b/>
          <w:bCs/>
          <w:color w:val="6D6D6D"/>
          <w:sz w:val="27"/>
          <w:szCs w:val="27"/>
          <w:lang w:eastAsia="en-ZA"/>
        </w:rPr>
        <w:t>BudBox</w:t>
      </w:r>
      <w:proofErr w:type="spellEnd"/>
      <w:r w:rsidRPr="004E056A">
        <w:rPr>
          <w:rFonts w:ascii="Helvetica" w:eastAsia="Times New Roman" w:hAnsi="Helvetica" w:cs="Times New Roman"/>
          <w:b/>
          <w:bCs/>
          <w:color w:val="6D6D6D"/>
          <w:sz w:val="27"/>
          <w:szCs w:val="27"/>
          <w:lang w:eastAsia="en-ZA"/>
        </w:rPr>
        <w:t xml:space="preserve"> PRO White TITAN 2-HL 3.6m x 2.4m x 2.2m: </w:t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 xml:space="preserve">The </w:t>
      </w:r>
      <w:proofErr w:type="spellStart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Budbox</w:t>
      </w:r>
      <w:proofErr w:type="spellEnd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 xml:space="preserve"> HL range features tents that are </w:t>
      </w:r>
      <w:r w:rsidRPr="004E056A">
        <w:rPr>
          <w:rFonts w:ascii="Helvetica" w:eastAsia="Times New Roman" w:hAnsi="Helvetica" w:cs="Times New Roman"/>
          <w:b/>
          <w:bCs/>
          <w:color w:val="6D6D6D"/>
          <w:sz w:val="27"/>
          <w:szCs w:val="27"/>
          <w:lang w:eastAsia="en-ZA"/>
        </w:rPr>
        <w:t>20cm higher</w:t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 than the standard </w:t>
      </w:r>
      <w:proofErr w:type="spellStart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fldChar w:fldCharType="begin"/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instrText xml:space="preserve"> HYPERLINK "https://hydroponic.co.za/?s=budbox&amp;post_type=product" </w:instrText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fldChar w:fldCharType="separate"/>
      </w:r>
      <w:r w:rsidRPr="004E056A">
        <w:rPr>
          <w:rFonts w:ascii="Helvetica" w:eastAsia="Times New Roman" w:hAnsi="Helvetica" w:cs="Times New Roman"/>
          <w:b/>
          <w:bCs/>
          <w:color w:val="A466E2"/>
          <w:sz w:val="27"/>
          <w:szCs w:val="27"/>
          <w:lang w:eastAsia="en-ZA"/>
        </w:rPr>
        <w:t>Budbox</w:t>
      </w:r>
      <w:proofErr w:type="spellEnd"/>
      <w:r w:rsidRPr="004E056A">
        <w:rPr>
          <w:rFonts w:ascii="Helvetica" w:eastAsia="Times New Roman" w:hAnsi="Helvetica" w:cs="Times New Roman"/>
          <w:color w:val="A466E2"/>
          <w:sz w:val="27"/>
          <w:szCs w:val="27"/>
          <w:u w:val="single"/>
          <w:lang w:eastAsia="en-ZA"/>
        </w:rPr>
        <w:t> </w:t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fldChar w:fldCharType="end"/>
      </w: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 xml:space="preserve">ranges, with all of the features that make </w:t>
      </w:r>
      <w:proofErr w:type="spellStart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Budbox</w:t>
      </w:r>
      <w:proofErr w:type="spellEnd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 xml:space="preserve"> tents the most trusted name in the indoor grow tent market.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proofErr w:type="spellStart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BudBox</w:t>
      </w:r>
      <w:proofErr w:type="spellEnd"/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 xml:space="preserve"> Pro – superbly designed and constructed, premier grow tents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Pro White material offers class leading PAR results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Strong, powder-coated 16mm steel framework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Metal, click-lock connectors for enhanced structural strength and long-term stability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Creates a sealed area that locks in light, smells and sounds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Tough, thick, durable yet lightweight outer shell that’s easy to fit in minutes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Features a green tinted viewing window, to keep a close eye on your growing environment without unzipping the door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Intake and extraction ports with tightening drawstrings attached, large enough for acoustic ducting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Military-grade, high-quality zips</w:t>
      </w:r>
    </w:p>
    <w:p w:rsidR="004E056A" w:rsidRPr="004E056A" w:rsidRDefault="004E056A" w:rsidP="004E0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</w:pPr>
      <w:r w:rsidRPr="004E056A">
        <w:rPr>
          <w:rFonts w:ascii="Helvetica" w:eastAsia="Times New Roman" w:hAnsi="Helvetica" w:cs="Times New Roman"/>
          <w:color w:val="6D6D6D"/>
          <w:sz w:val="27"/>
          <w:szCs w:val="27"/>
          <w:lang w:eastAsia="en-ZA"/>
        </w:rPr>
        <w:t>Large ventilation panel/s for increased passive air flow</w:t>
      </w:r>
    </w:p>
    <w:p w:rsidR="004B2778" w:rsidRDefault="004B2778"/>
    <w:sectPr w:rsidR="004B2778" w:rsidSect="004E05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8AE"/>
    <w:multiLevelType w:val="multilevel"/>
    <w:tmpl w:val="7A3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6A"/>
    <w:rsid w:val="002B2203"/>
    <w:rsid w:val="004B2778"/>
    <w:rsid w:val="004E056A"/>
    <w:rsid w:val="00951C61"/>
    <w:rsid w:val="00D1780F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25626-1939-4D2E-9ACE-27E71AA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Maphanga</dc:creator>
  <cp:keywords/>
  <dc:description/>
  <cp:lastModifiedBy>Oscar Maphanga</cp:lastModifiedBy>
  <cp:revision>1</cp:revision>
  <dcterms:created xsi:type="dcterms:W3CDTF">2023-06-19T12:11:00Z</dcterms:created>
  <dcterms:modified xsi:type="dcterms:W3CDTF">2023-06-19T12:13:00Z</dcterms:modified>
</cp:coreProperties>
</file>