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16" w:type="dxa"/>
        <w:tblLook w:val="04A0" w:firstRow="1" w:lastRow="0" w:firstColumn="1" w:lastColumn="0" w:noHBand="0" w:noVBand="1"/>
      </w:tblPr>
      <w:tblGrid>
        <w:gridCol w:w="737"/>
        <w:gridCol w:w="3593"/>
        <w:gridCol w:w="4686"/>
      </w:tblGrid>
      <w:tr w:rsidR="007E00D5" w:rsidRPr="00090578" w14:paraId="4B18D456" w14:textId="77777777" w:rsidTr="007E00D5">
        <w:tc>
          <w:tcPr>
            <w:tcW w:w="737" w:type="dxa"/>
          </w:tcPr>
          <w:p w14:paraId="1FED6757" w14:textId="7FAD6807" w:rsidR="00955474" w:rsidRPr="007E00D5" w:rsidRDefault="00955474" w:rsidP="00955474">
            <w:pPr>
              <w:rPr>
                <w:rFonts w:ascii="Arial" w:hAnsi="Arial" w:cs="Arial"/>
                <w:b/>
                <w:bCs/>
                <w:sz w:val="18"/>
                <w:szCs w:val="18"/>
              </w:rPr>
            </w:pPr>
            <w:r w:rsidRPr="007E00D5">
              <w:rPr>
                <w:rFonts w:ascii="Arial" w:hAnsi="Arial" w:cs="Arial"/>
                <w:b/>
                <w:bCs/>
                <w:sz w:val="18"/>
                <w:szCs w:val="18"/>
              </w:rPr>
              <w:t>Query</w:t>
            </w:r>
          </w:p>
        </w:tc>
        <w:tc>
          <w:tcPr>
            <w:tcW w:w="3593" w:type="dxa"/>
          </w:tcPr>
          <w:p w14:paraId="71A23B56" w14:textId="1AA1B7FD" w:rsidR="00955474" w:rsidRPr="007E00D5" w:rsidRDefault="00E66DC1" w:rsidP="00955474">
            <w:pPr>
              <w:rPr>
                <w:rFonts w:ascii="Arial" w:hAnsi="Arial" w:cs="Arial"/>
                <w:b/>
                <w:bCs/>
                <w:sz w:val="18"/>
                <w:szCs w:val="18"/>
              </w:rPr>
            </w:pPr>
            <w:proofErr w:type="spellStart"/>
            <w:r>
              <w:rPr>
                <w:rFonts w:ascii="Arial" w:hAnsi="Arial" w:cs="Arial"/>
                <w:b/>
                <w:bCs/>
                <w:sz w:val="18"/>
                <w:szCs w:val="18"/>
              </w:rPr>
              <w:t>Zutari</w:t>
            </w:r>
            <w:proofErr w:type="spellEnd"/>
            <w:r w:rsidR="00955474" w:rsidRPr="007E00D5">
              <w:rPr>
                <w:rFonts w:ascii="Arial" w:hAnsi="Arial" w:cs="Arial"/>
                <w:b/>
                <w:bCs/>
                <w:sz w:val="18"/>
                <w:szCs w:val="18"/>
              </w:rPr>
              <w:t xml:space="preserve"> Query Description </w:t>
            </w:r>
          </w:p>
        </w:tc>
        <w:tc>
          <w:tcPr>
            <w:tcW w:w="4686" w:type="dxa"/>
          </w:tcPr>
          <w:p w14:paraId="77CB3E10" w14:textId="5F2EB569" w:rsidR="00955474" w:rsidRPr="007E00D5" w:rsidRDefault="00955474" w:rsidP="00955474">
            <w:pPr>
              <w:rPr>
                <w:rFonts w:ascii="Arial" w:hAnsi="Arial" w:cs="Arial"/>
                <w:b/>
                <w:bCs/>
                <w:sz w:val="18"/>
                <w:szCs w:val="18"/>
              </w:rPr>
            </w:pPr>
            <w:r w:rsidRPr="007E00D5">
              <w:rPr>
                <w:rFonts w:ascii="Arial" w:hAnsi="Arial" w:cs="Arial"/>
                <w:b/>
                <w:bCs/>
                <w:sz w:val="18"/>
                <w:szCs w:val="18"/>
              </w:rPr>
              <w:t xml:space="preserve">Client Response </w:t>
            </w:r>
          </w:p>
        </w:tc>
      </w:tr>
      <w:tr w:rsidR="007E00D5" w:rsidRPr="00090578" w14:paraId="1EDF60D4" w14:textId="77777777" w:rsidTr="007E00D5">
        <w:tc>
          <w:tcPr>
            <w:tcW w:w="737" w:type="dxa"/>
          </w:tcPr>
          <w:p w14:paraId="63FC935B" w14:textId="289208B8" w:rsidR="00955474" w:rsidRPr="00090578" w:rsidRDefault="00955474" w:rsidP="00955474">
            <w:pPr>
              <w:rPr>
                <w:rFonts w:ascii="Arial" w:hAnsi="Arial" w:cs="Arial"/>
                <w:sz w:val="18"/>
                <w:szCs w:val="18"/>
              </w:rPr>
            </w:pPr>
            <w:r w:rsidRPr="00090578">
              <w:rPr>
                <w:rFonts w:ascii="Arial" w:hAnsi="Arial" w:cs="Arial"/>
                <w:sz w:val="18"/>
                <w:szCs w:val="18"/>
              </w:rPr>
              <w:t>1</w:t>
            </w:r>
            <w:r>
              <w:rPr>
                <w:rFonts w:ascii="Arial" w:hAnsi="Arial" w:cs="Arial"/>
                <w:sz w:val="18"/>
                <w:szCs w:val="18"/>
              </w:rPr>
              <w:t>.</w:t>
            </w:r>
          </w:p>
        </w:tc>
        <w:tc>
          <w:tcPr>
            <w:tcW w:w="3593" w:type="dxa"/>
          </w:tcPr>
          <w:p w14:paraId="6BAE0803" w14:textId="3ACCC28A" w:rsidR="00955474" w:rsidRPr="00090578" w:rsidRDefault="009F1D88" w:rsidP="009F1D88">
            <w:pPr>
              <w:spacing w:before="100" w:beforeAutospacing="1" w:after="100" w:afterAutospacing="1"/>
              <w:rPr>
                <w:rFonts w:ascii="Arial" w:hAnsi="Arial" w:cs="Arial"/>
                <w:sz w:val="18"/>
                <w:szCs w:val="18"/>
              </w:rPr>
            </w:pPr>
            <w:r>
              <w:rPr>
                <w:rFonts w:eastAsia="Times New Roman"/>
                <w:color w:val="000000"/>
                <w:sz w:val="20"/>
                <w:szCs w:val="20"/>
              </w:rPr>
              <w:t xml:space="preserve">Item 1.6. the economic specialists, and item 2.9 support staff economics roles, would </w:t>
            </w:r>
            <w:proofErr w:type="gramStart"/>
            <w:r>
              <w:rPr>
                <w:rFonts w:eastAsia="Times New Roman"/>
                <w:color w:val="000000"/>
                <w:sz w:val="20"/>
                <w:szCs w:val="20"/>
              </w:rPr>
              <w:t>masters</w:t>
            </w:r>
            <w:proofErr w:type="gramEnd"/>
            <w:r>
              <w:rPr>
                <w:rFonts w:eastAsia="Times New Roman"/>
                <w:color w:val="000000"/>
                <w:sz w:val="20"/>
                <w:szCs w:val="20"/>
              </w:rPr>
              <w:t xml:space="preserve"> degrees (MSc) in Real Estate also qualify?</w:t>
            </w:r>
          </w:p>
        </w:tc>
        <w:tc>
          <w:tcPr>
            <w:tcW w:w="4686" w:type="dxa"/>
          </w:tcPr>
          <w:p w14:paraId="0E7641E5" w14:textId="5C40F56C" w:rsidR="002F6065" w:rsidRPr="00090578" w:rsidRDefault="009F1D88" w:rsidP="00E66DC1">
            <w:pPr>
              <w:rPr>
                <w:rFonts w:ascii="Arial" w:hAnsi="Arial" w:cs="Arial"/>
                <w:sz w:val="18"/>
                <w:szCs w:val="18"/>
              </w:rPr>
            </w:pPr>
            <w:proofErr w:type="gramStart"/>
            <w:r>
              <w:rPr>
                <w:rFonts w:ascii="Arial" w:hAnsi="Arial" w:cs="Arial"/>
                <w:sz w:val="18"/>
                <w:szCs w:val="18"/>
              </w:rPr>
              <w:t>Yes</w:t>
            </w:r>
            <w:proofErr w:type="gramEnd"/>
            <w:r>
              <w:rPr>
                <w:rFonts w:ascii="Arial" w:hAnsi="Arial" w:cs="Arial"/>
                <w:sz w:val="18"/>
                <w:szCs w:val="18"/>
              </w:rPr>
              <w:t xml:space="preserve"> Provided that the undergraduate degree was a </w:t>
            </w:r>
            <w:proofErr w:type="gramStart"/>
            <w:r>
              <w:rPr>
                <w:rFonts w:ascii="Arial" w:hAnsi="Arial" w:cs="Arial"/>
                <w:sz w:val="18"/>
                <w:szCs w:val="18"/>
              </w:rPr>
              <w:t>Bachelors degree in economics</w:t>
            </w:r>
            <w:proofErr w:type="gramEnd"/>
            <w:r>
              <w:rPr>
                <w:rFonts w:ascii="Arial" w:hAnsi="Arial" w:cs="Arial"/>
                <w:sz w:val="18"/>
                <w:szCs w:val="18"/>
              </w:rPr>
              <w:t xml:space="preserve"> </w:t>
            </w:r>
            <w:r w:rsidR="00112165">
              <w:rPr>
                <w:rFonts w:ascii="Arial" w:hAnsi="Arial" w:cs="Arial"/>
                <w:sz w:val="18"/>
                <w:szCs w:val="18"/>
              </w:rPr>
              <w:t>as outlined in item 1.6</w:t>
            </w:r>
          </w:p>
        </w:tc>
      </w:tr>
      <w:tr w:rsidR="007E00D5" w:rsidRPr="00090578" w14:paraId="528FD2A0" w14:textId="77777777" w:rsidTr="007E00D5">
        <w:tc>
          <w:tcPr>
            <w:tcW w:w="737" w:type="dxa"/>
          </w:tcPr>
          <w:p w14:paraId="7A926753" w14:textId="0AD1827D" w:rsidR="00955474" w:rsidRPr="00090578" w:rsidRDefault="00E66DC1" w:rsidP="00955474">
            <w:pPr>
              <w:rPr>
                <w:rFonts w:ascii="Arial" w:hAnsi="Arial" w:cs="Arial"/>
                <w:sz w:val="18"/>
                <w:szCs w:val="18"/>
              </w:rPr>
            </w:pPr>
            <w:r>
              <w:rPr>
                <w:rFonts w:ascii="Arial" w:hAnsi="Arial" w:cs="Arial"/>
                <w:sz w:val="18"/>
                <w:szCs w:val="18"/>
              </w:rPr>
              <w:t>2</w:t>
            </w:r>
          </w:p>
        </w:tc>
        <w:tc>
          <w:tcPr>
            <w:tcW w:w="3593" w:type="dxa"/>
          </w:tcPr>
          <w:p w14:paraId="5D92D1D6" w14:textId="1A409625" w:rsidR="00955474" w:rsidRPr="00090578" w:rsidRDefault="009F1D88" w:rsidP="009F1D88">
            <w:pPr>
              <w:spacing w:before="100" w:beforeAutospacing="1" w:after="100" w:afterAutospacing="1"/>
              <w:rPr>
                <w:rFonts w:ascii="Arial" w:hAnsi="Arial" w:cs="Arial"/>
                <w:sz w:val="18"/>
                <w:szCs w:val="18"/>
              </w:rPr>
            </w:pPr>
            <w:r>
              <w:rPr>
                <w:rFonts w:eastAsia="Times New Roman"/>
                <w:color w:val="000000"/>
                <w:sz w:val="20"/>
                <w:szCs w:val="20"/>
              </w:rPr>
              <w:t>For item 1.10 the Architectural Specialist (Urban Design) role, would a BSc qualification in Urban Planning and Design, and/or BArch also qualify?</w:t>
            </w:r>
          </w:p>
        </w:tc>
        <w:tc>
          <w:tcPr>
            <w:tcW w:w="4686" w:type="dxa"/>
          </w:tcPr>
          <w:p w14:paraId="1C24416E" w14:textId="6F07955A" w:rsidR="00955474" w:rsidRPr="00090578" w:rsidRDefault="00112165" w:rsidP="00955474">
            <w:pPr>
              <w:rPr>
                <w:rFonts w:ascii="Arial" w:hAnsi="Arial" w:cs="Arial"/>
                <w:sz w:val="18"/>
                <w:szCs w:val="18"/>
              </w:rPr>
            </w:pPr>
            <w:proofErr w:type="gramStart"/>
            <w:r>
              <w:rPr>
                <w:rFonts w:ascii="Arial" w:hAnsi="Arial" w:cs="Arial"/>
                <w:sz w:val="18"/>
                <w:szCs w:val="18"/>
              </w:rPr>
              <w:t>Yes</w:t>
            </w:r>
            <w:proofErr w:type="gramEnd"/>
            <w:r>
              <w:rPr>
                <w:rFonts w:ascii="Arial" w:hAnsi="Arial" w:cs="Arial"/>
                <w:sz w:val="18"/>
                <w:szCs w:val="18"/>
              </w:rPr>
              <w:t xml:space="preserve"> provided that the person is registered as a </w:t>
            </w:r>
            <w:proofErr w:type="spellStart"/>
            <w:r>
              <w:rPr>
                <w:rFonts w:ascii="Arial" w:hAnsi="Arial" w:cs="Arial"/>
                <w:sz w:val="18"/>
                <w:szCs w:val="18"/>
              </w:rPr>
              <w:t>Pr</w:t>
            </w:r>
            <w:proofErr w:type="spellEnd"/>
            <w:r>
              <w:rPr>
                <w:rFonts w:ascii="Arial" w:hAnsi="Arial" w:cs="Arial"/>
                <w:sz w:val="18"/>
                <w:szCs w:val="18"/>
              </w:rPr>
              <w:t xml:space="preserve"> Arch / </w:t>
            </w:r>
            <w:proofErr w:type="spellStart"/>
            <w:r>
              <w:rPr>
                <w:rFonts w:ascii="Arial" w:hAnsi="Arial" w:cs="Arial"/>
                <w:sz w:val="18"/>
                <w:szCs w:val="18"/>
              </w:rPr>
              <w:t>Pr</w:t>
            </w:r>
            <w:proofErr w:type="spellEnd"/>
            <w:r>
              <w:rPr>
                <w:rFonts w:ascii="Arial" w:hAnsi="Arial" w:cs="Arial"/>
                <w:sz w:val="18"/>
                <w:szCs w:val="18"/>
              </w:rPr>
              <w:t xml:space="preserve"> Arch Technologist as outlined in item 1.10</w:t>
            </w:r>
          </w:p>
          <w:p w14:paraId="6488F427" w14:textId="77777777" w:rsidR="00955474" w:rsidRPr="00090578" w:rsidRDefault="00955474" w:rsidP="00955474">
            <w:pPr>
              <w:rPr>
                <w:rFonts w:ascii="Arial" w:hAnsi="Arial" w:cs="Arial"/>
                <w:sz w:val="18"/>
                <w:szCs w:val="18"/>
              </w:rPr>
            </w:pPr>
          </w:p>
        </w:tc>
      </w:tr>
      <w:tr w:rsidR="009F1D88" w:rsidRPr="00090578" w14:paraId="5A6A1DD7" w14:textId="77777777" w:rsidTr="007E00D5">
        <w:tc>
          <w:tcPr>
            <w:tcW w:w="737" w:type="dxa"/>
          </w:tcPr>
          <w:p w14:paraId="5AA90E47" w14:textId="26EDF1CD" w:rsidR="009F1D88" w:rsidRDefault="009F1D88" w:rsidP="00955474">
            <w:pPr>
              <w:rPr>
                <w:rFonts w:ascii="Arial" w:hAnsi="Arial" w:cs="Arial"/>
                <w:sz w:val="18"/>
                <w:szCs w:val="18"/>
              </w:rPr>
            </w:pPr>
            <w:r>
              <w:rPr>
                <w:rFonts w:ascii="Arial" w:hAnsi="Arial" w:cs="Arial"/>
                <w:sz w:val="18"/>
                <w:szCs w:val="18"/>
              </w:rPr>
              <w:t>3</w:t>
            </w:r>
          </w:p>
        </w:tc>
        <w:tc>
          <w:tcPr>
            <w:tcW w:w="3593" w:type="dxa"/>
          </w:tcPr>
          <w:p w14:paraId="22959CB3" w14:textId="22E3DA76" w:rsidR="009F1D88" w:rsidRDefault="009F1D88" w:rsidP="009F1D88">
            <w:pPr>
              <w:spacing w:before="100" w:beforeAutospacing="1" w:after="100" w:afterAutospacing="1"/>
              <w:rPr>
                <w:rFonts w:eastAsia="Times New Roman"/>
                <w:color w:val="000000"/>
                <w:sz w:val="20"/>
                <w:szCs w:val="20"/>
              </w:rPr>
            </w:pPr>
            <w:r>
              <w:rPr>
                <w:rFonts w:eastAsia="Times New Roman"/>
                <w:color w:val="000000"/>
                <w:sz w:val="20"/>
                <w:szCs w:val="20"/>
              </w:rPr>
              <w:t>For item 1.11 the Architectural Specialist (Buildings and Structures) role, would a BArch also qualify?</w:t>
            </w:r>
          </w:p>
        </w:tc>
        <w:tc>
          <w:tcPr>
            <w:tcW w:w="4686" w:type="dxa"/>
          </w:tcPr>
          <w:p w14:paraId="51008B56" w14:textId="77777777" w:rsidR="00112165" w:rsidRPr="00090578" w:rsidRDefault="00112165" w:rsidP="00112165">
            <w:pPr>
              <w:rPr>
                <w:rFonts w:ascii="Arial" w:hAnsi="Arial" w:cs="Arial"/>
                <w:sz w:val="18"/>
                <w:szCs w:val="18"/>
              </w:rPr>
            </w:pPr>
            <w:proofErr w:type="gramStart"/>
            <w:r>
              <w:rPr>
                <w:rFonts w:ascii="Arial" w:hAnsi="Arial" w:cs="Arial"/>
                <w:sz w:val="18"/>
                <w:szCs w:val="18"/>
              </w:rPr>
              <w:t>Yes</w:t>
            </w:r>
            <w:proofErr w:type="gramEnd"/>
            <w:r>
              <w:rPr>
                <w:rFonts w:ascii="Arial" w:hAnsi="Arial" w:cs="Arial"/>
                <w:sz w:val="18"/>
                <w:szCs w:val="18"/>
              </w:rPr>
              <w:t xml:space="preserve"> provided that the person is registered as a </w:t>
            </w:r>
            <w:proofErr w:type="spellStart"/>
            <w:r>
              <w:rPr>
                <w:rFonts w:ascii="Arial" w:hAnsi="Arial" w:cs="Arial"/>
                <w:sz w:val="18"/>
                <w:szCs w:val="18"/>
              </w:rPr>
              <w:t>Pr</w:t>
            </w:r>
            <w:proofErr w:type="spellEnd"/>
            <w:r>
              <w:rPr>
                <w:rFonts w:ascii="Arial" w:hAnsi="Arial" w:cs="Arial"/>
                <w:sz w:val="18"/>
                <w:szCs w:val="18"/>
              </w:rPr>
              <w:t xml:space="preserve"> Arch / </w:t>
            </w:r>
            <w:proofErr w:type="spellStart"/>
            <w:r>
              <w:rPr>
                <w:rFonts w:ascii="Arial" w:hAnsi="Arial" w:cs="Arial"/>
                <w:sz w:val="18"/>
                <w:szCs w:val="18"/>
              </w:rPr>
              <w:t>Pr</w:t>
            </w:r>
            <w:proofErr w:type="spellEnd"/>
            <w:r>
              <w:rPr>
                <w:rFonts w:ascii="Arial" w:hAnsi="Arial" w:cs="Arial"/>
                <w:sz w:val="18"/>
                <w:szCs w:val="18"/>
              </w:rPr>
              <w:t xml:space="preserve"> Arch Technologist as outlined in item 1.10</w:t>
            </w:r>
          </w:p>
          <w:p w14:paraId="60A94FE0" w14:textId="77777777" w:rsidR="009F1D88" w:rsidRDefault="009F1D88" w:rsidP="00955474">
            <w:pPr>
              <w:rPr>
                <w:rFonts w:ascii="Arial" w:hAnsi="Arial" w:cs="Arial"/>
                <w:sz w:val="18"/>
                <w:szCs w:val="18"/>
              </w:rPr>
            </w:pPr>
          </w:p>
        </w:tc>
      </w:tr>
      <w:tr w:rsidR="009F1D88" w:rsidRPr="00090578" w14:paraId="7F2D7AD9" w14:textId="77777777" w:rsidTr="007E00D5">
        <w:tc>
          <w:tcPr>
            <w:tcW w:w="737" w:type="dxa"/>
          </w:tcPr>
          <w:p w14:paraId="432A8D3C" w14:textId="11621C8B" w:rsidR="009F1D88" w:rsidRDefault="009F1D88" w:rsidP="00955474">
            <w:pPr>
              <w:rPr>
                <w:rFonts w:ascii="Arial" w:hAnsi="Arial" w:cs="Arial"/>
                <w:sz w:val="18"/>
                <w:szCs w:val="18"/>
              </w:rPr>
            </w:pPr>
            <w:r>
              <w:rPr>
                <w:rFonts w:ascii="Arial" w:hAnsi="Arial" w:cs="Arial"/>
                <w:sz w:val="18"/>
                <w:szCs w:val="18"/>
              </w:rPr>
              <w:t>4</w:t>
            </w:r>
          </w:p>
        </w:tc>
        <w:tc>
          <w:tcPr>
            <w:tcW w:w="3593" w:type="dxa"/>
          </w:tcPr>
          <w:p w14:paraId="52790BD7" w14:textId="25F4295F" w:rsidR="009F1D88" w:rsidRDefault="009F1D88" w:rsidP="009F1D88">
            <w:pPr>
              <w:spacing w:before="100" w:beforeAutospacing="1" w:after="100" w:afterAutospacing="1"/>
              <w:rPr>
                <w:rFonts w:eastAsia="Times New Roman"/>
                <w:color w:val="000000"/>
                <w:sz w:val="20"/>
                <w:szCs w:val="20"/>
              </w:rPr>
            </w:pPr>
            <w:r>
              <w:rPr>
                <w:rFonts w:eastAsia="Times New Roman"/>
                <w:color w:val="000000"/>
                <w:sz w:val="20"/>
                <w:szCs w:val="20"/>
              </w:rPr>
              <w:t>For item 2.7 the Support Staff Architectural role, should the qualification not be BSc Arch or BArch? It is currently listed to be BSc Eng, BEng or BTech.  </w:t>
            </w:r>
          </w:p>
        </w:tc>
        <w:tc>
          <w:tcPr>
            <w:tcW w:w="4686" w:type="dxa"/>
          </w:tcPr>
          <w:p w14:paraId="08C8172B" w14:textId="6537D4AB" w:rsidR="009F1D88" w:rsidRDefault="00112165" w:rsidP="00955474">
            <w:pPr>
              <w:rPr>
                <w:rFonts w:ascii="Arial" w:hAnsi="Arial" w:cs="Arial"/>
                <w:sz w:val="18"/>
                <w:szCs w:val="18"/>
              </w:rPr>
            </w:pPr>
            <w:r>
              <w:rPr>
                <w:rFonts w:ascii="Arial" w:hAnsi="Arial" w:cs="Arial"/>
                <w:sz w:val="18"/>
                <w:szCs w:val="18"/>
              </w:rPr>
              <w:t xml:space="preserve">Apologies, you are correct it should be </w:t>
            </w:r>
            <w:r>
              <w:rPr>
                <w:rFonts w:eastAsia="Times New Roman"/>
                <w:color w:val="000000"/>
                <w:sz w:val="20"/>
                <w:szCs w:val="20"/>
              </w:rPr>
              <w:t>BSc Arch or BArch</w:t>
            </w:r>
          </w:p>
        </w:tc>
      </w:tr>
      <w:tr w:rsidR="009F1D88" w:rsidRPr="00090578" w14:paraId="5463500E" w14:textId="77777777" w:rsidTr="007E00D5">
        <w:tc>
          <w:tcPr>
            <w:tcW w:w="737" w:type="dxa"/>
          </w:tcPr>
          <w:p w14:paraId="350DFE80" w14:textId="7BEDB684" w:rsidR="009F1D88" w:rsidRDefault="009F1D88" w:rsidP="00955474">
            <w:pPr>
              <w:rPr>
                <w:rFonts w:ascii="Arial" w:hAnsi="Arial" w:cs="Arial"/>
                <w:sz w:val="18"/>
                <w:szCs w:val="18"/>
              </w:rPr>
            </w:pPr>
            <w:r>
              <w:rPr>
                <w:rFonts w:ascii="Arial" w:hAnsi="Arial" w:cs="Arial"/>
                <w:sz w:val="18"/>
                <w:szCs w:val="18"/>
              </w:rPr>
              <w:t>5</w:t>
            </w:r>
          </w:p>
        </w:tc>
        <w:tc>
          <w:tcPr>
            <w:tcW w:w="3593" w:type="dxa"/>
          </w:tcPr>
          <w:p w14:paraId="74E953F5" w14:textId="651D0FA4" w:rsidR="009F1D88" w:rsidRDefault="009F1D88" w:rsidP="009F1D88">
            <w:pPr>
              <w:rPr>
                <w:rFonts w:eastAsia="Times New Roman"/>
                <w:color w:val="000000"/>
                <w:sz w:val="20"/>
                <w:szCs w:val="20"/>
              </w:rPr>
            </w:pPr>
            <w:r>
              <w:rPr>
                <w:rFonts w:eastAsia="Times New Roman"/>
                <w:color w:val="000000"/>
                <w:sz w:val="20"/>
                <w:szCs w:val="20"/>
              </w:rPr>
              <w:t>Item 1.5 Financial Specialist requires a B Degree in Accounting/Finance with no professional registration whereas Item 2.10 Support Financial Specialist requires a B Degree in Commerce with a CA or Actuary professional registration. It appears that the professional registration requirement for the support resource is more suited for the key resource. Kindly advise if it will be acceptable to submit the CV of a Financial Specialist that will meet the requirement of 10 years’ experience, 5 projects and a CA/Actuary registration, and then submit CVs for Support Financial Specialists that will meet the requirement of 5 years’ experience with a B Degree in commerce and/or Mathematics (no professional registration)?</w:t>
            </w:r>
          </w:p>
        </w:tc>
        <w:tc>
          <w:tcPr>
            <w:tcW w:w="4686" w:type="dxa"/>
          </w:tcPr>
          <w:p w14:paraId="3646C794" w14:textId="0217644D" w:rsidR="009F1D88" w:rsidRDefault="00112165" w:rsidP="00955474">
            <w:pPr>
              <w:rPr>
                <w:rFonts w:ascii="Arial" w:hAnsi="Arial" w:cs="Arial"/>
                <w:sz w:val="18"/>
                <w:szCs w:val="18"/>
              </w:rPr>
            </w:pPr>
            <w:r>
              <w:rPr>
                <w:rFonts w:ascii="Arial" w:hAnsi="Arial" w:cs="Arial"/>
                <w:sz w:val="18"/>
                <w:szCs w:val="18"/>
              </w:rPr>
              <w:t>Apologies you are correct qualifications and registration should be reversed</w:t>
            </w:r>
          </w:p>
        </w:tc>
      </w:tr>
      <w:tr w:rsidR="00AF7FCC" w:rsidRPr="00090578" w14:paraId="3B9582DF" w14:textId="77777777" w:rsidTr="007E00D5">
        <w:tc>
          <w:tcPr>
            <w:tcW w:w="737" w:type="dxa"/>
          </w:tcPr>
          <w:p w14:paraId="57822B4E" w14:textId="77777777" w:rsidR="00AF7FCC" w:rsidRDefault="00AF7FCC" w:rsidP="00955474">
            <w:pPr>
              <w:rPr>
                <w:rFonts w:ascii="Arial" w:hAnsi="Arial" w:cs="Arial"/>
                <w:sz w:val="18"/>
                <w:szCs w:val="18"/>
              </w:rPr>
            </w:pPr>
          </w:p>
        </w:tc>
        <w:tc>
          <w:tcPr>
            <w:tcW w:w="3593" w:type="dxa"/>
          </w:tcPr>
          <w:p w14:paraId="37C43BE8" w14:textId="77777777" w:rsidR="00AF7FCC" w:rsidRDefault="00AF7FCC" w:rsidP="009F1D88">
            <w:pPr>
              <w:rPr>
                <w:rFonts w:eastAsia="Times New Roman"/>
                <w:color w:val="000000"/>
                <w:sz w:val="20"/>
                <w:szCs w:val="20"/>
              </w:rPr>
            </w:pPr>
          </w:p>
        </w:tc>
        <w:tc>
          <w:tcPr>
            <w:tcW w:w="4686" w:type="dxa"/>
          </w:tcPr>
          <w:p w14:paraId="7E3B14AF" w14:textId="77777777" w:rsidR="00AF7FCC" w:rsidRDefault="00AF7FCC" w:rsidP="00955474">
            <w:pPr>
              <w:rPr>
                <w:rFonts w:ascii="Arial" w:hAnsi="Arial" w:cs="Arial"/>
                <w:sz w:val="18"/>
                <w:szCs w:val="18"/>
              </w:rPr>
            </w:pPr>
          </w:p>
        </w:tc>
      </w:tr>
      <w:tr w:rsidR="00AF7FCC" w:rsidRPr="00090578" w14:paraId="095E08B1" w14:textId="77777777" w:rsidTr="007E00D5">
        <w:tc>
          <w:tcPr>
            <w:tcW w:w="737" w:type="dxa"/>
          </w:tcPr>
          <w:p w14:paraId="098CBB44" w14:textId="77777777" w:rsidR="00AF7FCC" w:rsidRDefault="00AF7FCC" w:rsidP="00955474">
            <w:pPr>
              <w:rPr>
                <w:rFonts w:ascii="Arial" w:hAnsi="Arial" w:cs="Arial"/>
                <w:sz w:val="18"/>
                <w:szCs w:val="18"/>
              </w:rPr>
            </w:pPr>
          </w:p>
        </w:tc>
        <w:tc>
          <w:tcPr>
            <w:tcW w:w="3593" w:type="dxa"/>
          </w:tcPr>
          <w:p w14:paraId="76F8E8AE" w14:textId="6896B11E" w:rsidR="00AF7FCC" w:rsidRPr="00AF7FCC" w:rsidRDefault="00AF7FCC" w:rsidP="009F1D88">
            <w:pPr>
              <w:rPr>
                <w:rFonts w:eastAsia="Times New Roman"/>
                <w:color w:val="000000"/>
                <w:sz w:val="20"/>
                <w:szCs w:val="20"/>
                <w:highlight w:val="yellow"/>
              </w:rPr>
            </w:pPr>
            <w:r w:rsidRPr="00AF7FCC">
              <w:rPr>
                <w:rFonts w:eastAsia="Times New Roman"/>
                <w:color w:val="000000"/>
                <w:sz w:val="20"/>
                <w:szCs w:val="20"/>
                <w:highlight w:val="yellow"/>
              </w:rPr>
              <w:t>Extension of time was requested by ZUTARI, FOSTER &amp; PARTNERS and SMEC</w:t>
            </w:r>
          </w:p>
        </w:tc>
        <w:tc>
          <w:tcPr>
            <w:tcW w:w="4686" w:type="dxa"/>
          </w:tcPr>
          <w:p w14:paraId="46035844" w14:textId="7A651009" w:rsidR="00AF7FCC" w:rsidRPr="00AF7FCC" w:rsidRDefault="00AF7FCC" w:rsidP="00955474">
            <w:pPr>
              <w:rPr>
                <w:rFonts w:ascii="Arial" w:hAnsi="Arial" w:cs="Arial"/>
                <w:sz w:val="18"/>
                <w:szCs w:val="18"/>
                <w:highlight w:val="yellow"/>
              </w:rPr>
            </w:pPr>
            <w:r w:rsidRPr="00AF7FCC">
              <w:rPr>
                <w:rFonts w:ascii="Arial" w:hAnsi="Arial" w:cs="Arial"/>
                <w:sz w:val="18"/>
                <w:szCs w:val="18"/>
                <w:highlight w:val="yellow"/>
              </w:rPr>
              <w:t xml:space="preserve">No extension of time will be granted. Closing day is unchanged </w:t>
            </w:r>
          </w:p>
        </w:tc>
      </w:tr>
    </w:tbl>
    <w:p w14:paraId="1742B9AE" w14:textId="77777777" w:rsidR="00090578" w:rsidRPr="006600EB" w:rsidRDefault="00090578" w:rsidP="007E00D5">
      <w:pPr>
        <w:rPr>
          <w:color w:val="EE0000"/>
        </w:rPr>
      </w:pPr>
    </w:p>
    <w:sectPr w:rsidR="00090578" w:rsidRPr="006600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A26"/>
    <w:multiLevelType w:val="multilevel"/>
    <w:tmpl w:val="1F509F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3BC1624"/>
    <w:multiLevelType w:val="hybridMultilevel"/>
    <w:tmpl w:val="32C6605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A970B28"/>
    <w:multiLevelType w:val="hybridMultilevel"/>
    <w:tmpl w:val="71B8F918"/>
    <w:lvl w:ilvl="0" w:tplc="5BDCA304">
      <w:start w:val="1"/>
      <w:numFmt w:val="lowerLetter"/>
      <w:lvlText w:val="%1)"/>
      <w:lvlJc w:val="left"/>
      <w:pPr>
        <w:ind w:left="410" w:hanging="360"/>
      </w:pPr>
      <w:rPr>
        <w:rFonts w:hint="default"/>
      </w:rPr>
    </w:lvl>
    <w:lvl w:ilvl="1" w:tplc="1C090019" w:tentative="1">
      <w:start w:val="1"/>
      <w:numFmt w:val="lowerLetter"/>
      <w:lvlText w:val="%2."/>
      <w:lvlJc w:val="left"/>
      <w:pPr>
        <w:ind w:left="1130" w:hanging="360"/>
      </w:pPr>
    </w:lvl>
    <w:lvl w:ilvl="2" w:tplc="1C09001B" w:tentative="1">
      <w:start w:val="1"/>
      <w:numFmt w:val="lowerRoman"/>
      <w:lvlText w:val="%3."/>
      <w:lvlJc w:val="right"/>
      <w:pPr>
        <w:ind w:left="1850" w:hanging="180"/>
      </w:pPr>
    </w:lvl>
    <w:lvl w:ilvl="3" w:tplc="1C09000F" w:tentative="1">
      <w:start w:val="1"/>
      <w:numFmt w:val="decimal"/>
      <w:lvlText w:val="%4."/>
      <w:lvlJc w:val="left"/>
      <w:pPr>
        <w:ind w:left="2570" w:hanging="360"/>
      </w:pPr>
    </w:lvl>
    <w:lvl w:ilvl="4" w:tplc="1C090019" w:tentative="1">
      <w:start w:val="1"/>
      <w:numFmt w:val="lowerLetter"/>
      <w:lvlText w:val="%5."/>
      <w:lvlJc w:val="left"/>
      <w:pPr>
        <w:ind w:left="3290" w:hanging="360"/>
      </w:pPr>
    </w:lvl>
    <w:lvl w:ilvl="5" w:tplc="1C09001B" w:tentative="1">
      <w:start w:val="1"/>
      <w:numFmt w:val="lowerRoman"/>
      <w:lvlText w:val="%6."/>
      <w:lvlJc w:val="right"/>
      <w:pPr>
        <w:ind w:left="4010" w:hanging="180"/>
      </w:pPr>
    </w:lvl>
    <w:lvl w:ilvl="6" w:tplc="1C09000F" w:tentative="1">
      <w:start w:val="1"/>
      <w:numFmt w:val="decimal"/>
      <w:lvlText w:val="%7."/>
      <w:lvlJc w:val="left"/>
      <w:pPr>
        <w:ind w:left="4730" w:hanging="360"/>
      </w:pPr>
    </w:lvl>
    <w:lvl w:ilvl="7" w:tplc="1C090019" w:tentative="1">
      <w:start w:val="1"/>
      <w:numFmt w:val="lowerLetter"/>
      <w:lvlText w:val="%8."/>
      <w:lvlJc w:val="left"/>
      <w:pPr>
        <w:ind w:left="5450" w:hanging="360"/>
      </w:pPr>
    </w:lvl>
    <w:lvl w:ilvl="8" w:tplc="1C09001B" w:tentative="1">
      <w:start w:val="1"/>
      <w:numFmt w:val="lowerRoman"/>
      <w:lvlText w:val="%9."/>
      <w:lvlJc w:val="right"/>
      <w:pPr>
        <w:ind w:left="6170" w:hanging="180"/>
      </w:pPr>
    </w:lvl>
  </w:abstractNum>
  <w:abstractNum w:abstractNumId="3" w15:restartNumberingAfterBreak="0">
    <w:nsid w:val="408A3123"/>
    <w:multiLevelType w:val="multilevel"/>
    <w:tmpl w:val="9F46C6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B595D1D"/>
    <w:multiLevelType w:val="multilevel"/>
    <w:tmpl w:val="CC5EC3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38406697">
    <w:abstractNumId w:val="1"/>
  </w:num>
  <w:num w:numId="2" w16cid:durableId="2049723074">
    <w:abstractNumId w:val="2"/>
  </w:num>
  <w:num w:numId="3" w16cid:durableId="14245657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70217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23224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BF6"/>
    <w:rsid w:val="00090578"/>
    <w:rsid w:val="00112165"/>
    <w:rsid w:val="0013271A"/>
    <w:rsid w:val="00133D78"/>
    <w:rsid w:val="00152680"/>
    <w:rsid w:val="001A22B6"/>
    <w:rsid w:val="001E07E1"/>
    <w:rsid w:val="0026794E"/>
    <w:rsid w:val="002827BC"/>
    <w:rsid w:val="002D0C5E"/>
    <w:rsid w:val="002F5018"/>
    <w:rsid w:val="002F6065"/>
    <w:rsid w:val="00393CD0"/>
    <w:rsid w:val="00397933"/>
    <w:rsid w:val="003B389F"/>
    <w:rsid w:val="003B48B7"/>
    <w:rsid w:val="004453BF"/>
    <w:rsid w:val="00556989"/>
    <w:rsid w:val="005A76B2"/>
    <w:rsid w:val="005E267A"/>
    <w:rsid w:val="00611B50"/>
    <w:rsid w:val="006600EB"/>
    <w:rsid w:val="00683470"/>
    <w:rsid w:val="0069381D"/>
    <w:rsid w:val="006D7D49"/>
    <w:rsid w:val="007E00D5"/>
    <w:rsid w:val="00836023"/>
    <w:rsid w:val="0085125A"/>
    <w:rsid w:val="00852078"/>
    <w:rsid w:val="008533BB"/>
    <w:rsid w:val="00873616"/>
    <w:rsid w:val="00887CCA"/>
    <w:rsid w:val="008A1715"/>
    <w:rsid w:val="008E1DC4"/>
    <w:rsid w:val="00910BF6"/>
    <w:rsid w:val="00955474"/>
    <w:rsid w:val="009F1D88"/>
    <w:rsid w:val="009F7755"/>
    <w:rsid w:val="00A22BDF"/>
    <w:rsid w:val="00A24DE9"/>
    <w:rsid w:val="00A63484"/>
    <w:rsid w:val="00AF7FCC"/>
    <w:rsid w:val="00BC5849"/>
    <w:rsid w:val="00C4596C"/>
    <w:rsid w:val="00CC6118"/>
    <w:rsid w:val="00CC683E"/>
    <w:rsid w:val="00CE16D0"/>
    <w:rsid w:val="00D475A9"/>
    <w:rsid w:val="00D809CC"/>
    <w:rsid w:val="00DB27F4"/>
    <w:rsid w:val="00E0285B"/>
    <w:rsid w:val="00E62A85"/>
    <w:rsid w:val="00E66DC1"/>
    <w:rsid w:val="00E6788C"/>
    <w:rsid w:val="00EC25B6"/>
    <w:rsid w:val="00FB7DB0"/>
    <w:rsid w:val="00FC22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22194"/>
  <w15:chartTrackingRefBased/>
  <w15:docId w15:val="{FBC733DC-DD10-4B3E-8660-C66FF684A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B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B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B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B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B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B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B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B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B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B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B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B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B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B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BF6"/>
    <w:rPr>
      <w:rFonts w:eastAsiaTheme="majorEastAsia" w:cstheme="majorBidi"/>
      <w:color w:val="272727" w:themeColor="text1" w:themeTint="D8"/>
    </w:rPr>
  </w:style>
  <w:style w:type="paragraph" w:styleId="Title">
    <w:name w:val="Title"/>
    <w:basedOn w:val="Normal"/>
    <w:next w:val="Normal"/>
    <w:link w:val="TitleChar"/>
    <w:uiPriority w:val="10"/>
    <w:qFormat/>
    <w:rsid w:val="00910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B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BF6"/>
    <w:pPr>
      <w:spacing w:before="160"/>
      <w:jc w:val="center"/>
    </w:pPr>
    <w:rPr>
      <w:i/>
      <w:iCs/>
      <w:color w:val="404040" w:themeColor="text1" w:themeTint="BF"/>
    </w:rPr>
  </w:style>
  <w:style w:type="character" w:customStyle="1" w:styleId="QuoteChar">
    <w:name w:val="Quote Char"/>
    <w:basedOn w:val="DefaultParagraphFont"/>
    <w:link w:val="Quote"/>
    <w:uiPriority w:val="29"/>
    <w:rsid w:val="00910BF6"/>
    <w:rPr>
      <w:i/>
      <w:iCs/>
      <w:color w:val="404040" w:themeColor="text1" w:themeTint="BF"/>
    </w:rPr>
  </w:style>
  <w:style w:type="paragraph" w:styleId="ListParagraph">
    <w:name w:val="List Paragraph"/>
    <w:basedOn w:val="Normal"/>
    <w:uiPriority w:val="34"/>
    <w:qFormat/>
    <w:rsid w:val="00910BF6"/>
    <w:pPr>
      <w:ind w:left="720"/>
      <w:contextualSpacing/>
    </w:pPr>
  </w:style>
  <w:style w:type="character" w:styleId="IntenseEmphasis">
    <w:name w:val="Intense Emphasis"/>
    <w:basedOn w:val="DefaultParagraphFont"/>
    <w:uiPriority w:val="21"/>
    <w:qFormat/>
    <w:rsid w:val="00910BF6"/>
    <w:rPr>
      <w:i/>
      <w:iCs/>
      <w:color w:val="0F4761" w:themeColor="accent1" w:themeShade="BF"/>
    </w:rPr>
  </w:style>
  <w:style w:type="paragraph" w:styleId="IntenseQuote">
    <w:name w:val="Intense Quote"/>
    <w:basedOn w:val="Normal"/>
    <w:next w:val="Normal"/>
    <w:link w:val="IntenseQuoteChar"/>
    <w:uiPriority w:val="30"/>
    <w:qFormat/>
    <w:rsid w:val="00910B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BF6"/>
    <w:rPr>
      <w:i/>
      <w:iCs/>
      <w:color w:val="0F4761" w:themeColor="accent1" w:themeShade="BF"/>
    </w:rPr>
  </w:style>
  <w:style w:type="character" w:styleId="IntenseReference">
    <w:name w:val="Intense Reference"/>
    <w:basedOn w:val="DefaultParagraphFont"/>
    <w:uiPriority w:val="32"/>
    <w:qFormat/>
    <w:rsid w:val="00910BF6"/>
    <w:rPr>
      <w:b/>
      <w:bCs/>
      <w:smallCaps/>
      <w:color w:val="0F4761" w:themeColor="accent1" w:themeShade="BF"/>
      <w:spacing w:val="5"/>
    </w:rPr>
  </w:style>
  <w:style w:type="character" w:styleId="Strong">
    <w:name w:val="Strong"/>
    <w:basedOn w:val="DefaultParagraphFont"/>
    <w:uiPriority w:val="22"/>
    <w:qFormat/>
    <w:rsid w:val="00CC683E"/>
    <w:rPr>
      <w:b/>
      <w:bCs/>
    </w:rPr>
  </w:style>
  <w:style w:type="character" w:customStyle="1" w:styleId="vkekvd">
    <w:name w:val="vkekvd"/>
    <w:basedOn w:val="DefaultParagraphFont"/>
    <w:rsid w:val="00CC683E"/>
  </w:style>
  <w:style w:type="character" w:styleId="Hyperlink">
    <w:name w:val="Hyperlink"/>
    <w:basedOn w:val="DefaultParagraphFont"/>
    <w:uiPriority w:val="99"/>
    <w:unhideWhenUsed/>
    <w:rsid w:val="00CC683E"/>
    <w:rPr>
      <w:color w:val="467886" w:themeColor="hyperlink"/>
      <w:u w:val="single"/>
    </w:rPr>
  </w:style>
  <w:style w:type="character" w:styleId="UnresolvedMention">
    <w:name w:val="Unresolved Mention"/>
    <w:basedOn w:val="DefaultParagraphFont"/>
    <w:uiPriority w:val="99"/>
    <w:semiHidden/>
    <w:unhideWhenUsed/>
    <w:rsid w:val="00CC683E"/>
    <w:rPr>
      <w:color w:val="605E5C"/>
      <w:shd w:val="clear" w:color="auto" w:fill="E1DFDD"/>
    </w:rPr>
  </w:style>
  <w:style w:type="table" w:styleId="TableGrid">
    <w:name w:val="Table Grid"/>
    <w:basedOn w:val="TableNormal"/>
    <w:uiPriority w:val="39"/>
    <w:rsid w:val="00090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1a424ae-2d4e-4ee5-8de3-71aa99ed128c}" enabled="0" method="" siteId="{81a424ae-2d4e-4ee5-8de3-71aa99ed128c}"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1</Pages>
  <Words>309</Words>
  <Characters>1611</Characters>
  <Application>Microsoft Office Word</Application>
  <DocSecurity>0</DocSecurity>
  <Lines>67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Moonsamy</dc:creator>
  <cp:keywords/>
  <dc:description/>
  <cp:lastModifiedBy>Ivan Moonsamy</cp:lastModifiedBy>
  <cp:revision>4</cp:revision>
  <dcterms:created xsi:type="dcterms:W3CDTF">2026-01-15T10:57:00Z</dcterms:created>
  <dcterms:modified xsi:type="dcterms:W3CDTF">2026-01-15T11:23:00Z</dcterms:modified>
</cp:coreProperties>
</file>