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73AE2"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1A2AE01F"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42ED9B5E" w14:textId="77777777" w:rsidTr="000D1868">
        <w:tc>
          <w:tcPr>
            <w:tcW w:w="4395" w:type="dxa"/>
            <w:shd w:val="clear" w:color="auto" w:fill="C4BC96" w:themeFill="background2" w:themeFillShade="BF"/>
          </w:tcPr>
          <w:p w14:paraId="79E4CE0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59C0579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346A1D1" w14:textId="77777777" w:rsidTr="000D1868">
        <w:tc>
          <w:tcPr>
            <w:tcW w:w="4395" w:type="dxa"/>
            <w:shd w:val="clear" w:color="auto" w:fill="C4BC96" w:themeFill="background2" w:themeFillShade="BF"/>
          </w:tcPr>
          <w:p w14:paraId="306E389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0F7EEC9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CAFDA2E" w14:textId="77777777" w:rsidTr="000D1868">
        <w:tc>
          <w:tcPr>
            <w:tcW w:w="4395" w:type="dxa"/>
            <w:shd w:val="clear" w:color="auto" w:fill="C4BC96" w:themeFill="background2" w:themeFillShade="BF"/>
          </w:tcPr>
          <w:p w14:paraId="17BA7D4F"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686603E2"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5AA28CCC" w14:textId="77777777" w:rsidTr="000D1868">
        <w:tc>
          <w:tcPr>
            <w:tcW w:w="4395" w:type="dxa"/>
            <w:shd w:val="clear" w:color="auto" w:fill="C4BC96" w:themeFill="background2" w:themeFillShade="BF"/>
          </w:tcPr>
          <w:p w14:paraId="7151F1D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6FB700B2"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290049C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88BAB24" w14:textId="77777777" w:rsidTr="000D1868">
        <w:tc>
          <w:tcPr>
            <w:tcW w:w="2544" w:type="dxa"/>
            <w:shd w:val="clear" w:color="auto" w:fill="C4BC96" w:themeFill="background2" w:themeFillShade="BF"/>
          </w:tcPr>
          <w:p w14:paraId="0B1A03D9"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0125F0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5BD5003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157601F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6B35585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29A0DCD0" w14:textId="77777777" w:rsidTr="000D1868">
        <w:tc>
          <w:tcPr>
            <w:tcW w:w="2544" w:type="dxa"/>
            <w:shd w:val="clear" w:color="auto" w:fill="C4BC96" w:themeFill="background2" w:themeFillShade="BF"/>
          </w:tcPr>
          <w:p w14:paraId="21318F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05617C40"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7E850A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766B19B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05C675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55016AFD" w14:textId="77777777" w:rsidTr="000D1868">
        <w:tc>
          <w:tcPr>
            <w:tcW w:w="2544" w:type="dxa"/>
            <w:shd w:val="clear" w:color="auto" w:fill="C4BC96" w:themeFill="background2" w:themeFillShade="BF"/>
          </w:tcPr>
          <w:p w14:paraId="1B43CDA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335ABC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0D0BD3E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9CCF9E5"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679B89C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327241A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3CF28F93" w14:textId="77777777" w:rsidTr="00B06445">
        <w:tc>
          <w:tcPr>
            <w:tcW w:w="2552" w:type="dxa"/>
            <w:shd w:val="clear" w:color="auto" w:fill="C4BC96" w:themeFill="background2" w:themeFillShade="BF"/>
          </w:tcPr>
          <w:p w14:paraId="644C8F8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682B50A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60C15D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5213B2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16E727E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55CC65A6" w14:textId="77777777" w:rsidTr="00B06445">
        <w:tc>
          <w:tcPr>
            <w:tcW w:w="2552" w:type="dxa"/>
            <w:shd w:val="clear" w:color="auto" w:fill="C4BC96" w:themeFill="background2" w:themeFillShade="BF"/>
          </w:tcPr>
          <w:p w14:paraId="407ADF42"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44D3AD2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07A7C57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4A4FDE9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51C32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2474EEDC" w14:textId="77777777" w:rsidTr="00B06445">
        <w:tc>
          <w:tcPr>
            <w:tcW w:w="2552" w:type="dxa"/>
            <w:shd w:val="clear" w:color="auto" w:fill="C4BC96" w:themeFill="background2" w:themeFillShade="BF"/>
          </w:tcPr>
          <w:p w14:paraId="1D647915"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3285E40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558AED9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4DC98109"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4668258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34FC2B9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4921062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12F55518"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8CE2E2B"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8CE0728"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22F553B6"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8994037"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A414250"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499EA13"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FB5D422"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7D981881"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4EF10C51"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10725838"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0DAF1930"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11660CCC"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1305B718"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5D4DC40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0B66E045"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04B67DBA"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6802070F"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0D5B706"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11DB1C3A"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1DD695A5"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C3793BD"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0B2B875D"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1FF4BC20" w14:textId="77777777" w:rsidR="00DA72C3" w:rsidRDefault="00DA72C3" w:rsidP="00DA72C3">
      <w:pPr>
        <w:spacing w:after="0" w:line="240" w:lineRule="auto"/>
        <w:rPr>
          <w:rFonts w:ascii="Arial" w:eastAsia="Times New Roman" w:hAnsi="Arial" w:cs="Arial"/>
          <w:szCs w:val="24"/>
          <w:lang w:val="en-GB"/>
        </w:rPr>
      </w:pPr>
    </w:p>
    <w:p w14:paraId="0AE1DA17"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15785C41"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4577F06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254F2BAA"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694AD6B9"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71C595C"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159D1CAE"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4761F53C"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1409D737"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589219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77E31FEE"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5F4CDAEE"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277C4D7"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67C7208E"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5D38C71E"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663BBA70"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1C6C5426"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02E4FA25"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5DDA970B" w14:textId="77777777" w:rsidTr="003C62CF">
        <w:tc>
          <w:tcPr>
            <w:tcW w:w="3539" w:type="dxa"/>
            <w:shd w:val="clear" w:color="auto" w:fill="D9D9D9" w:themeFill="background1" w:themeFillShade="D9"/>
          </w:tcPr>
          <w:p w14:paraId="255D03BB"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7C64EFCE"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47509EA2"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7AE27CCC"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55E599E1" w14:textId="77777777" w:rsidTr="003C62CF">
        <w:tc>
          <w:tcPr>
            <w:tcW w:w="3539" w:type="dxa"/>
          </w:tcPr>
          <w:p w14:paraId="25E1616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52638A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4FB3434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B28C3A0"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57149D" w14:textId="77777777" w:rsidTr="003C62CF">
        <w:tc>
          <w:tcPr>
            <w:tcW w:w="3539" w:type="dxa"/>
          </w:tcPr>
          <w:p w14:paraId="644D34E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00F2D4B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D81C31"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3BE7338"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18F61C3F" w14:textId="77777777" w:rsidTr="003C62CF">
        <w:tc>
          <w:tcPr>
            <w:tcW w:w="3539" w:type="dxa"/>
          </w:tcPr>
          <w:p w14:paraId="33BED31B"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3AB5874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112974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142C116"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2E7C8740" w14:textId="77777777" w:rsidTr="003C62CF">
        <w:tc>
          <w:tcPr>
            <w:tcW w:w="3539" w:type="dxa"/>
          </w:tcPr>
          <w:p w14:paraId="34A659A8"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CCA416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3C9956"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DD34EA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7E548EB" w14:textId="77777777" w:rsidTr="003C62CF">
        <w:tc>
          <w:tcPr>
            <w:tcW w:w="3539" w:type="dxa"/>
          </w:tcPr>
          <w:p w14:paraId="7A5D796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6F06D4AE"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41A120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732189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43602FB3" w14:textId="77777777" w:rsidTr="003C62CF">
        <w:tc>
          <w:tcPr>
            <w:tcW w:w="3539" w:type="dxa"/>
          </w:tcPr>
          <w:p w14:paraId="422B3BD5"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0FA339C4"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03EBD073"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08A880C1"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721048AE" w14:textId="77777777" w:rsidTr="003C62CF">
        <w:tc>
          <w:tcPr>
            <w:tcW w:w="3539" w:type="dxa"/>
          </w:tcPr>
          <w:p w14:paraId="5C12B9B9"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556BC3ED"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22482D25"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5F8BA4F" w14:textId="77777777" w:rsidR="0044486C" w:rsidRPr="0053229D" w:rsidRDefault="0044486C" w:rsidP="00DA72C3">
            <w:pPr>
              <w:jc w:val="both"/>
              <w:rPr>
                <w:rFonts w:ascii="Arial" w:eastAsia="Times New Roman" w:hAnsi="Arial" w:cs="Arial"/>
                <w:sz w:val="18"/>
                <w:lang w:val="en-GB" w:eastAsia="en-ZA" w:bidi="hi-IN"/>
              </w:rPr>
            </w:pPr>
          </w:p>
        </w:tc>
      </w:tr>
    </w:tbl>
    <w:p w14:paraId="75C12F32" w14:textId="77777777" w:rsidR="007F49A5" w:rsidRPr="007F49A5" w:rsidRDefault="007F49A5" w:rsidP="007F49A5">
      <w:pPr>
        <w:pStyle w:val="BodyText"/>
        <w:ind w:left="454"/>
        <w:rPr>
          <w:lang w:val="en-GB"/>
        </w:rPr>
      </w:pPr>
    </w:p>
    <w:p w14:paraId="0F3C9843"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22AA090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028037D"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4A1ABEFB"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7F1D84A9"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2A7753A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ED1556F"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51AE8D75" w14:textId="77777777" w:rsidTr="0022252C">
        <w:tc>
          <w:tcPr>
            <w:tcW w:w="3103" w:type="dxa"/>
          </w:tcPr>
          <w:p w14:paraId="7FC7516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1C8A9A3C"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0C4BC418"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69D3FDD4" w14:textId="77777777" w:rsidTr="0022252C">
        <w:tc>
          <w:tcPr>
            <w:tcW w:w="3103" w:type="dxa"/>
          </w:tcPr>
          <w:p w14:paraId="307598F2" w14:textId="77777777" w:rsidR="00395D51" w:rsidRDefault="00395D51" w:rsidP="0022252C">
            <w:pPr>
              <w:contextualSpacing/>
              <w:jc w:val="both"/>
              <w:rPr>
                <w:rFonts w:ascii="Arial" w:eastAsia="Calibri" w:hAnsi="Arial" w:cs="Arial"/>
              </w:rPr>
            </w:pPr>
          </w:p>
        </w:tc>
        <w:tc>
          <w:tcPr>
            <w:tcW w:w="1559" w:type="dxa"/>
          </w:tcPr>
          <w:p w14:paraId="2A7954C8" w14:textId="77777777" w:rsidR="00395D51" w:rsidRDefault="00395D51" w:rsidP="0022252C">
            <w:pPr>
              <w:contextualSpacing/>
              <w:jc w:val="both"/>
              <w:rPr>
                <w:rFonts w:ascii="Arial" w:eastAsia="Calibri" w:hAnsi="Arial" w:cs="Arial"/>
              </w:rPr>
            </w:pPr>
          </w:p>
        </w:tc>
        <w:tc>
          <w:tcPr>
            <w:tcW w:w="1417" w:type="dxa"/>
          </w:tcPr>
          <w:p w14:paraId="0BB64078" w14:textId="77777777" w:rsidR="00395D51" w:rsidRDefault="00395D51" w:rsidP="0022252C">
            <w:pPr>
              <w:contextualSpacing/>
              <w:jc w:val="both"/>
              <w:rPr>
                <w:rFonts w:ascii="Arial" w:eastAsia="Calibri" w:hAnsi="Arial" w:cs="Arial"/>
              </w:rPr>
            </w:pPr>
          </w:p>
        </w:tc>
      </w:tr>
      <w:tr w:rsidR="00395D51" w14:paraId="0090762A" w14:textId="77777777" w:rsidTr="0022252C">
        <w:tc>
          <w:tcPr>
            <w:tcW w:w="3103" w:type="dxa"/>
          </w:tcPr>
          <w:p w14:paraId="04BD9DBD" w14:textId="77777777" w:rsidR="00395D51" w:rsidRDefault="00395D51" w:rsidP="0022252C">
            <w:pPr>
              <w:contextualSpacing/>
              <w:jc w:val="both"/>
              <w:rPr>
                <w:rFonts w:ascii="Arial" w:eastAsia="Calibri" w:hAnsi="Arial" w:cs="Arial"/>
              </w:rPr>
            </w:pPr>
          </w:p>
        </w:tc>
        <w:tc>
          <w:tcPr>
            <w:tcW w:w="1559" w:type="dxa"/>
          </w:tcPr>
          <w:p w14:paraId="79590877" w14:textId="77777777" w:rsidR="00395D51" w:rsidRDefault="00395D51" w:rsidP="0022252C">
            <w:pPr>
              <w:contextualSpacing/>
              <w:jc w:val="both"/>
              <w:rPr>
                <w:rFonts w:ascii="Arial" w:eastAsia="Calibri" w:hAnsi="Arial" w:cs="Arial"/>
              </w:rPr>
            </w:pPr>
          </w:p>
        </w:tc>
        <w:tc>
          <w:tcPr>
            <w:tcW w:w="1417" w:type="dxa"/>
          </w:tcPr>
          <w:p w14:paraId="67A6AEE5" w14:textId="77777777" w:rsidR="00395D51" w:rsidRDefault="00395D51" w:rsidP="0022252C">
            <w:pPr>
              <w:contextualSpacing/>
              <w:jc w:val="both"/>
              <w:rPr>
                <w:rFonts w:ascii="Arial" w:eastAsia="Calibri" w:hAnsi="Arial" w:cs="Arial"/>
              </w:rPr>
            </w:pPr>
          </w:p>
        </w:tc>
      </w:tr>
      <w:tr w:rsidR="00395D51" w14:paraId="6122C87F" w14:textId="77777777" w:rsidTr="0022252C">
        <w:tc>
          <w:tcPr>
            <w:tcW w:w="3103" w:type="dxa"/>
          </w:tcPr>
          <w:p w14:paraId="4111DD1C" w14:textId="77777777" w:rsidR="00395D51" w:rsidRDefault="00395D51" w:rsidP="0022252C">
            <w:pPr>
              <w:contextualSpacing/>
              <w:jc w:val="both"/>
              <w:rPr>
                <w:rFonts w:ascii="Arial" w:eastAsia="Calibri" w:hAnsi="Arial" w:cs="Arial"/>
              </w:rPr>
            </w:pPr>
          </w:p>
        </w:tc>
        <w:tc>
          <w:tcPr>
            <w:tcW w:w="1559" w:type="dxa"/>
          </w:tcPr>
          <w:p w14:paraId="655C4952" w14:textId="77777777" w:rsidR="00395D51" w:rsidRDefault="00395D51" w:rsidP="0022252C">
            <w:pPr>
              <w:contextualSpacing/>
              <w:jc w:val="both"/>
              <w:rPr>
                <w:rFonts w:ascii="Arial" w:eastAsia="Calibri" w:hAnsi="Arial" w:cs="Arial"/>
              </w:rPr>
            </w:pPr>
          </w:p>
        </w:tc>
        <w:tc>
          <w:tcPr>
            <w:tcW w:w="1417" w:type="dxa"/>
          </w:tcPr>
          <w:p w14:paraId="2075C567" w14:textId="77777777" w:rsidR="00395D51" w:rsidRDefault="00395D51" w:rsidP="0022252C">
            <w:pPr>
              <w:contextualSpacing/>
              <w:jc w:val="both"/>
              <w:rPr>
                <w:rFonts w:ascii="Arial" w:eastAsia="Calibri" w:hAnsi="Arial" w:cs="Arial"/>
              </w:rPr>
            </w:pPr>
          </w:p>
        </w:tc>
      </w:tr>
      <w:tr w:rsidR="00395D51" w14:paraId="69F1AA20" w14:textId="77777777" w:rsidTr="0022252C">
        <w:tc>
          <w:tcPr>
            <w:tcW w:w="3103" w:type="dxa"/>
          </w:tcPr>
          <w:p w14:paraId="0E72A64D" w14:textId="77777777" w:rsidR="00395D51" w:rsidRDefault="00395D51" w:rsidP="0022252C">
            <w:pPr>
              <w:contextualSpacing/>
              <w:jc w:val="both"/>
              <w:rPr>
                <w:rFonts w:ascii="Arial" w:eastAsia="Calibri" w:hAnsi="Arial" w:cs="Arial"/>
              </w:rPr>
            </w:pPr>
          </w:p>
        </w:tc>
        <w:tc>
          <w:tcPr>
            <w:tcW w:w="1559" w:type="dxa"/>
          </w:tcPr>
          <w:p w14:paraId="5F629C9B" w14:textId="77777777" w:rsidR="00395D51" w:rsidRDefault="00395D51" w:rsidP="0022252C">
            <w:pPr>
              <w:contextualSpacing/>
              <w:jc w:val="both"/>
              <w:rPr>
                <w:rFonts w:ascii="Arial" w:eastAsia="Calibri" w:hAnsi="Arial" w:cs="Arial"/>
              </w:rPr>
            </w:pPr>
          </w:p>
        </w:tc>
        <w:tc>
          <w:tcPr>
            <w:tcW w:w="1417" w:type="dxa"/>
          </w:tcPr>
          <w:p w14:paraId="651ECED5" w14:textId="77777777" w:rsidR="00395D51" w:rsidRDefault="00395D51" w:rsidP="0022252C">
            <w:pPr>
              <w:contextualSpacing/>
              <w:jc w:val="both"/>
              <w:rPr>
                <w:rFonts w:ascii="Arial" w:eastAsia="Calibri" w:hAnsi="Arial" w:cs="Arial"/>
              </w:rPr>
            </w:pPr>
          </w:p>
        </w:tc>
      </w:tr>
    </w:tbl>
    <w:p w14:paraId="77188B47" w14:textId="77777777" w:rsidR="003B4130" w:rsidRPr="00045B8B" w:rsidRDefault="003B4130" w:rsidP="00395D51">
      <w:pPr>
        <w:pStyle w:val="BodyText"/>
        <w:ind w:left="454"/>
        <w:jc w:val="both"/>
        <w:rPr>
          <w:rFonts w:ascii="Arial" w:hAnsi="Arial" w:cs="Arial"/>
          <w:color w:val="FF0000"/>
          <w:lang w:val="en-GB"/>
        </w:rPr>
      </w:pPr>
    </w:p>
    <w:p w14:paraId="03A41417"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48A35C0B"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3E0EF9D9"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5F93CA3A"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18A3446A" w14:textId="77777777" w:rsidTr="00792936">
        <w:tc>
          <w:tcPr>
            <w:tcW w:w="4156" w:type="dxa"/>
          </w:tcPr>
          <w:p w14:paraId="43C20F7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06D79CB3"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1163E096" w14:textId="77777777" w:rsidTr="00792936">
        <w:tc>
          <w:tcPr>
            <w:tcW w:w="4156" w:type="dxa"/>
          </w:tcPr>
          <w:p w14:paraId="4A8451A0"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513C4D07"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E302BC3" w14:textId="77777777" w:rsidTr="00792936">
        <w:tc>
          <w:tcPr>
            <w:tcW w:w="4156" w:type="dxa"/>
          </w:tcPr>
          <w:p w14:paraId="3FAB8234"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31AEE912"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390B919C"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0BDDE93D"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2AF75F23" w14:textId="77777777" w:rsidTr="00B902A1">
        <w:tc>
          <w:tcPr>
            <w:tcW w:w="1872" w:type="dxa"/>
          </w:tcPr>
          <w:p w14:paraId="5B497B49"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2D0B8D3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2F354DD3"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29D38B2A" w14:textId="77777777" w:rsidTr="00B902A1">
        <w:tc>
          <w:tcPr>
            <w:tcW w:w="1872" w:type="dxa"/>
          </w:tcPr>
          <w:p w14:paraId="6F098021"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5A855797"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487E2162"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21518847" w14:textId="77777777" w:rsidTr="00B902A1">
        <w:tc>
          <w:tcPr>
            <w:tcW w:w="1872" w:type="dxa"/>
          </w:tcPr>
          <w:p w14:paraId="338E869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7DCD97B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341E095"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7480E20" w14:textId="77777777" w:rsidTr="00B902A1">
        <w:tc>
          <w:tcPr>
            <w:tcW w:w="1872" w:type="dxa"/>
          </w:tcPr>
          <w:p w14:paraId="4FE5BE9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3BCDACE7"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5C6EF20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59C214C2" w14:textId="77777777" w:rsidTr="00B902A1">
        <w:tc>
          <w:tcPr>
            <w:tcW w:w="1872" w:type="dxa"/>
          </w:tcPr>
          <w:p w14:paraId="1252A6B6"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07D259B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BC9049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05A332A4"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0DA8116"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39971C15"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751D2B77"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7B196C43"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2DB85D65" w14:textId="77777777" w:rsidTr="00AB2B10">
        <w:tc>
          <w:tcPr>
            <w:tcW w:w="7512" w:type="dxa"/>
          </w:tcPr>
          <w:p w14:paraId="195B463F"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DA294C2"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131C752"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7087E845" w14:textId="77777777" w:rsidTr="00AB2B10">
        <w:tc>
          <w:tcPr>
            <w:tcW w:w="7512" w:type="dxa"/>
          </w:tcPr>
          <w:p w14:paraId="14E3C5E8"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012C2370" w14:textId="77777777" w:rsidR="00792936" w:rsidRDefault="00792936" w:rsidP="00D440C1">
            <w:pPr>
              <w:jc w:val="both"/>
              <w:rPr>
                <w:rFonts w:ascii="Arial" w:eastAsia="Times New Roman" w:hAnsi="Arial" w:cs="Arial"/>
                <w:lang w:val="en-GB" w:eastAsia="en-ZA" w:bidi="hi-IN"/>
              </w:rPr>
            </w:pPr>
          </w:p>
        </w:tc>
        <w:tc>
          <w:tcPr>
            <w:tcW w:w="704" w:type="dxa"/>
          </w:tcPr>
          <w:p w14:paraId="15581E1C" w14:textId="77777777" w:rsidR="00792936" w:rsidRDefault="00792936" w:rsidP="00D440C1">
            <w:pPr>
              <w:jc w:val="both"/>
              <w:rPr>
                <w:rFonts w:ascii="Arial" w:eastAsia="Times New Roman" w:hAnsi="Arial" w:cs="Arial"/>
                <w:lang w:val="en-GB" w:eastAsia="en-ZA" w:bidi="hi-IN"/>
              </w:rPr>
            </w:pPr>
          </w:p>
        </w:tc>
      </w:tr>
      <w:tr w:rsidR="00AB2B10" w14:paraId="4F48063F" w14:textId="77777777" w:rsidTr="00AB2B10">
        <w:tc>
          <w:tcPr>
            <w:tcW w:w="7512" w:type="dxa"/>
          </w:tcPr>
          <w:p w14:paraId="28E68B14"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723EA1" w14:textId="77777777" w:rsidR="00AB2B10" w:rsidRDefault="00AB2B10" w:rsidP="00D440C1">
            <w:pPr>
              <w:jc w:val="both"/>
              <w:rPr>
                <w:rFonts w:ascii="Arial" w:eastAsia="Times New Roman" w:hAnsi="Arial" w:cs="Arial"/>
                <w:lang w:val="en-GB" w:eastAsia="en-ZA" w:bidi="hi-IN"/>
              </w:rPr>
            </w:pPr>
          </w:p>
        </w:tc>
        <w:tc>
          <w:tcPr>
            <w:tcW w:w="704" w:type="dxa"/>
          </w:tcPr>
          <w:p w14:paraId="4CD98173" w14:textId="77777777" w:rsidR="00AB2B10" w:rsidRDefault="00AB2B10" w:rsidP="00D440C1">
            <w:pPr>
              <w:jc w:val="both"/>
              <w:rPr>
                <w:rFonts w:ascii="Arial" w:eastAsia="Times New Roman" w:hAnsi="Arial" w:cs="Arial"/>
                <w:lang w:val="en-GB" w:eastAsia="en-ZA" w:bidi="hi-IN"/>
              </w:rPr>
            </w:pPr>
          </w:p>
        </w:tc>
      </w:tr>
      <w:tr w:rsidR="00F730FA" w14:paraId="080B5E5F" w14:textId="77777777" w:rsidTr="00AB2B10">
        <w:tc>
          <w:tcPr>
            <w:tcW w:w="7512" w:type="dxa"/>
          </w:tcPr>
          <w:p w14:paraId="1924873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29631049" w14:textId="77777777" w:rsidR="00F730FA" w:rsidRDefault="00F730FA" w:rsidP="00D440C1">
            <w:pPr>
              <w:jc w:val="both"/>
              <w:rPr>
                <w:rFonts w:ascii="Arial" w:eastAsia="Times New Roman" w:hAnsi="Arial" w:cs="Arial"/>
                <w:lang w:val="en-GB" w:eastAsia="en-ZA" w:bidi="hi-IN"/>
              </w:rPr>
            </w:pPr>
          </w:p>
        </w:tc>
        <w:tc>
          <w:tcPr>
            <w:tcW w:w="704" w:type="dxa"/>
          </w:tcPr>
          <w:p w14:paraId="58747DCF" w14:textId="77777777" w:rsidR="00F730FA" w:rsidRDefault="00F730FA" w:rsidP="00D440C1">
            <w:pPr>
              <w:jc w:val="both"/>
              <w:rPr>
                <w:rFonts w:ascii="Arial" w:eastAsia="Times New Roman" w:hAnsi="Arial" w:cs="Arial"/>
                <w:lang w:val="en-GB" w:eastAsia="en-ZA" w:bidi="hi-IN"/>
              </w:rPr>
            </w:pPr>
          </w:p>
        </w:tc>
      </w:tr>
      <w:tr w:rsidR="005A0609" w14:paraId="6900D8D2" w14:textId="77777777" w:rsidTr="00AB2B10">
        <w:tc>
          <w:tcPr>
            <w:tcW w:w="7512" w:type="dxa"/>
          </w:tcPr>
          <w:p w14:paraId="373012C4"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4A4CC225" w14:textId="77777777" w:rsidR="005A0609" w:rsidRDefault="005A0609" w:rsidP="00D440C1">
            <w:pPr>
              <w:jc w:val="both"/>
              <w:rPr>
                <w:rFonts w:ascii="Arial" w:eastAsia="Times New Roman" w:hAnsi="Arial" w:cs="Arial"/>
                <w:lang w:val="en-GB" w:eastAsia="en-ZA" w:bidi="hi-IN"/>
              </w:rPr>
            </w:pPr>
          </w:p>
        </w:tc>
        <w:tc>
          <w:tcPr>
            <w:tcW w:w="704" w:type="dxa"/>
          </w:tcPr>
          <w:p w14:paraId="7DC0D037" w14:textId="77777777" w:rsidR="005A0609" w:rsidRDefault="005A0609" w:rsidP="00D440C1">
            <w:pPr>
              <w:jc w:val="both"/>
              <w:rPr>
                <w:rFonts w:ascii="Arial" w:eastAsia="Times New Roman" w:hAnsi="Arial" w:cs="Arial"/>
                <w:lang w:val="en-GB" w:eastAsia="en-ZA" w:bidi="hi-IN"/>
              </w:rPr>
            </w:pPr>
          </w:p>
        </w:tc>
      </w:tr>
    </w:tbl>
    <w:p w14:paraId="608AE074"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AD1BF1F"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6B9DE133"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22D552AC"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CD14EBF"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4C6F36B"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05B17554" w14:textId="77777777" w:rsidTr="00913877">
        <w:tc>
          <w:tcPr>
            <w:tcW w:w="1720" w:type="dxa"/>
          </w:tcPr>
          <w:p w14:paraId="4F75176D"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5A109C5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4A4ABD73"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3052CAAE"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336503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5B5A4AE4" w14:textId="77777777" w:rsidTr="00913877">
        <w:tc>
          <w:tcPr>
            <w:tcW w:w="1720" w:type="dxa"/>
          </w:tcPr>
          <w:p w14:paraId="03EED57C"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7C80B1D6"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70335CF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D837F0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8ACE1AC"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5DA7EF5A" w14:textId="77777777" w:rsidTr="00913877">
        <w:tc>
          <w:tcPr>
            <w:tcW w:w="1720" w:type="dxa"/>
          </w:tcPr>
          <w:p w14:paraId="31F7EAA4"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EF158F1"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BEDD457"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DF7EFB0"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BB303DC" w14:textId="77777777" w:rsidR="00913877" w:rsidRPr="003B4130" w:rsidRDefault="00913877" w:rsidP="00DA72C3">
            <w:pPr>
              <w:spacing w:before="60" w:after="0" w:line="240" w:lineRule="auto"/>
              <w:contextualSpacing/>
              <w:jc w:val="both"/>
              <w:rPr>
                <w:rFonts w:ascii="Arial" w:eastAsia="Calibri" w:hAnsi="Arial" w:cs="Arial"/>
                <w:b/>
              </w:rPr>
            </w:pPr>
          </w:p>
        </w:tc>
      </w:tr>
    </w:tbl>
    <w:p w14:paraId="0E964722"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3633AB5C"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7741B140"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E39D35F"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7B6EA55F"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5ECB20C0"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31B44DAD"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09E057BF" w14:textId="77777777" w:rsidTr="007120D1">
        <w:tc>
          <w:tcPr>
            <w:tcW w:w="5954" w:type="dxa"/>
            <w:tcBorders>
              <w:top w:val="single" w:sz="12" w:space="0" w:color="auto"/>
              <w:bottom w:val="single" w:sz="12" w:space="0" w:color="auto"/>
            </w:tcBorders>
            <w:shd w:val="clear" w:color="auto" w:fill="C4BC96" w:themeFill="background2" w:themeFillShade="BF"/>
          </w:tcPr>
          <w:p w14:paraId="6D14BD3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4FABB8E0"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3E145B4F" w14:textId="77777777" w:rsidTr="00913877">
        <w:trPr>
          <w:trHeight w:val="221"/>
        </w:trPr>
        <w:tc>
          <w:tcPr>
            <w:tcW w:w="5954" w:type="dxa"/>
            <w:tcBorders>
              <w:top w:val="nil"/>
            </w:tcBorders>
          </w:tcPr>
          <w:p w14:paraId="7E930337"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68EF4419" w14:textId="77777777" w:rsidR="00DF6406" w:rsidRPr="007120D1" w:rsidRDefault="00DF6406" w:rsidP="00DF6406">
            <w:pPr>
              <w:rPr>
                <w:sz w:val="16"/>
              </w:rPr>
            </w:pPr>
          </w:p>
        </w:tc>
      </w:tr>
      <w:tr w:rsidR="00DF6406" w:rsidRPr="003B4130" w14:paraId="586B4324" w14:textId="77777777" w:rsidTr="007120D1">
        <w:tc>
          <w:tcPr>
            <w:tcW w:w="5954" w:type="dxa"/>
            <w:tcBorders>
              <w:top w:val="nil"/>
            </w:tcBorders>
          </w:tcPr>
          <w:p w14:paraId="2DFFB294"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4572992E" w14:textId="77777777" w:rsidR="00DF6406" w:rsidRPr="007120D1" w:rsidRDefault="00DF6406" w:rsidP="00DF6406">
            <w:pPr>
              <w:rPr>
                <w:sz w:val="16"/>
              </w:rPr>
            </w:pPr>
          </w:p>
        </w:tc>
      </w:tr>
      <w:tr w:rsidR="00DF6406" w:rsidRPr="003B4130" w14:paraId="107A68F4" w14:textId="77777777" w:rsidTr="007120D1">
        <w:tc>
          <w:tcPr>
            <w:tcW w:w="5954" w:type="dxa"/>
            <w:tcBorders>
              <w:top w:val="nil"/>
            </w:tcBorders>
          </w:tcPr>
          <w:p w14:paraId="25FB9638"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3FBEA987" w14:textId="77777777" w:rsidR="00DF6406" w:rsidRPr="007120D1" w:rsidRDefault="00DF6406" w:rsidP="00DF6406">
            <w:pPr>
              <w:rPr>
                <w:sz w:val="16"/>
              </w:rPr>
            </w:pPr>
          </w:p>
        </w:tc>
      </w:tr>
      <w:tr w:rsidR="00DF6406" w:rsidRPr="003B4130" w14:paraId="7BB15F30" w14:textId="77777777" w:rsidTr="007120D1">
        <w:tc>
          <w:tcPr>
            <w:tcW w:w="5954" w:type="dxa"/>
            <w:tcBorders>
              <w:top w:val="nil"/>
            </w:tcBorders>
          </w:tcPr>
          <w:p w14:paraId="4319020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316E9E08" w14:textId="77777777" w:rsidR="00DF6406" w:rsidRPr="007120D1" w:rsidRDefault="00DF6406" w:rsidP="00DF6406">
            <w:pPr>
              <w:rPr>
                <w:sz w:val="16"/>
              </w:rPr>
            </w:pPr>
          </w:p>
        </w:tc>
      </w:tr>
      <w:tr w:rsidR="00DF6406" w:rsidRPr="003B4130" w14:paraId="0CEBCC48" w14:textId="77777777" w:rsidTr="007120D1">
        <w:trPr>
          <w:trHeight w:val="267"/>
        </w:trPr>
        <w:tc>
          <w:tcPr>
            <w:tcW w:w="5954" w:type="dxa"/>
            <w:tcBorders>
              <w:top w:val="nil"/>
            </w:tcBorders>
          </w:tcPr>
          <w:p w14:paraId="5E9D9CD0"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F95B273" w14:textId="77777777" w:rsidR="00DF6406" w:rsidRPr="007120D1" w:rsidRDefault="00DF6406" w:rsidP="00DF6406">
            <w:pPr>
              <w:rPr>
                <w:sz w:val="16"/>
              </w:rPr>
            </w:pPr>
          </w:p>
        </w:tc>
      </w:tr>
      <w:tr w:rsidR="000D7ED0" w:rsidRPr="003B4130" w14:paraId="49165BF4" w14:textId="77777777" w:rsidTr="007120D1">
        <w:trPr>
          <w:trHeight w:val="267"/>
        </w:trPr>
        <w:tc>
          <w:tcPr>
            <w:tcW w:w="5954" w:type="dxa"/>
            <w:tcBorders>
              <w:top w:val="nil"/>
            </w:tcBorders>
          </w:tcPr>
          <w:p w14:paraId="4D08AC37"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60C38D73" w14:textId="77777777" w:rsidR="000D7ED0" w:rsidRPr="007120D1" w:rsidRDefault="000D7ED0" w:rsidP="00DF6406">
            <w:pPr>
              <w:rPr>
                <w:sz w:val="16"/>
              </w:rPr>
            </w:pPr>
          </w:p>
        </w:tc>
      </w:tr>
      <w:tr w:rsidR="00EE28FC" w:rsidRPr="003B4130" w14:paraId="3051F8DB" w14:textId="77777777" w:rsidTr="007120D1">
        <w:trPr>
          <w:trHeight w:val="267"/>
        </w:trPr>
        <w:tc>
          <w:tcPr>
            <w:tcW w:w="5954" w:type="dxa"/>
            <w:tcBorders>
              <w:top w:val="nil"/>
            </w:tcBorders>
          </w:tcPr>
          <w:p w14:paraId="79D27E0C"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1B3A8D78" w14:textId="77777777" w:rsidR="00EE28FC" w:rsidRPr="007120D1" w:rsidRDefault="00EE28FC" w:rsidP="00DF6406">
            <w:pPr>
              <w:rPr>
                <w:sz w:val="16"/>
              </w:rPr>
            </w:pPr>
          </w:p>
        </w:tc>
      </w:tr>
      <w:tr w:rsidR="00DF6406" w:rsidRPr="003B4130" w14:paraId="46B1015F" w14:textId="77777777" w:rsidTr="007120D1">
        <w:tc>
          <w:tcPr>
            <w:tcW w:w="5954" w:type="dxa"/>
            <w:tcBorders>
              <w:top w:val="nil"/>
            </w:tcBorders>
          </w:tcPr>
          <w:p w14:paraId="53C4AF3E"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3B83B48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0BE3749B" w14:textId="77777777" w:rsidTr="007120D1">
        <w:tc>
          <w:tcPr>
            <w:tcW w:w="5954" w:type="dxa"/>
          </w:tcPr>
          <w:p w14:paraId="0F8E760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675390B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0803FF5" w14:textId="77777777" w:rsidTr="007120D1">
        <w:tc>
          <w:tcPr>
            <w:tcW w:w="5954" w:type="dxa"/>
          </w:tcPr>
          <w:p w14:paraId="2FFD13A9"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AE7FA76"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54F90BF" w14:textId="77777777" w:rsidTr="007120D1">
        <w:tc>
          <w:tcPr>
            <w:tcW w:w="5954" w:type="dxa"/>
          </w:tcPr>
          <w:p w14:paraId="63227198"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3B6CBB0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A27FCC9" w14:textId="77777777" w:rsidTr="007120D1">
        <w:tc>
          <w:tcPr>
            <w:tcW w:w="5954" w:type="dxa"/>
          </w:tcPr>
          <w:p w14:paraId="6870D8B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4C378CF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6BA8F155" w14:textId="77777777" w:rsidTr="007120D1">
        <w:tc>
          <w:tcPr>
            <w:tcW w:w="5954" w:type="dxa"/>
          </w:tcPr>
          <w:p w14:paraId="3B1953B5"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55AD126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750A120C" w14:textId="77777777" w:rsidTr="007120D1">
        <w:tc>
          <w:tcPr>
            <w:tcW w:w="5954" w:type="dxa"/>
          </w:tcPr>
          <w:p w14:paraId="4B3F2EE2"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51F6683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07A2F748" w14:textId="77777777" w:rsidTr="007120D1">
        <w:tc>
          <w:tcPr>
            <w:tcW w:w="5954" w:type="dxa"/>
          </w:tcPr>
          <w:p w14:paraId="1E635C69"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64DCD9F8"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6E8E1263" w14:textId="77777777" w:rsidTr="007120D1">
        <w:tc>
          <w:tcPr>
            <w:tcW w:w="5954" w:type="dxa"/>
          </w:tcPr>
          <w:p w14:paraId="11F5461F"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098FD940"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300415E0" w14:textId="77777777" w:rsidTr="007120D1">
        <w:tc>
          <w:tcPr>
            <w:tcW w:w="5954" w:type="dxa"/>
          </w:tcPr>
          <w:p w14:paraId="5B644B43"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31A82760"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1AFB662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398A4BDE"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098D66D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10AFA5E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3D7CF15A"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7D43E062"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27C7F909"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DA98CC3"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2C89DB0D"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3F13AAE" w14:textId="77777777" w:rsidTr="00591B67">
        <w:tc>
          <w:tcPr>
            <w:tcW w:w="2151" w:type="dxa"/>
            <w:shd w:val="clear" w:color="auto" w:fill="D9D9D9" w:themeFill="background1" w:themeFillShade="D9"/>
          </w:tcPr>
          <w:p w14:paraId="3FA53CC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41190A2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78A6BFD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301BC214"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1EE8593" w14:textId="77777777" w:rsidTr="00591B67">
        <w:tc>
          <w:tcPr>
            <w:tcW w:w="2151" w:type="dxa"/>
          </w:tcPr>
          <w:p w14:paraId="4864EEA4" w14:textId="77777777" w:rsidR="003A2243" w:rsidRDefault="003A2243" w:rsidP="00D440C1">
            <w:pPr>
              <w:jc w:val="both"/>
              <w:rPr>
                <w:rFonts w:ascii="Arial" w:eastAsia="Times New Roman" w:hAnsi="Arial" w:cs="Arial"/>
                <w:lang w:val="en-GB" w:eastAsia="en-ZA" w:bidi="hi-IN"/>
              </w:rPr>
            </w:pPr>
          </w:p>
        </w:tc>
        <w:tc>
          <w:tcPr>
            <w:tcW w:w="2149" w:type="dxa"/>
          </w:tcPr>
          <w:p w14:paraId="6323E3B7" w14:textId="77777777" w:rsidR="003A2243" w:rsidRDefault="003A2243" w:rsidP="00D440C1">
            <w:pPr>
              <w:jc w:val="both"/>
              <w:rPr>
                <w:rFonts w:ascii="Arial" w:eastAsia="Times New Roman" w:hAnsi="Arial" w:cs="Arial"/>
                <w:lang w:val="en-GB" w:eastAsia="en-ZA" w:bidi="hi-IN"/>
              </w:rPr>
            </w:pPr>
          </w:p>
        </w:tc>
        <w:tc>
          <w:tcPr>
            <w:tcW w:w="2153" w:type="dxa"/>
          </w:tcPr>
          <w:p w14:paraId="72E3D106" w14:textId="77777777" w:rsidR="003A2243" w:rsidRDefault="003A2243" w:rsidP="00D440C1">
            <w:pPr>
              <w:jc w:val="both"/>
              <w:rPr>
                <w:rFonts w:ascii="Arial" w:eastAsia="Times New Roman" w:hAnsi="Arial" w:cs="Arial"/>
                <w:lang w:val="en-GB" w:eastAsia="en-ZA" w:bidi="hi-IN"/>
              </w:rPr>
            </w:pPr>
          </w:p>
        </w:tc>
        <w:tc>
          <w:tcPr>
            <w:tcW w:w="2193" w:type="dxa"/>
          </w:tcPr>
          <w:p w14:paraId="28D6C273" w14:textId="77777777" w:rsidR="003A2243" w:rsidRDefault="003A2243" w:rsidP="00D440C1">
            <w:pPr>
              <w:jc w:val="both"/>
              <w:rPr>
                <w:rFonts w:ascii="Arial" w:eastAsia="Times New Roman" w:hAnsi="Arial" w:cs="Arial"/>
                <w:lang w:val="en-GB" w:eastAsia="en-ZA" w:bidi="hi-IN"/>
              </w:rPr>
            </w:pPr>
          </w:p>
        </w:tc>
      </w:tr>
      <w:tr w:rsidR="003A2243" w14:paraId="3E8BECD1" w14:textId="77777777" w:rsidTr="00591B67">
        <w:tc>
          <w:tcPr>
            <w:tcW w:w="2151" w:type="dxa"/>
          </w:tcPr>
          <w:p w14:paraId="46874366" w14:textId="77777777" w:rsidR="003A2243" w:rsidRDefault="003A2243" w:rsidP="00D440C1">
            <w:pPr>
              <w:jc w:val="both"/>
              <w:rPr>
                <w:rFonts w:ascii="Arial" w:eastAsia="Times New Roman" w:hAnsi="Arial" w:cs="Arial"/>
                <w:lang w:val="en-GB" w:eastAsia="en-ZA" w:bidi="hi-IN"/>
              </w:rPr>
            </w:pPr>
          </w:p>
        </w:tc>
        <w:tc>
          <w:tcPr>
            <w:tcW w:w="2149" w:type="dxa"/>
          </w:tcPr>
          <w:p w14:paraId="4E318894" w14:textId="77777777" w:rsidR="003A2243" w:rsidRDefault="003A2243" w:rsidP="00D440C1">
            <w:pPr>
              <w:jc w:val="both"/>
              <w:rPr>
                <w:rFonts w:ascii="Arial" w:eastAsia="Times New Roman" w:hAnsi="Arial" w:cs="Arial"/>
                <w:lang w:val="en-GB" w:eastAsia="en-ZA" w:bidi="hi-IN"/>
              </w:rPr>
            </w:pPr>
          </w:p>
        </w:tc>
        <w:tc>
          <w:tcPr>
            <w:tcW w:w="2153" w:type="dxa"/>
          </w:tcPr>
          <w:p w14:paraId="5D517E84" w14:textId="77777777" w:rsidR="003A2243" w:rsidRDefault="003A2243" w:rsidP="00D440C1">
            <w:pPr>
              <w:jc w:val="both"/>
              <w:rPr>
                <w:rFonts w:ascii="Arial" w:eastAsia="Times New Roman" w:hAnsi="Arial" w:cs="Arial"/>
                <w:lang w:val="en-GB" w:eastAsia="en-ZA" w:bidi="hi-IN"/>
              </w:rPr>
            </w:pPr>
          </w:p>
        </w:tc>
        <w:tc>
          <w:tcPr>
            <w:tcW w:w="2193" w:type="dxa"/>
          </w:tcPr>
          <w:p w14:paraId="1A6F653F" w14:textId="77777777" w:rsidR="003A2243" w:rsidRDefault="003A2243" w:rsidP="00D440C1">
            <w:pPr>
              <w:jc w:val="both"/>
              <w:rPr>
                <w:rFonts w:ascii="Arial" w:eastAsia="Times New Roman" w:hAnsi="Arial" w:cs="Arial"/>
                <w:lang w:val="en-GB" w:eastAsia="en-ZA" w:bidi="hi-IN"/>
              </w:rPr>
            </w:pPr>
          </w:p>
        </w:tc>
      </w:tr>
      <w:tr w:rsidR="003A2243" w14:paraId="1CBE95D2" w14:textId="77777777" w:rsidTr="00591B67">
        <w:tc>
          <w:tcPr>
            <w:tcW w:w="2151" w:type="dxa"/>
          </w:tcPr>
          <w:p w14:paraId="1908D9FB" w14:textId="77777777" w:rsidR="003A2243" w:rsidRDefault="003A2243" w:rsidP="00D440C1">
            <w:pPr>
              <w:jc w:val="both"/>
              <w:rPr>
                <w:rFonts w:ascii="Arial" w:eastAsia="Times New Roman" w:hAnsi="Arial" w:cs="Arial"/>
                <w:lang w:val="en-GB" w:eastAsia="en-ZA" w:bidi="hi-IN"/>
              </w:rPr>
            </w:pPr>
          </w:p>
        </w:tc>
        <w:tc>
          <w:tcPr>
            <w:tcW w:w="2149" w:type="dxa"/>
          </w:tcPr>
          <w:p w14:paraId="039F33AD" w14:textId="77777777" w:rsidR="003A2243" w:rsidRDefault="003A2243" w:rsidP="00D440C1">
            <w:pPr>
              <w:jc w:val="both"/>
              <w:rPr>
                <w:rFonts w:ascii="Arial" w:eastAsia="Times New Roman" w:hAnsi="Arial" w:cs="Arial"/>
                <w:lang w:val="en-GB" w:eastAsia="en-ZA" w:bidi="hi-IN"/>
              </w:rPr>
            </w:pPr>
          </w:p>
        </w:tc>
        <w:tc>
          <w:tcPr>
            <w:tcW w:w="2153" w:type="dxa"/>
          </w:tcPr>
          <w:p w14:paraId="0D8E1DE3" w14:textId="77777777" w:rsidR="003A2243" w:rsidRDefault="003A2243" w:rsidP="00D440C1">
            <w:pPr>
              <w:jc w:val="both"/>
              <w:rPr>
                <w:rFonts w:ascii="Arial" w:eastAsia="Times New Roman" w:hAnsi="Arial" w:cs="Arial"/>
                <w:lang w:val="en-GB" w:eastAsia="en-ZA" w:bidi="hi-IN"/>
              </w:rPr>
            </w:pPr>
          </w:p>
        </w:tc>
        <w:tc>
          <w:tcPr>
            <w:tcW w:w="2193" w:type="dxa"/>
          </w:tcPr>
          <w:p w14:paraId="201D3D1F" w14:textId="77777777" w:rsidR="003A2243" w:rsidRDefault="003A2243" w:rsidP="00D440C1">
            <w:pPr>
              <w:jc w:val="both"/>
              <w:rPr>
                <w:rFonts w:ascii="Arial" w:eastAsia="Times New Roman" w:hAnsi="Arial" w:cs="Arial"/>
                <w:lang w:val="en-GB" w:eastAsia="en-ZA" w:bidi="hi-IN"/>
              </w:rPr>
            </w:pPr>
          </w:p>
        </w:tc>
      </w:tr>
      <w:tr w:rsidR="003A2243" w14:paraId="5784E7FA" w14:textId="77777777" w:rsidTr="00591B67">
        <w:tc>
          <w:tcPr>
            <w:tcW w:w="2151" w:type="dxa"/>
          </w:tcPr>
          <w:p w14:paraId="56865EAC" w14:textId="77777777" w:rsidR="003A2243" w:rsidRDefault="003A2243" w:rsidP="00D440C1">
            <w:pPr>
              <w:jc w:val="both"/>
              <w:rPr>
                <w:rFonts w:ascii="Arial" w:eastAsia="Times New Roman" w:hAnsi="Arial" w:cs="Arial"/>
                <w:lang w:val="en-GB" w:eastAsia="en-ZA" w:bidi="hi-IN"/>
              </w:rPr>
            </w:pPr>
          </w:p>
        </w:tc>
        <w:tc>
          <w:tcPr>
            <w:tcW w:w="2149" w:type="dxa"/>
          </w:tcPr>
          <w:p w14:paraId="7BEACDF6" w14:textId="77777777" w:rsidR="003A2243" w:rsidRDefault="003A2243" w:rsidP="00D440C1">
            <w:pPr>
              <w:jc w:val="both"/>
              <w:rPr>
                <w:rFonts w:ascii="Arial" w:eastAsia="Times New Roman" w:hAnsi="Arial" w:cs="Arial"/>
                <w:lang w:val="en-GB" w:eastAsia="en-ZA" w:bidi="hi-IN"/>
              </w:rPr>
            </w:pPr>
          </w:p>
        </w:tc>
        <w:tc>
          <w:tcPr>
            <w:tcW w:w="2153" w:type="dxa"/>
          </w:tcPr>
          <w:p w14:paraId="79EC62A1" w14:textId="77777777" w:rsidR="003A2243" w:rsidRDefault="003A2243" w:rsidP="00D440C1">
            <w:pPr>
              <w:jc w:val="both"/>
              <w:rPr>
                <w:rFonts w:ascii="Arial" w:eastAsia="Times New Roman" w:hAnsi="Arial" w:cs="Arial"/>
                <w:lang w:val="en-GB" w:eastAsia="en-ZA" w:bidi="hi-IN"/>
              </w:rPr>
            </w:pPr>
          </w:p>
        </w:tc>
        <w:tc>
          <w:tcPr>
            <w:tcW w:w="2193" w:type="dxa"/>
          </w:tcPr>
          <w:p w14:paraId="7C90BBE3" w14:textId="77777777" w:rsidR="003A2243" w:rsidRDefault="003A2243" w:rsidP="00D440C1">
            <w:pPr>
              <w:jc w:val="both"/>
              <w:rPr>
                <w:rFonts w:ascii="Arial" w:eastAsia="Times New Roman" w:hAnsi="Arial" w:cs="Arial"/>
                <w:lang w:val="en-GB" w:eastAsia="en-ZA" w:bidi="hi-IN"/>
              </w:rPr>
            </w:pPr>
          </w:p>
        </w:tc>
      </w:tr>
    </w:tbl>
    <w:p w14:paraId="20C44D0C"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25CC7611"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FDA2033"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E121CF1" w14:textId="77777777" w:rsidR="004323B8" w:rsidRDefault="004323B8" w:rsidP="00A726DB">
      <w:pPr>
        <w:rPr>
          <w:rFonts w:ascii="Arial" w:hAnsi="Arial" w:cs="Arial"/>
          <w:i/>
          <w:color w:val="808080" w:themeColor="background1" w:themeShade="80"/>
          <w:sz w:val="14"/>
          <w:highlight w:val="yellow"/>
        </w:rPr>
      </w:pPr>
    </w:p>
    <w:p w14:paraId="77ED3046"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6161EEC1"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05114FBD" w14:textId="77777777" w:rsidR="008D0B2B" w:rsidRPr="008D0B2B" w:rsidRDefault="008D0B2B" w:rsidP="008D0B2B">
      <w:pPr>
        <w:pStyle w:val="BodyText"/>
        <w:rPr>
          <w:lang w:val="en-GB"/>
        </w:rPr>
      </w:pPr>
    </w:p>
    <w:p w14:paraId="042CAF2D"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4148F696"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2728BCE6"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0E38650"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13A4A533"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2E624BDA"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C04B820"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2C185381"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3C485853"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w:t>
      </w:r>
      <w:proofErr w:type="gramStart"/>
      <w:r w:rsidR="00A30417">
        <w:rPr>
          <w:rFonts w:ascii="Arial" w:hAnsi="Arial" w:cs="Arial"/>
          <w:i/>
          <w:color w:val="808080" w:themeColor="background1" w:themeShade="80"/>
          <w:sz w:val="14"/>
          <w:highlight w:val="yellow"/>
        </w:rPr>
        <w:t>statutory;</w:t>
      </w:r>
      <w:proofErr w:type="gramEnd"/>
      <w:r w:rsidR="00A30417">
        <w:rPr>
          <w:rFonts w:ascii="Arial" w:hAnsi="Arial" w:cs="Arial"/>
          <w:i/>
          <w:color w:val="808080" w:themeColor="background1" w:themeShade="80"/>
          <w:sz w:val="14"/>
          <w:highlight w:val="yellow"/>
        </w:rPr>
        <w:t xml:space="preserve"> regulatory and scope of work requirements</w:t>
      </w:r>
    </w:p>
    <w:p w14:paraId="3E714789"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51A35" w14:textId="77777777" w:rsidR="002816FC" w:rsidRDefault="002816FC" w:rsidP="00201A98">
      <w:pPr>
        <w:spacing w:after="0" w:line="240" w:lineRule="auto"/>
      </w:pPr>
      <w:r>
        <w:separator/>
      </w:r>
    </w:p>
  </w:endnote>
  <w:endnote w:type="continuationSeparator" w:id="0">
    <w:p w14:paraId="6E8D511E" w14:textId="77777777" w:rsidR="002816FC" w:rsidRDefault="002816F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5172001C" w14:textId="77777777" w:rsidTr="00EA1B3D">
      <w:tc>
        <w:tcPr>
          <w:tcW w:w="10206" w:type="dxa"/>
          <w:gridSpan w:val="2"/>
          <w:tcBorders>
            <w:top w:val="nil"/>
            <w:left w:val="nil"/>
            <w:bottom w:val="nil"/>
            <w:right w:val="nil"/>
          </w:tcBorders>
          <w:vAlign w:val="center"/>
        </w:tcPr>
        <w:p w14:paraId="621EC4D5"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FFEECED" w14:textId="77777777" w:rsidTr="00EA1B3D">
      <w:tc>
        <w:tcPr>
          <w:tcW w:w="10206" w:type="dxa"/>
          <w:gridSpan w:val="2"/>
          <w:tcBorders>
            <w:top w:val="nil"/>
            <w:left w:val="nil"/>
            <w:bottom w:val="nil"/>
            <w:right w:val="nil"/>
          </w:tcBorders>
        </w:tcPr>
        <w:p w14:paraId="1D7B1F1F"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D29AAB"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18470C0"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7659FC9" w14:textId="77777777" w:rsidR="00C73F1C" w:rsidRDefault="00C73F1C" w:rsidP="00EA1B3D">
          <w:pPr>
            <w:rPr>
              <w:rFonts w:ascii="Arial" w:hAnsi="Arial" w:cs="Arial"/>
              <w:sz w:val="20"/>
              <w:szCs w:val="20"/>
              <w:lang w:val="en-GB"/>
            </w:rPr>
          </w:pPr>
        </w:p>
        <w:p w14:paraId="30AFAC5A" w14:textId="77777777" w:rsidR="00C73F1C" w:rsidRDefault="00C73F1C" w:rsidP="00EA1B3D">
          <w:pPr>
            <w:rPr>
              <w:rFonts w:ascii="Arial" w:hAnsi="Arial" w:cs="Arial"/>
              <w:sz w:val="20"/>
              <w:szCs w:val="20"/>
              <w:lang w:val="en-GB"/>
            </w:rPr>
          </w:pPr>
        </w:p>
        <w:p w14:paraId="5E73B35D" w14:textId="77777777" w:rsidR="00C73F1C" w:rsidRDefault="00C73F1C" w:rsidP="00EA1B3D">
          <w:pPr>
            <w:rPr>
              <w:rFonts w:ascii="Arial" w:hAnsi="Arial" w:cs="Arial"/>
              <w:sz w:val="20"/>
              <w:szCs w:val="20"/>
              <w:lang w:val="en-GB"/>
            </w:rPr>
          </w:pPr>
        </w:p>
        <w:p w14:paraId="17B4D93E" w14:textId="77777777" w:rsidR="00C73F1C" w:rsidRDefault="00C73F1C" w:rsidP="00EA1B3D">
          <w:pPr>
            <w:rPr>
              <w:rFonts w:ascii="Arial" w:hAnsi="Arial" w:cs="Arial"/>
              <w:sz w:val="20"/>
              <w:szCs w:val="20"/>
              <w:lang w:val="en-GB"/>
            </w:rPr>
          </w:pPr>
        </w:p>
      </w:tc>
    </w:tr>
    <w:tr w:rsidR="00C73F1C" w14:paraId="1923C0C3" w14:textId="77777777" w:rsidTr="00EA1B3D">
      <w:tc>
        <w:tcPr>
          <w:tcW w:w="6237" w:type="dxa"/>
          <w:tcBorders>
            <w:top w:val="nil"/>
            <w:left w:val="nil"/>
            <w:bottom w:val="nil"/>
            <w:right w:val="nil"/>
          </w:tcBorders>
          <w:vAlign w:val="center"/>
        </w:tcPr>
        <w:p w14:paraId="41D40BED"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7EDA560A"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0BA6A786"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5003D" w14:textId="77777777" w:rsidR="002816FC" w:rsidRDefault="002816FC" w:rsidP="00201A98">
      <w:pPr>
        <w:spacing w:after="0" w:line="240" w:lineRule="auto"/>
      </w:pPr>
      <w:r>
        <w:separator/>
      </w:r>
    </w:p>
  </w:footnote>
  <w:footnote w:type="continuationSeparator" w:id="0">
    <w:p w14:paraId="07D33F29" w14:textId="77777777" w:rsidR="002816FC" w:rsidRDefault="002816F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307A" w14:textId="77777777" w:rsidR="00C73F1C" w:rsidRDefault="002816FC">
    <w:pPr>
      <w:pStyle w:val="Header"/>
    </w:pPr>
    <w:r>
      <w:rPr>
        <w:noProof/>
      </w:rPr>
      <w:pict w14:anchorId="23B23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7CAE5FC9" w14:textId="77777777" w:rsidTr="00AB6E50">
      <w:trPr>
        <w:cantSplit/>
        <w:trHeight w:val="263"/>
      </w:trPr>
      <w:tc>
        <w:tcPr>
          <w:tcW w:w="2163" w:type="dxa"/>
          <w:vMerge w:val="restart"/>
          <w:vAlign w:val="bottom"/>
        </w:tcPr>
        <w:p w14:paraId="75D5C02A" w14:textId="77777777" w:rsidR="00C73F1C" w:rsidRPr="003914DE" w:rsidRDefault="002816FC" w:rsidP="00EA1B3D">
          <w:pPr>
            <w:spacing w:before="840"/>
            <w:rPr>
              <w:rFonts w:ascii="Arial" w:hAnsi="Arial"/>
              <w:b/>
              <w:lang w:val="en-GB"/>
            </w:rPr>
          </w:pPr>
          <w:r>
            <w:rPr>
              <w:rFonts w:ascii="Arial" w:hAnsi="Arial"/>
              <w:b/>
              <w:lang w:val="en-GB"/>
            </w:rPr>
            <w:object w:dxaOrig="1440" w:dyaOrig="1440" w14:anchorId="0800A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3434875" r:id="rId2"/>
            </w:object>
          </w:r>
        </w:p>
      </w:tc>
      <w:tc>
        <w:tcPr>
          <w:tcW w:w="3224" w:type="dxa"/>
          <w:vMerge w:val="restart"/>
          <w:vAlign w:val="center"/>
        </w:tcPr>
        <w:p w14:paraId="2439FC67"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5F94B9AF"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7A4463D"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24277FEF"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1A63AB46"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2F376D8" w14:textId="77777777" w:rsidTr="00AB6E50">
      <w:trPr>
        <w:cantSplit/>
        <w:trHeight w:val="261"/>
      </w:trPr>
      <w:tc>
        <w:tcPr>
          <w:tcW w:w="2163" w:type="dxa"/>
          <w:vMerge/>
          <w:vAlign w:val="bottom"/>
        </w:tcPr>
        <w:p w14:paraId="489DAD89" w14:textId="77777777" w:rsidR="00C73F1C" w:rsidRPr="003914DE" w:rsidRDefault="00C73F1C" w:rsidP="00EA1B3D">
          <w:pPr>
            <w:spacing w:before="840"/>
            <w:rPr>
              <w:rFonts w:ascii="Arial" w:hAnsi="Arial"/>
              <w:b/>
              <w:lang w:val="en-GB"/>
            </w:rPr>
          </w:pPr>
        </w:p>
      </w:tc>
      <w:tc>
        <w:tcPr>
          <w:tcW w:w="3224" w:type="dxa"/>
          <w:vMerge/>
          <w:vAlign w:val="center"/>
        </w:tcPr>
        <w:p w14:paraId="64174300" w14:textId="77777777" w:rsidR="00C73F1C" w:rsidRPr="003914DE" w:rsidRDefault="00C73F1C" w:rsidP="00EA1B3D">
          <w:pPr>
            <w:jc w:val="center"/>
            <w:rPr>
              <w:rFonts w:ascii="Arial" w:hAnsi="Arial" w:cs="Arial"/>
              <w:b/>
              <w:lang w:val="en-GB"/>
            </w:rPr>
          </w:pPr>
        </w:p>
      </w:tc>
      <w:tc>
        <w:tcPr>
          <w:tcW w:w="2126" w:type="dxa"/>
          <w:vAlign w:val="center"/>
        </w:tcPr>
        <w:p w14:paraId="6B7235DB"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789111E"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00625770"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57C10541"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1FDAF72C" w14:textId="77777777" w:rsidTr="00AB6E50">
      <w:trPr>
        <w:cantSplit/>
        <w:trHeight w:val="261"/>
      </w:trPr>
      <w:tc>
        <w:tcPr>
          <w:tcW w:w="2163" w:type="dxa"/>
          <w:vMerge/>
          <w:vAlign w:val="bottom"/>
        </w:tcPr>
        <w:p w14:paraId="7122F15E" w14:textId="77777777" w:rsidR="00C73F1C" w:rsidRPr="003914DE" w:rsidRDefault="00C73F1C" w:rsidP="00EA1B3D">
          <w:pPr>
            <w:spacing w:before="840"/>
            <w:rPr>
              <w:rFonts w:ascii="Arial" w:hAnsi="Arial"/>
              <w:b/>
              <w:lang w:val="en-GB"/>
            </w:rPr>
          </w:pPr>
        </w:p>
      </w:tc>
      <w:tc>
        <w:tcPr>
          <w:tcW w:w="3224" w:type="dxa"/>
          <w:vMerge/>
          <w:vAlign w:val="center"/>
        </w:tcPr>
        <w:p w14:paraId="64928620" w14:textId="77777777" w:rsidR="00C73F1C" w:rsidRPr="003914DE" w:rsidRDefault="00C73F1C" w:rsidP="00EA1B3D">
          <w:pPr>
            <w:jc w:val="center"/>
            <w:rPr>
              <w:rFonts w:ascii="Arial" w:hAnsi="Arial" w:cs="Arial"/>
              <w:b/>
              <w:lang w:val="en-GB"/>
            </w:rPr>
          </w:pPr>
        </w:p>
      </w:tc>
      <w:tc>
        <w:tcPr>
          <w:tcW w:w="2126" w:type="dxa"/>
          <w:vAlign w:val="center"/>
        </w:tcPr>
        <w:p w14:paraId="643077E1"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3273CF0D"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45EB07DF" w14:textId="77777777" w:rsidTr="00AB6E50">
      <w:trPr>
        <w:cantSplit/>
        <w:trHeight w:hRule="exact" w:val="261"/>
      </w:trPr>
      <w:tc>
        <w:tcPr>
          <w:tcW w:w="2163" w:type="dxa"/>
          <w:vMerge/>
          <w:vAlign w:val="bottom"/>
        </w:tcPr>
        <w:p w14:paraId="2E491778" w14:textId="77777777" w:rsidR="00C73F1C" w:rsidRPr="003914DE" w:rsidRDefault="00C73F1C" w:rsidP="00EA1B3D">
          <w:pPr>
            <w:spacing w:before="840"/>
            <w:rPr>
              <w:rFonts w:ascii="Arial" w:hAnsi="Arial"/>
              <w:b/>
              <w:lang w:val="en-GB"/>
            </w:rPr>
          </w:pPr>
        </w:p>
      </w:tc>
      <w:tc>
        <w:tcPr>
          <w:tcW w:w="3224" w:type="dxa"/>
          <w:vMerge/>
          <w:vAlign w:val="center"/>
        </w:tcPr>
        <w:p w14:paraId="4516312F" w14:textId="77777777" w:rsidR="00C73F1C" w:rsidRPr="003914DE" w:rsidRDefault="00C73F1C" w:rsidP="00EA1B3D">
          <w:pPr>
            <w:jc w:val="center"/>
            <w:rPr>
              <w:rFonts w:ascii="Arial" w:hAnsi="Arial" w:cs="Arial"/>
              <w:b/>
              <w:lang w:val="en-GB"/>
            </w:rPr>
          </w:pPr>
        </w:p>
      </w:tc>
      <w:tc>
        <w:tcPr>
          <w:tcW w:w="2126" w:type="dxa"/>
          <w:vAlign w:val="center"/>
        </w:tcPr>
        <w:p w14:paraId="7F69A2B3"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1293A9F0"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6499CBE1"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C79" w14:textId="77777777" w:rsidR="00C73F1C" w:rsidRDefault="002816FC">
    <w:pPr>
      <w:pStyle w:val="Header"/>
    </w:pPr>
    <w:r>
      <w:rPr>
        <w:noProof/>
      </w:rPr>
      <w:pict w14:anchorId="1B5E1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97854627">
    <w:abstractNumId w:val="9"/>
  </w:num>
  <w:num w:numId="2" w16cid:durableId="1929995849">
    <w:abstractNumId w:val="5"/>
  </w:num>
  <w:num w:numId="3" w16cid:durableId="1390835118">
    <w:abstractNumId w:val="0"/>
  </w:num>
  <w:num w:numId="4" w16cid:durableId="1869447045">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1720220">
    <w:abstractNumId w:val="7"/>
  </w:num>
  <w:num w:numId="6" w16cid:durableId="239292614">
    <w:abstractNumId w:val="6"/>
  </w:num>
  <w:num w:numId="7" w16cid:durableId="592249863">
    <w:abstractNumId w:val="4"/>
  </w:num>
  <w:num w:numId="8" w16cid:durableId="1267928764">
    <w:abstractNumId w:val="3"/>
  </w:num>
  <w:num w:numId="9" w16cid:durableId="1727802235">
    <w:abstractNumId w:val="8"/>
  </w:num>
  <w:num w:numId="10" w16cid:durableId="987367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816FC"/>
    <w:rsid w:val="0029428C"/>
    <w:rsid w:val="002A4DC2"/>
    <w:rsid w:val="002B436B"/>
    <w:rsid w:val="002D175F"/>
    <w:rsid w:val="002F561B"/>
    <w:rsid w:val="003113D9"/>
    <w:rsid w:val="003253D5"/>
    <w:rsid w:val="003304EB"/>
    <w:rsid w:val="00332369"/>
    <w:rsid w:val="00334A31"/>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4422A"/>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C446A"/>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D79E8"/>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1980</Words>
  <Characters>11754</Characters>
  <Application>Microsoft Office Word</Application>
  <DocSecurity>0</DocSecurity>
  <Lines>381</Lines>
  <Paragraphs>175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Constance Sekhuto</cp:lastModifiedBy>
  <cp:revision>3</cp:revision>
  <dcterms:created xsi:type="dcterms:W3CDTF">2026-02-24T08:41:00Z</dcterms:created>
  <dcterms:modified xsi:type="dcterms:W3CDTF">2026-02-24T08:41:00Z</dcterms:modified>
</cp:coreProperties>
</file>