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63E6C" w14:textId="77777777" w:rsidR="008E6DF7" w:rsidRPr="00117F04" w:rsidRDefault="008E6DF7" w:rsidP="00103A72">
      <w:pPr>
        <w:pStyle w:val="Heading1"/>
        <w:numPr>
          <w:ilvl w:val="0"/>
          <w:numId w:val="19"/>
        </w:numPr>
        <w:rPr>
          <w:sz w:val="24"/>
          <w:szCs w:val="24"/>
        </w:rPr>
      </w:pPr>
      <w:bookmarkStart w:id="0" w:name="_Toc145620667"/>
      <w:bookmarkStart w:id="1" w:name="_GoBack"/>
      <w:bookmarkEnd w:id="1"/>
      <w:r w:rsidRPr="00117F04">
        <w:rPr>
          <w:sz w:val="24"/>
          <w:szCs w:val="24"/>
        </w:rPr>
        <w:t>TERMS OF REFERENCE</w:t>
      </w:r>
      <w:r w:rsidR="001131C3">
        <w:rPr>
          <w:sz w:val="24"/>
          <w:szCs w:val="24"/>
        </w:rPr>
        <w:t xml:space="preserve"> </w:t>
      </w:r>
      <w:bookmarkEnd w:id="0"/>
    </w:p>
    <w:p w14:paraId="1CF5AFBF" w14:textId="77777777" w:rsidR="001437F2" w:rsidRPr="00ED6D44" w:rsidRDefault="001437F2" w:rsidP="000249BB">
      <w:pPr>
        <w:rPr>
          <w:rFonts w:ascii="Arial" w:hAnsi="Arial" w:cs="Arial"/>
          <w:b/>
          <w:spacing w:val="-2"/>
          <w:sz w:val="20"/>
          <w:szCs w:val="20"/>
        </w:rPr>
      </w:pPr>
    </w:p>
    <w:p w14:paraId="1863E544" w14:textId="77777777" w:rsidR="00960C24" w:rsidRDefault="00960C24" w:rsidP="000249BB">
      <w:pPr>
        <w:pStyle w:val="ListParagraph"/>
        <w:widowControl/>
        <w:spacing w:line="276" w:lineRule="auto"/>
        <w:ind w:left="709"/>
        <w:jc w:val="both"/>
        <w:rPr>
          <w:rFonts w:ascii="Arial" w:hAnsi="Arial" w:cs="Arial"/>
          <w:b/>
          <w:bCs/>
          <w:sz w:val="20"/>
          <w:szCs w:val="20"/>
          <w:lang w:val="en-ZA"/>
        </w:rPr>
      </w:pPr>
    </w:p>
    <w:p w14:paraId="4B5F21FE" w14:textId="77777777" w:rsidR="00960C24" w:rsidRPr="00FA3A16" w:rsidRDefault="00960C24" w:rsidP="00103A72">
      <w:pPr>
        <w:pStyle w:val="ListParagraph"/>
        <w:widowControl/>
        <w:numPr>
          <w:ilvl w:val="0"/>
          <w:numId w:val="27"/>
        </w:numPr>
        <w:spacing w:line="276" w:lineRule="auto"/>
        <w:ind w:left="709" w:hanging="567"/>
        <w:jc w:val="both"/>
        <w:rPr>
          <w:rFonts w:ascii="Arial" w:hAnsi="Arial" w:cs="Arial"/>
          <w:b/>
          <w:bCs/>
          <w:sz w:val="20"/>
          <w:szCs w:val="20"/>
          <w:lang w:val="en-ZA"/>
        </w:rPr>
      </w:pPr>
      <w:r w:rsidRPr="00FA3A16">
        <w:rPr>
          <w:rFonts w:ascii="Arial" w:hAnsi="Arial" w:cs="Arial"/>
          <w:b/>
          <w:bCs/>
          <w:sz w:val="20"/>
          <w:szCs w:val="20"/>
          <w:lang w:val="en-ZA"/>
        </w:rPr>
        <w:t>Background</w:t>
      </w:r>
    </w:p>
    <w:p w14:paraId="1BA7E145" w14:textId="77777777" w:rsidR="005A06E2" w:rsidRPr="005D0A7A" w:rsidRDefault="005A06E2" w:rsidP="005A06E2">
      <w:pPr>
        <w:spacing w:line="276" w:lineRule="auto"/>
        <w:ind w:left="709"/>
        <w:jc w:val="both"/>
        <w:rPr>
          <w:rFonts w:ascii="Arial" w:hAnsi="Arial" w:cs="Arial"/>
          <w:sz w:val="20"/>
          <w:szCs w:val="20"/>
          <w:lang w:val="en-ZA"/>
        </w:rPr>
      </w:pPr>
      <w:r w:rsidRPr="005D0A7A">
        <w:rPr>
          <w:rFonts w:ascii="Arial" w:hAnsi="Arial" w:cs="Arial"/>
          <w:sz w:val="20"/>
          <w:szCs w:val="20"/>
          <w:lang w:val="en-ZA"/>
        </w:rPr>
        <w:t>UUW is a Schedule 3B entity not funded through the fiscus, ie, UUW is a self-funded entity.</w:t>
      </w:r>
    </w:p>
    <w:p w14:paraId="1279DF4C" w14:textId="77777777" w:rsidR="00960C24" w:rsidRPr="005D0A7A" w:rsidRDefault="005A06E2" w:rsidP="005A06E2">
      <w:pPr>
        <w:spacing w:line="276" w:lineRule="auto"/>
        <w:ind w:left="709"/>
        <w:jc w:val="both"/>
        <w:rPr>
          <w:rFonts w:ascii="Arial" w:hAnsi="Arial" w:cs="Arial"/>
          <w:sz w:val="20"/>
          <w:szCs w:val="20"/>
          <w:lang w:val="en-ZA"/>
        </w:rPr>
      </w:pPr>
      <w:r w:rsidRPr="005D0A7A">
        <w:rPr>
          <w:rFonts w:ascii="Arial" w:hAnsi="Arial" w:cs="Arial"/>
          <w:sz w:val="20"/>
          <w:szCs w:val="20"/>
          <w:lang w:val="en-ZA"/>
        </w:rPr>
        <w:t>On an annual basis the entity calculates the funding requirements net of sales to customers and any grants received to date for developmental projects.  For the year 2025/26 to 2029/30, UUW will be investing up to R22bn in capex projects and will not have raised such funding from tariffs by this time.  Therefore funding from external funders has to be sought. </w:t>
      </w:r>
    </w:p>
    <w:p w14:paraId="6878282B" w14:textId="77777777" w:rsidR="005A06E2" w:rsidRPr="005D0A7A" w:rsidRDefault="005A06E2" w:rsidP="005A06E2">
      <w:pPr>
        <w:spacing w:line="276" w:lineRule="auto"/>
        <w:ind w:left="709"/>
        <w:jc w:val="both"/>
        <w:rPr>
          <w:rFonts w:ascii="Arial" w:hAnsi="Arial" w:cs="Arial"/>
          <w:sz w:val="20"/>
          <w:szCs w:val="20"/>
          <w:lang w:val="en-ZA"/>
        </w:rPr>
      </w:pPr>
    </w:p>
    <w:p w14:paraId="64A9F759" w14:textId="77777777" w:rsidR="00960C24" w:rsidRPr="005D0A7A" w:rsidRDefault="00960C24" w:rsidP="00103A72">
      <w:pPr>
        <w:pStyle w:val="ListParagraph"/>
        <w:widowControl/>
        <w:numPr>
          <w:ilvl w:val="0"/>
          <w:numId w:val="27"/>
        </w:numPr>
        <w:spacing w:line="276" w:lineRule="auto"/>
        <w:ind w:left="709" w:hanging="567"/>
        <w:jc w:val="both"/>
        <w:rPr>
          <w:rFonts w:ascii="Arial" w:hAnsi="Arial" w:cs="Arial"/>
          <w:b/>
          <w:bCs/>
          <w:sz w:val="20"/>
          <w:szCs w:val="20"/>
          <w:lang w:val="en-ZA"/>
        </w:rPr>
      </w:pPr>
      <w:r w:rsidRPr="005D0A7A">
        <w:rPr>
          <w:rFonts w:ascii="Arial" w:hAnsi="Arial" w:cs="Arial"/>
          <w:b/>
          <w:bCs/>
          <w:sz w:val="20"/>
          <w:szCs w:val="20"/>
          <w:lang w:val="en-ZA"/>
        </w:rPr>
        <w:t>Description of services required.</w:t>
      </w:r>
    </w:p>
    <w:p w14:paraId="67830997" w14:textId="77777777" w:rsidR="005A06E2" w:rsidRPr="005D0A7A" w:rsidRDefault="005A06E2" w:rsidP="005A06E2">
      <w:pPr>
        <w:ind w:left="720"/>
        <w:rPr>
          <w:rFonts w:ascii="Arial" w:hAnsi="Arial" w:cs="Arial"/>
          <w:sz w:val="20"/>
          <w:szCs w:val="20"/>
        </w:rPr>
      </w:pPr>
      <w:r w:rsidRPr="005D0A7A">
        <w:rPr>
          <w:rFonts w:ascii="Arial" w:hAnsi="Arial" w:cs="Arial"/>
          <w:sz w:val="20"/>
          <w:szCs w:val="20"/>
        </w:rPr>
        <w:t>Interested financial services providers are requested to submit proposals for the provision of funding including term sheets to meet UUW’s funding requirements per the table below:</w:t>
      </w:r>
    </w:p>
    <w:p w14:paraId="2913D427" w14:textId="77777777" w:rsidR="005A06E2" w:rsidRPr="005D0A7A" w:rsidRDefault="005A06E2" w:rsidP="005A06E2">
      <w:pPr>
        <w:ind w:left="720"/>
        <w:rPr>
          <w:rFonts w:ascii="Arial" w:hAnsi="Arial" w:cs="Arial"/>
          <w:sz w:val="20"/>
          <w:szCs w:val="20"/>
        </w:rPr>
      </w:pPr>
    </w:p>
    <w:p w14:paraId="78BE9E07" w14:textId="77777777" w:rsidR="005A06E2" w:rsidRPr="005D0A7A" w:rsidRDefault="005A06E2" w:rsidP="005A06E2">
      <w:pPr>
        <w:ind w:left="720"/>
        <w:rPr>
          <w:rFonts w:ascii="Arial" w:hAnsi="Arial" w:cs="Arial"/>
          <w:sz w:val="20"/>
          <w:szCs w:val="20"/>
        </w:rPr>
      </w:pPr>
      <w:r w:rsidRPr="005D0A7A">
        <w:rPr>
          <w:rFonts w:ascii="Arial" w:hAnsi="Arial" w:cs="Arial"/>
          <w:b/>
          <w:sz w:val="20"/>
          <w:szCs w:val="20"/>
        </w:rPr>
        <w:t>Funding requirements – 2025 to 2030</w:t>
      </w:r>
    </w:p>
    <w:tbl>
      <w:tblPr>
        <w:tblStyle w:val="PlainTable2"/>
        <w:tblW w:w="5349" w:type="pct"/>
        <w:tblCellMar>
          <w:left w:w="57" w:type="dxa"/>
          <w:right w:w="57" w:type="dxa"/>
        </w:tblCellMar>
        <w:tblLook w:val="04A0" w:firstRow="1" w:lastRow="0" w:firstColumn="1" w:lastColumn="0" w:noHBand="0" w:noVBand="1"/>
      </w:tblPr>
      <w:tblGrid>
        <w:gridCol w:w="3493"/>
        <w:gridCol w:w="120"/>
        <w:gridCol w:w="948"/>
        <w:gridCol w:w="948"/>
        <w:gridCol w:w="120"/>
        <w:gridCol w:w="948"/>
        <w:gridCol w:w="948"/>
        <w:gridCol w:w="948"/>
        <w:gridCol w:w="120"/>
        <w:gridCol w:w="948"/>
        <w:gridCol w:w="120"/>
      </w:tblGrid>
      <w:tr w:rsidR="005A06E2" w:rsidRPr="005D0A7A" w14:paraId="6DEFB579" w14:textId="77777777" w:rsidTr="003958C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08" w:type="pct"/>
            <w:shd w:val="clear" w:color="auto" w:fill="DBE5F1" w:themeFill="accent1" w:themeFillTint="33"/>
            <w:hideMark/>
          </w:tcPr>
          <w:p w14:paraId="43C165C8" w14:textId="77777777" w:rsidR="005A06E2" w:rsidRPr="005D0A7A" w:rsidRDefault="005A06E2" w:rsidP="005A06E2">
            <w:pPr>
              <w:rPr>
                <w:rFonts w:ascii="Arial" w:hAnsi="Arial" w:cs="Arial"/>
                <w:sz w:val="20"/>
                <w:szCs w:val="20"/>
                <w:lang w:eastAsia="en-ZA"/>
              </w:rPr>
            </w:pPr>
            <w:r w:rsidRPr="005D0A7A">
              <w:rPr>
                <w:rFonts w:ascii="Arial" w:hAnsi="Arial" w:cs="Arial"/>
                <w:sz w:val="20"/>
                <w:szCs w:val="20"/>
                <w:lang w:eastAsia="en-ZA"/>
              </w:rPr>
              <w:t>FUNDING REQUIREMENTS</w:t>
            </w:r>
          </w:p>
        </w:tc>
        <w:tc>
          <w:tcPr>
            <w:tcW w:w="62" w:type="pct"/>
            <w:shd w:val="clear" w:color="auto" w:fill="DBE5F1" w:themeFill="accent1" w:themeFillTint="33"/>
            <w:noWrap/>
            <w:hideMark/>
          </w:tcPr>
          <w:p w14:paraId="6D6A9194"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981" w:type="pct"/>
            <w:gridSpan w:val="2"/>
            <w:shd w:val="clear" w:color="auto" w:fill="DBE5F1" w:themeFill="accent1" w:themeFillTint="33"/>
            <w:noWrap/>
            <w:hideMark/>
          </w:tcPr>
          <w:p w14:paraId="2C5FD87F"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Short term</w:t>
            </w:r>
          </w:p>
        </w:tc>
        <w:tc>
          <w:tcPr>
            <w:tcW w:w="62" w:type="pct"/>
            <w:shd w:val="clear" w:color="auto" w:fill="DBE5F1" w:themeFill="accent1" w:themeFillTint="33"/>
            <w:noWrap/>
            <w:hideMark/>
          </w:tcPr>
          <w:p w14:paraId="7401522E"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1472" w:type="pct"/>
            <w:gridSpan w:val="3"/>
            <w:shd w:val="clear" w:color="auto" w:fill="DBE5F1" w:themeFill="accent1" w:themeFillTint="33"/>
            <w:noWrap/>
            <w:hideMark/>
          </w:tcPr>
          <w:p w14:paraId="71BAAAF0"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Medium Term</w:t>
            </w:r>
          </w:p>
        </w:tc>
        <w:tc>
          <w:tcPr>
            <w:tcW w:w="62" w:type="pct"/>
            <w:shd w:val="clear" w:color="auto" w:fill="DBE5F1" w:themeFill="accent1" w:themeFillTint="33"/>
            <w:noWrap/>
            <w:hideMark/>
          </w:tcPr>
          <w:p w14:paraId="213CBFB0"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91" w:type="pct"/>
            <w:shd w:val="clear" w:color="auto" w:fill="DBE5F1" w:themeFill="accent1" w:themeFillTint="33"/>
            <w:hideMark/>
          </w:tcPr>
          <w:p w14:paraId="32927836"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L/Term</w:t>
            </w:r>
          </w:p>
        </w:tc>
        <w:tc>
          <w:tcPr>
            <w:tcW w:w="62" w:type="pct"/>
            <w:shd w:val="clear" w:color="auto" w:fill="DBE5F1" w:themeFill="accent1" w:themeFillTint="33"/>
            <w:noWrap/>
            <w:hideMark/>
          </w:tcPr>
          <w:p w14:paraId="381A8F14"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r>
      <w:tr w:rsidR="005A06E2" w:rsidRPr="005D0A7A" w14:paraId="3900F219" w14:textId="77777777" w:rsidTr="003958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pct"/>
            <w:shd w:val="clear" w:color="auto" w:fill="DBE5F1" w:themeFill="accent1" w:themeFillTint="33"/>
            <w:hideMark/>
          </w:tcPr>
          <w:p w14:paraId="2011E08A" w14:textId="77777777" w:rsidR="005A06E2" w:rsidRPr="005D0A7A" w:rsidRDefault="005A06E2" w:rsidP="005A06E2">
            <w:pPr>
              <w:rPr>
                <w:rFonts w:ascii="Arial" w:hAnsi="Arial" w:cs="Arial"/>
                <w:sz w:val="20"/>
                <w:szCs w:val="20"/>
                <w:lang w:eastAsia="en-ZA"/>
              </w:rPr>
            </w:pPr>
            <w:r w:rsidRPr="005D0A7A">
              <w:rPr>
                <w:rFonts w:ascii="Arial" w:hAnsi="Arial" w:cs="Arial"/>
                <w:sz w:val="20"/>
                <w:szCs w:val="20"/>
                <w:lang w:eastAsia="en-ZA"/>
              </w:rPr>
              <w:t>Financial Year (R'm)</w:t>
            </w:r>
          </w:p>
        </w:tc>
        <w:tc>
          <w:tcPr>
            <w:tcW w:w="62" w:type="pct"/>
            <w:shd w:val="clear" w:color="auto" w:fill="DBE5F1" w:themeFill="accent1" w:themeFillTint="33"/>
            <w:hideMark/>
          </w:tcPr>
          <w:p w14:paraId="68DFD217"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91" w:type="pct"/>
            <w:shd w:val="clear" w:color="auto" w:fill="DBE5F1" w:themeFill="accent1" w:themeFillTint="33"/>
            <w:hideMark/>
          </w:tcPr>
          <w:p w14:paraId="6D8BB2E4"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F25</w:t>
            </w:r>
          </w:p>
        </w:tc>
        <w:tc>
          <w:tcPr>
            <w:tcW w:w="491" w:type="pct"/>
            <w:shd w:val="clear" w:color="auto" w:fill="DBE5F1" w:themeFill="accent1" w:themeFillTint="33"/>
            <w:hideMark/>
          </w:tcPr>
          <w:p w14:paraId="235ABC4E"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F26</w:t>
            </w:r>
          </w:p>
        </w:tc>
        <w:tc>
          <w:tcPr>
            <w:tcW w:w="62" w:type="pct"/>
            <w:shd w:val="clear" w:color="auto" w:fill="DBE5F1" w:themeFill="accent1" w:themeFillTint="33"/>
            <w:hideMark/>
          </w:tcPr>
          <w:p w14:paraId="6AF6D054"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91" w:type="pct"/>
            <w:shd w:val="clear" w:color="auto" w:fill="DBE5F1" w:themeFill="accent1" w:themeFillTint="33"/>
            <w:hideMark/>
          </w:tcPr>
          <w:p w14:paraId="19A3181C"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F27</w:t>
            </w:r>
          </w:p>
        </w:tc>
        <w:tc>
          <w:tcPr>
            <w:tcW w:w="491" w:type="pct"/>
            <w:shd w:val="clear" w:color="auto" w:fill="DBE5F1" w:themeFill="accent1" w:themeFillTint="33"/>
            <w:hideMark/>
          </w:tcPr>
          <w:p w14:paraId="20E0ABBD"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F28</w:t>
            </w:r>
          </w:p>
        </w:tc>
        <w:tc>
          <w:tcPr>
            <w:tcW w:w="491" w:type="pct"/>
            <w:shd w:val="clear" w:color="auto" w:fill="DBE5F1" w:themeFill="accent1" w:themeFillTint="33"/>
            <w:hideMark/>
          </w:tcPr>
          <w:p w14:paraId="662922A9"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F29</w:t>
            </w:r>
          </w:p>
        </w:tc>
        <w:tc>
          <w:tcPr>
            <w:tcW w:w="62" w:type="pct"/>
            <w:shd w:val="clear" w:color="auto" w:fill="DBE5F1" w:themeFill="accent1" w:themeFillTint="33"/>
            <w:hideMark/>
          </w:tcPr>
          <w:p w14:paraId="5323A5A7"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91" w:type="pct"/>
            <w:shd w:val="clear" w:color="auto" w:fill="DBE5F1" w:themeFill="accent1" w:themeFillTint="33"/>
            <w:hideMark/>
          </w:tcPr>
          <w:p w14:paraId="1996E5F7"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F30</w:t>
            </w:r>
          </w:p>
        </w:tc>
        <w:tc>
          <w:tcPr>
            <w:tcW w:w="62" w:type="pct"/>
            <w:shd w:val="clear" w:color="auto" w:fill="DBE5F1" w:themeFill="accent1" w:themeFillTint="33"/>
            <w:hideMark/>
          </w:tcPr>
          <w:p w14:paraId="4D00F698"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r>
      <w:tr w:rsidR="005A06E2" w:rsidRPr="005D0A7A" w14:paraId="314ACFF4" w14:textId="77777777" w:rsidTr="003958CA">
        <w:trPr>
          <w:trHeight w:val="300"/>
        </w:trPr>
        <w:tc>
          <w:tcPr>
            <w:cnfStyle w:val="001000000000" w:firstRow="0" w:lastRow="0" w:firstColumn="1" w:lastColumn="0" w:oddVBand="0" w:evenVBand="0" w:oddHBand="0" w:evenHBand="0" w:firstRowFirstColumn="0" w:firstRowLastColumn="0" w:lastRowFirstColumn="0" w:lastRowLastColumn="0"/>
            <w:tcW w:w="1808" w:type="pct"/>
            <w:noWrap/>
            <w:hideMark/>
          </w:tcPr>
          <w:p w14:paraId="74546A7E" w14:textId="77777777" w:rsidR="005A06E2" w:rsidRPr="005D0A7A" w:rsidRDefault="005A06E2" w:rsidP="005A06E2">
            <w:pPr>
              <w:rPr>
                <w:rFonts w:ascii="Arial" w:hAnsi="Arial" w:cs="Arial"/>
                <w:color w:val="000000"/>
                <w:sz w:val="20"/>
                <w:szCs w:val="20"/>
                <w:lang w:eastAsia="en-ZA"/>
              </w:rPr>
            </w:pPr>
            <w:r w:rsidRPr="005D0A7A">
              <w:rPr>
                <w:rFonts w:ascii="Arial" w:hAnsi="Arial" w:cs="Arial"/>
                <w:color w:val="000000"/>
                <w:sz w:val="20"/>
                <w:szCs w:val="20"/>
                <w:lang w:eastAsia="en-ZA"/>
              </w:rPr>
              <w:t>Operational Cash flows</w:t>
            </w:r>
          </w:p>
        </w:tc>
        <w:tc>
          <w:tcPr>
            <w:tcW w:w="62" w:type="pct"/>
            <w:noWrap/>
            <w:hideMark/>
          </w:tcPr>
          <w:p w14:paraId="65865391" w14:textId="77777777" w:rsidR="005A06E2" w:rsidRPr="005D0A7A" w:rsidRDefault="005A06E2" w:rsidP="005A06E2">
            <w:pPr>
              <w:ind w:firstLineChars="100" w:firstLine="2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491" w:type="pct"/>
            <w:noWrap/>
          </w:tcPr>
          <w:p w14:paraId="6D40BBD0"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1,381</w:t>
            </w:r>
          </w:p>
        </w:tc>
        <w:tc>
          <w:tcPr>
            <w:tcW w:w="491" w:type="pct"/>
            <w:noWrap/>
          </w:tcPr>
          <w:p w14:paraId="6772081B"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1,592</w:t>
            </w:r>
          </w:p>
        </w:tc>
        <w:tc>
          <w:tcPr>
            <w:tcW w:w="62" w:type="pct"/>
            <w:noWrap/>
          </w:tcPr>
          <w:p w14:paraId="1CADE33B"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491" w:type="pct"/>
            <w:noWrap/>
          </w:tcPr>
          <w:p w14:paraId="55F305BB"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2,096</w:t>
            </w:r>
          </w:p>
        </w:tc>
        <w:tc>
          <w:tcPr>
            <w:tcW w:w="491" w:type="pct"/>
            <w:noWrap/>
          </w:tcPr>
          <w:p w14:paraId="672FB2B8"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2,600</w:t>
            </w:r>
          </w:p>
        </w:tc>
        <w:tc>
          <w:tcPr>
            <w:tcW w:w="491" w:type="pct"/>
            <w:noWrap/>
          </w:tcPr>
          <w:p w14:paraId="2BE82A3E"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2,982</w:t>
            </w:r>
          </w:p>
        </w:tc>
        <w:tc>
          <w:tcPr>
            <w:tcW w:w="62" w:type="pct"/>
            <w:noWrap/>
          </w:tcPr>
          <w:p w14:paraId="04A9477F"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491" w:type="pct"/>
            <w:noWrap/>
          </w:tcPr>
          <w:p w14:paraId="6D2884BD"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3,542</w:t>
            </w:r>
          </w:p>
        </w:tc>
        <w:tc>
          <w:tcPr>
            <w:tcW w:w="62" w:type="pct"/>
            <w:noWrap/>
            <w:hideMark/>
          </w:tcPr>
          <w:p w14:paraId="467929F1" w14:textId="77777777" w:rsidR="005A06E2" w:rsidRPr="005D0A7A" w:rsidRDefault="005A06E2" w:rsidP="005A06E2">
            <w:pPr>
              <w:ind w:firstLineChars="100" w:firstLine="2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r>
      <w:tr w:rsidR="005A06E2" w:rsidRPr="005D0A7A" w14:paraId="203CEDDF" w14:textId="77777777" w:rsidTr="003958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pct"/>
            <w:noWrap/>
            <w:hideMark/>
          </w:tcPr>
          <w:p w14:paraId="1E188F78" w14:textId="77777777" w:rsidR="005A06E2" w:rsidRPr="005D0A7A" w:rsidRDefault="005A06E2" w:rsidP="005A06E2">
            <w:pPr>
              <w:rPr>
                <w:rFonts w:ascii="Arial" w:hAnsi="Arial" w:cs="Arial"/>
                <w:color w:val="000000"/>
                <w:sz w:val="20"/>
                <w:szCs w:val="20"/>
                <w:lang w:eastAsia="en-ZA"/>
              </w:rPr>
            </w:pPr>
            <w:r w:rsidRPr="005D0A7A">
              <w:rPr>
                <w:rFonts w:ascii="Arial" w:hAnsi="Arial" w:cs="Arial"/>
                <w:color w:val="000000"/>
                <w:sz w:val="20"/>
                <w:szCs w:val="20"/>
                <w:lang w:eastAsia="en-ZA"/>
              </w:rPr>
              <w:t>CapEx - Gross (Escalated)</w:t>
            </w:r>
          </w:p>
        </w:tc>
        <w:tc>
          <w:tcPr>
            <w:tcW w:w="62" w:type="pct"/>
            <w:noWrap/>
            <w:hideMark/>
          </w:tcPr>
          <w:p w14:paraId="2F44C18A" w14:textId="77777777" w:rsidR="005A06E2" w:rsidRPr="005D0A7A" w:rsidRDefault="005A06E2" w:rsidP="005A06E2">
            <w:pPr>
              <w:ind w:firstLineChars="100" w:firstLine="20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91" w:type="pct"/>
            <w:noWrap/>
          </w:tcPr>
          <w:p w14:paraId="7BC1A7E4" w14:textId="77777777" w:rsidR="005A06E2" w:rsidRPr="005D0A7A" w:rsidRDefault="005A06E2" w:rsidP="005A06E2">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(3,754)</w:t>
            </w:r>
          </w:p>
        </w:tc>
        <w:tc>
          <w:tcPr>
            <w:tcW w:w="491" w:type="pct"/>
            <w:noWrap/>
          </w:tcPr>
          <w:p w14:paraId="4F52D116" w14:textId="77777777" w:rsidR="005A06E2" w:rsidRPr="005D0A7A" w:rsidRDefault="005A06E2" w:rsidP="005A06E2">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(4,596)</w:t>
            </w:r>
          </w:p>
        </w:tc>
        <w:tc>
          <w:tcPr>
            <w:tcW w:w="62" w:type="pct"/>
            <w:noWrap/>
          </w:tcPr>
          <w:p w14:paraId="372C0B30" w14:textId="77777777" w:rsidR="005A06E2" w:rsidRPr="005D0A7A" w:rsidRDefault="005A06E2" w:rsidP="005A06E2">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91" w:type="pct"/>
            <w:noWrap/>
          </w:tcPr>
          <w:p w14:paraId="2FB6143E" w14:textId="77777777" w:rsidR="005A06E2" w:rsidRPr="005D0A7A" w:rsidRDefault="005A06E2" w:rsidP="005A06E2">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(4,334)</w:t>
            </w:r>
          </w:p>
        </w:tc>
        <w:tc>
          <w:tcPr>
            <w:tcW w:w="491" w:type="pct"/>
            <w:noWrap/>
          </w:tcPr>
          <w:p w14:paraId="77336643" w14:textId="77777777" w:rsidR="005A06E2" w:rsidRPr="005D0A7A" w:rsidRDefault="005A06E2" w:rsidP="005A06E2">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(3,599)</w:t>
            </w:r>
          </w:p>
        </w:tc>
        <w:tc>
          <w:tcPr>
            <w:tcW w:w="491" w:type="pct"/>
            <w:noWrap/>
          </w:tcPr>
          <w:p w14:paraId="09E70D15" w14:textId="77777777" w:rsidR="005A06E2" w:rsidRPr="005D0A7A" w:rsidRDefault="005A06E2" w:rsidP="005A06E2">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(3,218)</w:t>
            </w:r>
          </w:p>
        </w:tc>
        <w:tc>
          <w:tcPr>
            <w:tcW w:w="62" w:type="pct"/>
            <w:noWrap/>
          </w:tcPr>
          <w:p w14:paraId="7FED921A" w14:textId="77777777" w:rsidR="005A06E2" w:rsidRPr="005D0A7A" w:rsidRDefault="005A06E2" w:rsidP="005A06E2">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91" w:type="pct"/>
            <w:noWrap/>
          </w:tcPr>
          <w:p w14:paraId="580AE77B" w14:textId="77777777" w:rsidR="005A06E2" w:rsidRPr="005D0A7A" w:rsidRDefault="005A06E2" w:rsidP="005A06E2">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(2,981)</w:t>
            </w:r>
          </w:p>
        </w:tc>
        <w:tc>
          <w:tcPr>
            <w:tcW w:w="62" w:type="pct"/>
            <w:noWrap/>
            <w:hideMark/>
          </w:tcPr>
          <w:p w14:paraId="355F3339" w14:textId="77777777" w:rsidR="005A06E2" w:rsidRPr="005D0A7A" w:rsidRDefault="005A06E2" w:rsidP="005A06E2">
            <w:pPr>
              <w:ind w:firstLineChars="100" w:firstLine="20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r>
      <w:tr w:rsidR="005A06E2" w:rsidRPr="005D0A7A" w14:paraId="516A82E4" w14:textId="77777777" w:rsidTr="003958CA">
        <w:trPr>
          <w:trHeight w:val="300"/>
        </w:trPr>
        <w:tc>
          <w:tcPr>
            <w:cnfStyle w:val="001000000000" w:firstRow="0" w:lastRow="0" w:firstColumn="1" w:lastColumn="0" w:oddVBand="0" w:evenVBand="0" w:oddHBand="0" w:evenHBand="0" w:firstRowFirstColumn="0" w:firstRowLastColumn="0" w:lastRowFirstColumn="0" w:lastRowLastColumn="0"/>
            <w:tcW w:w="1808" w:type="pct"/>
            <w:noWrap/>
            <w:hideMark/>
          </w:tcPr>
          <w:p w14:paraId="5C7E4785" w14:textId="77777777" w:rsidR="005A06E2" w:rsidRPr="005D0A7A" w:rsidRDefault="005A06E2" w:rsidP="005A06E2">
            <w:pPr>
              <w:rPr>
                <w:rFonts w:ascii="Arial" w:hAnsi="Arial" w:cs="Arial"/>
                <w:color w:val="000000"/>
                <w:sz w:val="20"/>
                <w:szCs w:val="20"/>
                <w:lang w:eastAsia="en-ZA"/>
              </w:rPr>
            </w:pPr>
            <w:r w:rsidRPr="005D0A7A">
              <w:rPr>
                <w:rFonts w:ascii="Arial" w:hAnsi="Arial" w:cs="Arial"/>
                <w:color w:val="000000"/>
                <w:sz w:val="20"/>
                <w:szCs w:val="20"/>
                <w:lang w:eastAsia="en-ZA"/>
              </w:rPr>
              <w:t>Net Operating and CapEx cash flow</w:t>
            </w:r>
          </w:p>
        </w:tc>
        <w:tc>
          <w:tcPr>
            <w:tcW w:w="62" w:type="pct"/>
            <w:noWrap/>
            <w:hideMark/>
          </w:tcPr>
          <w:p w14:paraId="738AAC67" w14:textId="77777777" w:rsidR="005A06E2" w:rsidRPr="005D0A7A" w:rsidRDefault="005A06E2" w:rsidP="005A06E2">
            <w:pPr>
              <w:ind w:firstLineChars="100" w:firstLine="2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491" w:type="pct"/>
            <w:noWrap/>
          </w:tcPr>
          <w:p w14:paraId="2A04EB9F"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(2,373)</w:t>
            </w:r>
          </w:p>
        </w:tc>
        <w:tc>
          <w:tcPr>
            <w:tcW w:w="491" w:type="pct"/>
            <w:noWrap/>
          </w:tcPr>
          <w:p w14:paraId="19D00483"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(3,004)</w:t>
            </w:r>
          </w:p>
        </w:tc>
        <w:tc>
          <w:tcPr>
            <w:tcW w:w="62" w:type="pct"/>
            <w:noWrap/>
          </w:tcPr>
          <w:p w14:paraId="5C49CF95"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491" w:type="pct"/>
            <w:noWrap/>
          </w:tcPr>
          <w:p w14:paraId="16AD7799"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(2,238)</w:t>
            </w:r>
          </w:p>
        </w:tc>
        <w:tc>
          <w:tcPr>
            <w:tcW w:w="491" w:type="pct"/>
            <w:noWrap/>
          </w:tcPr>
          <w:p w14:paraId="17D1F4B6"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(999)</w:t>
            </w:r>
          </w:p>
        </w:tc>
        <w:tc>
          <w:tcPr>
            <w:tcW w:w="491" w:type="pct"/>
            <w:noWrap/>
          </w:tcPr>
          <w:p w14:paraId="6CA5B292"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(237)</w:t>
            </w:r>
          </w:p>
        </w:tc>
        <w:tc>
          <w:tcPr>
            <w:tcW w:w="62" w:type="pct"/>
            <w:noWrap/>
          </w:tcPr>
          <w:p w14:paraId="2BC07DAE"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491" w:type="pct"/>
            <w:noWrap/>
          </w:tcPr>
          <w:p w14:paraId="12A252C2"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561</w:t>
            </w:r>
          </w:p>
        </w:tc>
        <w:tc>
          <w:tcPr>
            <w:tcW w:w="62" w:type="pct"/>
            <w:noWrap/>
            <w:hideMark/>
          </w:tcPr>
          <w:p w14:paraId="784D8815" w14:textId="77777777" w:rsidR="005A06E2" w:rsidRPr="005D0A7A" w:rsidRDefault="005A06E2" w:rsidP="005A06E2">
            <w:pPr>
              <w:ind w:firstLineChars="100" w:firstLine="2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r>
      <w:tr w:rsidR="005A06E2" w:rsidRPr="005D0A7A" w14:paraId="04F238DA" w14:textId="77777777" w:rsidTr="003958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08" w:type="pct"/>
            <w:noWrap/>
            <w:hideMark/>
          </w:tcPr>
          <w:p w14:paraId="7E2C4901" w14:textId="77777777" w:rsidR="005A06E2" w:rsidRPr="005D0A7A" w:rsidRDefault="005A06E2" w:rsidP="005A06E2">
            <w:pPr>
              <w:rPr>
                <w:rFonts w:ascii="Arial" w:hAnsi="Arial" w:cs="Arial"/>
                <w:sz w:val="20"/>
                <w:szCs w:val="20"/>
                <w:lang w:eastAsia="en-ZA"/>
              </w:rPr>
            </w:pPr>
          </w:p>
        </w:tc>
        <w:tc>
          <w:tcPr>
            <w:tcW w:w="62" w:type="pct"/>
            <w:noWrap/>
            <w:hideMark/>
          </w:tcPr>
          <w:p w14:paraId="03F9A5F3"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91" w:type="pct"/>
            <w:noWrap/>
            <w:hideMark/>
          </w:tcPr>
          <w:p w14:paraId="1B60150D"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91" w:type="pct"/>
            <w:noWrap/>
            <w:hideMark/>
          </w:tcPr>
          <w:p w14:paraId="501448EC"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62" w:type="pct"/>
            <w:noWrap/>
            <w:hideMark/>
          </w:tcPr>
          <w:p w14:paraId="353E5E3A"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91" w:type="pct"/>
            <w:noWrap/>
            <w:hideMark/>
          </w:tcPr>
          <w:p w14:paraId="34B19E67"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91" w:type="pct"/>
            <w:noWrap/>
            <w:hideMark/>
          </w:tcPr>
          <w:p w14:paraId="1D16AC43"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91" w:type="pct"/>
            <w:noWrap/>
            <w:hideMark/>
          </w:tcPr>
          <w:p w14:paraId="09DB4DD3"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62" w:type="pct"/>
            <w:noWrap/>
            <w:hideMark/>
          </w:tcPr>
          <w:p w14:paraId="3D455611"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91" w:type="pct"/>
            <w:noWrap/>
            <w:hideMark/>
          </w:tcPr>
          <w:p w14:paraId="2803AFC8"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62" w:type="pct"/>
            <w:noWrap/>
            <w:hideMark/>
          </w:tcPr>
          <w:p w14:paraId="307B4AD2"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r>
      <w:tr w:rsidR="005A06E2" w:rsidRPr="005D0A7A" w14:paraId="4D1A0072" w14:textId="77777777" w:rsidTr="003958CA">
        <w:trPr>
          <w:trHeight w:val="300"/>
        </w:trPr>
        <w:tc>
          <w:tcPr>
            <w:cnfStyle w:val="001000000000" w:firstRow="0" w:lastRow="0" w:firstColumn="1" w:lastColumn="0" w:oddVBand="0" w:evenVBand="0" w:oddHBand="0" w:evenHBand="0" w:firstRowFirstColumn="0" w:firstRowLastColumn="0" w:lastRowFirstColumn="0" w:lastRowLastColumn="0"/>
            <w:tcW w:w="1808" w:type="pct"/>
            <w:noWrap/>
            <w:hideMark/>
          </w:tcPr>
          <w:p w14:paraId="5B7BBF83" w14:textId="77777777" w:rsidR="005A06E2" w:rsidRPr="005D0A7A" w:rsidRDefault="005A06E2" w:rsidP="005A06E2">
            <w:pPr>
              <w:rPr>
                <w:rFonts w:ascii="Arial" w:hAnsi="Arial" w:cs="Arial"/>
                <w:color w:val="000000"/>
                <w:sz w:val="20"/>
                <w:szCs w:val="20"/>
                <w:lang w:eastAsia="en-ZA"/>
              </w:rPr>
            </w:pPr>
            <w:r w:rsidRPr="005D0A7A">
              <w:rPr>
                <w:rFonts w:ascii="Arial" w:hAnsi="Arial" w:cs="Arial"/>
                <w:color w:val="000000"/>
                <w:sz w:val="20"/>
                <w:szCs w:val="20"/>
                <w:lang w:eastAsia="en-ZA"/>
              </w:rPr>
              <w:t>To be funded through:</w:t>
            </w:r>
          </w:p>
        </w:tc>
        <w:tc>
          <w:tcPr>
            <w:tcW w:w="62" w:type="pct"/>
            <w:noWrap/>
            <w:hideMark/>
          </w:tcPr>
          <w:p w14:paraId="356EE6E6"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491" w:type="pct"/>
            <w:noWrap/>
            <w:hideMark/>
          </w:tcPr>
          <w:p w14:paraId="7A9CC504"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91" w:type="pct"/>
            <w:noWrap/>
            <w:hideMark/>
          </w:tcPr>
          <w:p w14:paraId="6B3F24E2"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62" w:type="pct"/>
            <w:noWrap/>
            <w:hideMark/>
          </w:tcPr>
          <w:p w14:paraId="7076EACF"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91" w:type="pct"/>
            <w:noWrap/>
            <w:hideMark/>
          </w:tcPr>
          <w:p w14:paraId="1D1AF905"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91" w:type="pct"/>
            <w:noWrap/>
            <w:hideMark/>
          </w:tcPr>
          <w:p w14:paraId="2ECFE4FF"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91" w:type="pct"/>
            <w:noWrap/>
            <w:hideMark/>
          </w:tcPr>
          <w:p w14:paraId="7890DC9B"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62" w:type="pct"/>
            <w:noWrap/>
            <w:hideMark/>
          </w:tcPr>
          <w:p w14:paraId="686C1B92"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91" w:type="pct"/>
            <w:noWrap/>
            <w:hideMark/>
          </w:tcPr>
          <w:p w14:paraId="166A9439"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62" w:type="pct"/>
            <w:noWrap/>
            <w:hideMark/>
          </w:tcPr>
          <w:p w14:paraId="11C4FC91"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r>
      <w:tr w:rsidR="005A06E2" w:rsidRPr="005D0A7A" w14:paraId="0ED88B56" w14:textId="77777777" w:rsidTr="003958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pct"/>
            <w:noWrap/>
            <w:hideMark/>
          </w:tcPr>
          <w:p w14:paraId="798FF0F9" w14:textId="77777777" w:rsidR="005A06E2" w:rsidRPr="005D0A7A" w:rsidRDefault="005A06E2" w:rsidP="005A06E2">
            <w:pPr>
              <w:ind w:firstLineChars="100" w:firstLine="200"/>
              <w:rPr>
                <w:rFonts w:ascii="Arial" w:hAnsi="Arial" w:cs="Arial"/>
                <w:color w:val="000000"/>
                <w:sz w:val="20"/>
                <w:szCs w:val="20"/>
                <w:lang w:eastAsia="en-ZA"/>
              </w:rPr>
            </w:pPr>
            <w:r w:rsidRPr="005D0A7A">
              <w:rPr>
                <w:rFonts w:ascii="Arial" w:hAnsi="Arial" w:cs="Arial"/>
                <w:color w:val="000000"/>
                <w:sz w:val="20"/>
                <w:szCs w:val="20"/>
                <w:lang w:eastAsia="en-ZA"/>
              </w:rPr>
              <w:t>Available investments</w:t>
            </w:r>
          </w:p>
        </w:tc>
        <w:tc>
          <w:tcPr>
            <w:tcW w:w="62" w:type="pct"/>
            <w:noWrap/>
            <w:hideMark/>
          </w:tcPr>
          <w:p w14:paraId="221C7F50" w14:textId="77777777" w:rsidR="005A06E2" w:rsidRPr="005D0A7A" w:rsidRDefault="005A06E2" w:rsidP="005A06E2">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91" w:type="pct"/>
            <w:noWrap/>
            <w:hideMark/>
          </w:tcPr>
          <w:p w14:paraId="3A4CE778"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2,065</w:t>
            </w:r>
          </w:p>
        </w:tc>
        <w:tc>
          <w:tcPr>
            <w:tcW w:w="491" w:type="pct"/>
            <w:noWrap/>
            <w:hideMark/>
          </w:tcPr>
          <w:p w14:paraId="3358C468"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2,243</w:t>
            </w:r>
          </w:p>
        </w:tc>
        <w:tc>
          <w:tcPr>
            <w:tcW w:w="62" w:type="pct"/>
            <w:noWrap/>
            <w:hideMark/>
          </w:tcPr>
          <w:p w14:paraId="6F738D24"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91" w:type="pct"/>
            <w:noWrap/>
            <w:hideMark/>
          </w:tcPr>
          <w:p w14:paraId="3EFA833B"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w:t>
            </w:r>
          </w:p>
        </w:tc>
        <w:tc>
          <w:tcPr>
            <w:tcW w:w="491" w:type="pct"/>
            <w:noWrap/>
            <w:hideMark/>
          </w:tcPr>
          <w:p w14:paraId="2B8950AB"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w:t>
            </w:r>
          </w:p>
        </w:tc>
        <w:tc>
          <w:tcPr>
            <w:tcW w:w="491" w:type="pct"/>
            <w:noWrap/>
            <w:hideMark/>
          </w:tcPr>
          <w:p w14:paraId="4DE8689E"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w:t>
            </w:r>
          </w:p>
        </w:tc>
        <w:tc>
          <w:tcPr>
            <w:tcW w:w="62" w:type="pct"/>
            <w:noWrap/>
            <w:hideMark/>
          </w:tcPr>
          <w:p w14:paraId="68024D96"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91" w:type="pct"/>
            <w:noWrap/>
            <w:hideMark/>
          </w:tcPr>
          <w:p w14:paraId="3B676BAE"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w:t>
            </w:r>
          </w:p>
        </w:tc>
        <w:tc>
          <w:tcPr>
            <w:tcW w:w="62" w:type="pct"/>
            <w:noWrap/>
            <w:hideMark/>
          </w:tcPr>
          <w:p w14:paraId="099AB32D"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r>
      <w:tr w:rsidR="005A06E2" w:rsidRPr="005D0A7A" w14:paraId="1A8DC9ED" w14:textId="77777777" w:rsidTr="003958CA">
        <w:trPr>
          <w:trHeight w:val="300"/>
        </w:trPr>
        <w:tc>
          <w:tcPr>
            <w:cnfStyle w:val="001000000000" w:firstRow="0" w:lastRow="0" w:firstColumn="1" w:lastColumn="0" w:oddVBand="0" w:evenVBand="0" w:oddHBand="0" w:evenHBand="0" w:firstRowFirstColumn="0" w:firstRowLastColumn="0" w:lastRowFirstColumn="0" w:lastRowLastColumn="0"/>
            <w:tcW w:w="1808" w:type="pct"/>
            <w:noWrap/>
            <w:hideMark/>
          </w:tcPr>
          <w:p w14:paraId="24660862" w14:textId="77777777" w:rsidR="005A06E2" w:rsidRPr="005D0A7A" w:rsidRDefault="005A06E2" w:rsidP="005A06E2">
            <w:pPr>
              <w:ind w:firstLineChars="100" w:firstLine="200"/>
              <w:rPr>
                <w:rFonts w:ascii="Arial" w:hAnsi="Arial" w:cs="Arial"/>
                <w:color w:val="000000"/>
                <w:sz w:val="20"/>
                <w:szCs w:val="20"/>
                <w:lang w:eastAsia="en-ZA"/>
              </w:rPr>
            </w:pPr>
            <w:r w:rsidRPr="005D0A7A">
              <w:rPr>
                <w:rFonts w:ascii="Arial" w:hAnsi="Arial" w:cs="Arial"/>
                <w:color w:val="000000"/>
                <w:sz w:val="20"/>
                <w:szCs w:val="20"/>
                <w:lang w:eastAsia="en-ZA"/>
              </w:rPr>
              <w:t>Debt</w:t>
            </w:r>
          </w:p>
        </w:tc>
        <w:tc>
          <w:tcPr>
            <w:tcW w:w="62" w:type="pct"/>
            <w:noWrap/>
            <w:hideMark/>
          </w:tcPr>
          <w:p w14:paraId="795C5C88"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491" w:type="pct"/>
            <w:noWrap/>
            <w:hideMark/>
          </w:tcPr>
          <w:p w14:paraId="6756D1CD"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w:t>
            </w:r>
          </w:p>
        </w:tc>
        <w:tc>
          <w:tcPr>
            <w:tcW w:w="491" w:type="pct"/>
            <w:noWrap/>
            <w:hideMark/>
          </w:tcPr>
          <w:p w14:paraId="08BBA42E"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800</w:t>
            </w:r>
          </w:p>
        </w:tc>
        <w:tc>
          <w:tcPr>
            <w:tcW w:w="62" w:type="pct"/>
            <w:noWrap/>
            <w:hideMark/>
          </w:tcPr>
          <w:p w14:paraId="2196321C"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491" w:type="pct"/>
            <w:noWrap/>
            <w:hideMark/>
          </w:tcPr>
          <w:p w14:paraId="1A0D14E5"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2,000</w:t>
            </w:r>
          </w:p>
        </w:tc>
        <w:tc>
          <w:tcPr>
            <w:tcW w:w="491" w:type="pct"/>
            <w:noWrap/>
            <w:hideMark/>
          </w:tcPr>
          <w:p w14:paraId="02E75BEE"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1,000</w:t>
            </w:r>
          </w:p>
        </w:tc>
        <w:tc>
          <w:tcPr>
            <w:tcW w:w="491" w:type="pct"/>
            <w:noWrap/>
            <w:hideMark/>
          </w:tcPr>
          <w:p w14:paraId="00BE588F"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900</w:t>
            </w:r>
          </w:p>
        </w:tc>
        <w:tc>
          <w:tcPr>
            <w:tcW w:w="62" w:type="pct"/>
            <w:noWrap/>
            <w:hideMark/>
          </w:tcPr>
          <w:p w14:paraId="2158280A"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491" w:type="pct"/>
            <w:noWrap/>
            <w:hideMark/>
          </w:tcPr>
          <w:p w14:paraId="4E04DA0C"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1,000</w:t>
            </w:r>
          </w:p>
        </w:tc>
        <w:tc>
          <w:tcPr>
            <w:tcW w:w="62" w:type="pct"/>
            <w:noWrap/>
            <w:hideMark/>
          </w:tcPr>
          <w:p w14:paraId="2B2DE3ED"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r>
      <w:tr w:rsidR="005A06E2" w:rsidRPr="005D0A7A" w14:paraId="4E2C478E" w14:textId="77777777" w:rsidTr="003958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pct"/>
            <w:noWrap/>
            <w:hideMark/>
          </w:tcPr>
          <w:p w14:paraId="4C883FDF" w14:textId="77777777" w:rsidR="005A06E2" w:rsidRPr="005D0A7A" w:rsidRDefault="005A06E2" w:rsidP="005A06E2">
            <w:pPr>
              <w:ind w:firstLineChars="100" w:firstLine="200"/>
              <w:rPr>
                <w:rFonts w:ascii="Arial" w:hAnsi="Arial" w:cs="Arial"/>
                <w:color w:val="000000"/>
                <w:sz w:val="20"/>
                <w:szCs w:val="20"/>
                <w:lang w:eastAsia="en-ZA"/>
              </w:rPr>
            </w:pPr>
            <w:r w:rsidRPr="005D0A7A">
              <w:rPr>
                <w:rFonts w:ascii="Arial" w:hAnsi="Arial" w:cs="Arial"/>
                <w:color w:val="000000"/>
                <w:sz w:val="20"/>
                <w:szCs w:val="20"/>
                <w:lang w:eastAsia="en-ZA"/>
              </w:rPr>
              <w:t>Grant/Fiscal reimbursement</w:t>
            </w:r>
          </w:p>
        </w:tc>
        <w:tc>
          <w:tcPr>
            <w:tcW w:w="62" w:type="pct"/>
            <w:noWrap/>
            <w:hideMark/>
          </w:tcPr>
          <w:p w14:paraId="22071F63" w14:textId="77777777" w:rsidR="005A06E2" w:rsidRPr="005D0A7A" w:rsidRDefault="005A06E2" w:rsidP="005A06E2">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91" w:type="pct"/>
            <w:noWrap/>
            <w:hideMark/>
          </w:tcPr>
          <w:p w14:paraId="064BD67C"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318</w:t>
            </w:r>
          </w:p>
        </w:tc>
        <w:tc>
          <w:tcPr>
            <w:tcW w:w="491" w:type="pct"/>
            <w:noWrap/>
            <w:hideMark/>
          </w:tcPr>
          <w:p w14:paraId="26700B65"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62" w:type="pct"/>
            <w:noWrap/>
            <w:hideMark/>
          </w:tcPr>
          <w:p w14:paraId="3371EBF2"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91" w:type="pct"/>
            <w:noWrap/>
            <w:hideMark/>
          </w:tcPr>
          <w:p w14:paraId="34757CFB"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408</w:t>
            </w:r>
          </w:p>
        </w:tc>
        <w:tc>
          <w:tcPr>
            <w:tcW w:w="491" w:type="pct"/>
            <w:noWrap/>
            <w:hideMark/>
          </w:tcPr>
          <w:p w14:paraId="1A486966"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408</w:t>
            </w:r>
          </w:p>
        </w:tc>
        <w:tc>
          <w:tcPr>
            <w:tcW w:w="491" w:type="pct"/>
            <w:noWrap/>
            <w:hideMark/>
          </w:tcPr>
          <w:p w14:paraId="67003B14"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408</w:t>
            </w:r>
          </w:p>
        </w:tc>
        <w:tc>
          <w:tcPr>
            <w:tcW w:w="62" w:type="pct"/>
            <w:noWrap/>
            <w:hideMark/>
          </w:tcPr>
          <w:p w14:paraId="0EE763FB"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91" w:type="pct"/>
            <w:noWrap/>
            <w:hideMark/>
          </w:tcPr>
          <w:p w14:paraId="5DF3555F"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408</w:t>
            </w:r>
          </w:p>
        </w:tc>
        <w:tc>
          <w:tcPr>
            <w:tcW w:w="62" w:type="pct"/>
            <w:noWrap/>
            <w:hideMark/>
          </w:tcPr>
          <w:p w14:paraId="5B1EF866"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r>
    </w:tbl>
    <w:p w14:paraId="13C1FF03" w14:textId="77777777" w:rsidR="005A06E2" w:rsidRPr="005D0A7A" w:rsidRDefault="005A06E2" w:rsidP="005A06E2">
      <w:pPr>
        <w:ind w:left="720"/>
        <w:rPr>
          <w:rFonts w:ascii="Arial" w:hAnsi="Arial" w:cs="Arial"/>
          <w:sz w:val="20"/>
          <w:szCs w:val="20"/>
        </w:rPr>
      </w:pPr>
    </w:p>
    <w:p w14:paraId="1460C333" w14:textId="77777777" w:rsidR="005A06E2" w:rsidRPr="005D0A7A" w:rsidRDefault="005A06E2" w:rsidP="005A06E2">
      <w:pPr>
        <w:ind w:left="720"/>
        <w:rPr>
          <w:rFonts w:ascii="Arial" w:hAnsi="Arial" w:cs="Arial"/>
          <w:sz w:val="20"/>
          <w:szCs w:val="20"/>
        </w:rPr>
      </w:pPr>
      <w:r w:rsidRPr="005D0A7A">
        <w:rPr>
          <w:rFonts w:ascii="Arial" w:hAnsi="Arial" w:cs="Arial"/>
          <w:sz w:val="20"/>
          <w:szCs w:val="20"/>
        </w:rPr>
        <w:t>To not breach existing debt covenants, funding is to be drawn down in tranches as follows:</w:t>
      </w:r>
    </w:p>
    <w:p w14:paraId="5F2D3C57" w14:textId="77777777" w:rsidR="005A06E2" w:rsidRPr="005D0A7A" w:rsidRDefault="005A06E2" w:rsidP="00C8079C">
      <w:pPr>
        <w:pStyle w:val="ListParagraph"/>
        <w:widowControl/>
        <w:numPr>
          <w:ilvl w:val="0"/>
          <w:numId w:val="43"/>
        </w:numPr>
        <w:spacing w:after="160" w:line="259" w:lineRule="auto"/>
        <w:ind w:left="1440"/>
        <w:contextualSpacing/>
        <w:rPr>
          <w:rFonts w:ascii="Arial" w:hAnsi="Arial" w:cs="Arial"/>
          <w:sz w:val="20"/>
          <w:szCs w:val="20"/>
        </w:rPr>
      </w:pPr>
      <w:r w:rsidRPr="005D0A7A">
        <w:rPr>
          <w:rFonts w:ascii="Arial" w:hAnsi="Arial" w:cs="Arial"/>
          <w:sz w:val="20"/>
          <w:szCs w:val="20"/>
        </w:rPr>
        <w:t>By 30 June 2026 – R800m</w:t>
      </w:r>
    </w:p>
    <w:p w14:paraId="6570B403" w14:textId="77777777" w:rsidR="005A06E2" w:rsidRPr="005D0A7A" w:rsidRDefault="005A06E2" w:rsidP="00C8079C">
      <w:pPr>
        <w:pStyle w:val="ListParagraph"/>
        <w:widowControl/>
        <w:numPr>
          <w:ilvl w:val="0"/>
          <w:numId w:val="43"/>
        </w:numPr>
        <w:spacing w:after="160" w:line="259" w:lineRule="auto"/>
        <w:ind w:left="1440"/>
        <w:contextualSpacing/>
        <w:rPr>
          <w:rFonts w:ascii="Arial" w:hAnsi="Arial" w:cs="Arial"/>
          <w:sz w:val="20"/>
          <w:szCs w:val="20"/>
        </w:rPr>
      </w:pPr>
      <w:r w:rsidRPr="005D0A7A">
        <w:rPr>
          <w:rFonts w:ascii="Arial" w:hAnsi="Arial" w:cs="Arial"/>
          <w:sz w:val="20"/>
          <w:szCs w:val="20"/>
        </w:rPr>
        <w:t>By 30 June 2027 – R2000m</w:t>
      </w:r>
    </w:p>
    <w:p w14:paraId="2FB6D233" w14:textId="77777777" w:rsidR="005A06E2" w:rsidRPr="005D0A7A" w:rsidRDefault="005A06E2" w:rsidP="00C8079C">
      <w:pPr>
        <w:pStyle w:val="ListParagraph"/>
        <w:widowControl/>
        <w:numPr>
          <w:ilvl w:val="0"/>
          <w:numId w:val="43"/>
        </w:numPr>
        <w:spacing w:after="160" w:line="259" w:lineRule="auto"/>
        <w:ind w:left="1440"/>
        <w:contextualSpacing/>
        <w:rPr>
          <w:rFonts w:ascii="Arial" w:hAnsi="Arial" w:cs="Arial"/>
          <w:sz w:val="20"/>
          <w:szCs w:val="20"/>
        </w:rPr>
      </w:pPr>
      <w:r w:rsidRPr="005D0A7A">
        <w:rPr>
          <w:rFonts w:ascii="Arial" w:hAnsi="Arial" w:cs="Arial"/>
          <w:sz w:val="20"/>
          <w:szCs w:val="20"/>
        </w:rPr>
        <w:t>By 30 June 2028 – R1000m</w:t>
      </w:r>
    </w:p>
    <w:p w14:paraId="13AAB2B7" w14:textId="77777777" w:rsidR="005A06E2" w:rsidRPr="005D0A7A" w:rsidRDefault="005A06E2" w:rsidP="00C8079C">
      <w:pPr>
        <w:pStyle w:val="ListParagraph"/>
        <w:widowControl/>
        <w:numPr>
          <w:ilvl w:val="0"/>
          <w:numId w:val="43"/>
        </w:numPr>
        <w:spacing w:after="160" w:line="259" w:lineRule="auto"/>
        <w:ind w:left="1440"/>
        <w:contextualSpacing/>
        <w:rPr>
          <w:rFonts w:ascii="Arial" w:hAnsi="Arial" w:cs="Arial"/>
          <w:sz w:val="20"/>
          <w:szCs w:val="20"/>
        </w:rPr>
      </w:pPr>
      <w:r w:rsidRPr="005D0A7A">
        <w:rPr>
          <w:rFonts w:ascii="Arial" w:hAnsi="Arial" w:cs="Arial"/>
          <w:sz w:val="20"/>
          <w:szCs w:val="20"/>
        </w:rPr>
        <w:t>By 30 June 2029 – R900m</w:t>
      </w:r>
    </w:p>
    <w:p w14:paraId="1696D533" w14:textId="77777777" w:rsidR="005A06E2" w:rsidRPr="005D0A7A" w:rsidRDefault="005A06E2" w:rsidP="00C8079C">
      <w:pPr>
        <w:pStyle w:val="ListParagraph"/>
        <w:widowControl/>
        <w:numPr>
          <w:ilvl w:val="0"/>
          <w:numId w:val="43"/>
        </w:numPr>
        <w:spacing w:after="160" w:line="259" w:lineRule="auto"/>
        <w:ind w:left="1440"/>
        <w:contextualSpacing/>
        <w:rPr>
          <w:rFonts w:ascii="Arial" w:hAnsi="Arial" w:cs="Arial"/>
          <w:sz w:val="20"/>
          <w:szCs w:val="20"/>
        </w:rPr>
      </w:pPr>
      <w:r w:rsidRPr="005D0A7A">
        <w:rPr>
          <w:rFonts w:ascii="Arial" w:hAnsi="Arial" w:cs="Arial"/>
          <w:sz w:val="20"/>
          <w:szCs w:val="20"/>
        </w:rPr>
        <w:t>By 30 June 2030 – R1000m</w:t>
      </w:r>
    </w:p>
    <w:p w14:paraId="337DBA47" w14:textId="77777777" w:rsidR="005A06E2" w:rsidRPr="005D0A7A" w:rsidRDefault="005A06E2" w:rsidP="005A06E2">
      <w:pPr>
        <w:ind w:left="720"/>
        <w:rPr>
          <w:rFonts w:ascii="Arial" w:hAnsi="Arial" w:cs="Arial"/>
          <w:sz w:val="20"/>
          <w:szCs w:val="20"/>
        </w:rPr>
      </w:pPr>
      <w:r w:rsidRPr="005D0A7A">
        <w:rPr>
          <w:rFonts w:ascii="Arial" w:hAnsi="Arial" w:cs="Arial"/>
          <w:sz w:val="20"/>
          <w:szCs w:val="20"/>
        </w:rPr>
        <w:t>Total debt required – R6000m</w:t>
      </w:r>
    </w:p>
    <w:p w14:paraId="79600AD5" w14:textId="77777777" w:rsidR="005A06E2" w:rsidRPr="005D0A7A" w:rsidRDefault="005A06E2" w:rsidP="005A06E2">
      <w:pPr>
        <w:textAlignment w:val="baseline"/>
        <w:rPr>
          <w:rFonts w:ascii="Arial" w:hAnsi="Arial" w:cs="Arial"/>
          <w:sz w:val="20"/>
          <w:szCs w:val="20"/>
        </w:rPr>
      </w:pPr>
    </w:p>
    <w:p w14:paraId="748C93CC" w14:textId="77777777" w:rsidR="005A06E2" w:rsidRPr="005D0A7A" w:rsidRDefault="005A06E2" w:rsidP="005A06E2">
      <w:pPr>
        <w:ind w:left="360"/>
        <w:textAlignment w:val="baseline"/>
        <w:rPr>
          <w:rFonts w:ascii="Arial" w:eastAsia="Times New Roman" w:hAnsi="Arial" w:cs="Arial"/>
          <w:sz w:val="20"/>
          <w:szCs w:val="20"/>
          <w:lang w:eastAsia="en-ZA"/>
        </w:rPr>
      </w:pPr>
    </w:p>
    <w:p w14:paraId="500EF437" w14:textId="77777777" w:rsidR="005A06E2" w:rsidRPr="005D0A7A" w:rsidRDefault="005A06E2" w:rsidP="00103A72">
      <w:pPr>
        <w:pStyle w:val="ListParagraph"/>
        <w:widowControl/>
        <w:numPr>
          <w:ilvl w:val="1"/>
          <w:numId w:val="27"/>
        </w:numPr>
        <w:spacing w:line="276" w:lineRule="auto"/>
        <w:jc w:val="both"/>
        <w:rPr>
          <w:rFonts w:ascii="Arial" w:hAnsi="Arial" w:cs="Arial"/>
          <w:b/>
          <w:bCs/>
          <w:sz w:val="20"/>
          <w:szCs w:val="20"/>
          <w:lang w:val="en-ZA"/>
        </w:rPr>
      </w:pPr>
      <w:bookmarkStart w:id="2" w:name="_Toc206097601"/>
      <w:r w:rsidRPr="005D0A7A">
        <w:rPr>
          <w:rFonts w:ascii="Arial" w:hAnsi="Arial" w:cs="Arial"/>
          <w:b/>
          <w:bCs/>
          <w:sz w:val="20"/>
          <w:szCs w:val="20"/>
          <w:lang w:val="en-ZA"/>
        </w:rPr>
        <w:t>Funding requirements – 2031 to 2036</w:t>
      </w:r>
      <w:bookmarkEnd w:id="2"/>
    </w:p>
    <w:tbl>
      <w:tblPr>
        <w:tblStyle w:val="PlainTable2"/>
        <w:tblW w:w="5000" w:type="pct"/>
        <w:tblCellMar>
          <w:left w:w="57" w:type="dxa"/>
          <w:right w:w="57" w:type="dxa"/>
        </w:tblCellMar>
        <w:tblLook w:val="04A0" w:firstRow="1" w:lastRow="0" w:firstColumn="1" w:lastColumn="0" w:noHBand="0" w:noVBand="1"/>
      </w:tblPr>
      <w:tblGrid>
        <w:gridCol w:w="3493"/>
        <w:gridCol w:w="120"/>
        <w:gridCol w:w="120"/>
        <w:gridCol w:w="782"/>
        <w:gridCol w:w="120"/>
        <w:gridCol w:w="781"/>
        <w:gridCol w:w="120"/>
        <w:gridCol w:w="781"/>
        <w:gridCol w:w="120"/>
        <w:gridCol w:w="781"/>
        <w:gridCol w:w="120"/>
        <w:gridCol w:w="787"/>
        <w:gridCol w:w="120"/>
        <w:gridCol w:w="785"/>
      </w:tblGrid>
      <w:tr w:rsidR="005A06E2" w:rsidRPr="005D0A7A" w14:paraId="14BFD2BA" w14:textId="77777777" w:rsidTr="005A06E2">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393" w:type="pct"/>
            <w:shd w:val="clear" w:color="auto" w:fill="DBE5F1" w:themeFill="accent1" w:themeFillTint="33"/>
            <w:hideMark/>
          </w:tcPr>
          <w:p w14:paraId="68BBCC9A" w14:textId="77777777" w:rsidR="005A06E2" w:rsidRPr="005D0A7A" w:rsidRDefault="005A06E2" w:rsidP="005A06E2">
            <w:pPr>
              <w:rPr>
                <w:rFonts w:ascii="Arial" w:hAnsi="Arial" w:cs="Arial"/>
                <w:sz w:val="20"/>
                <w:szCs w:val="20"/>
                <w:lang w:eastAsia="en-ZA"/>
              </w:rPr>
            </w:pPr>
            <w:r w:rsidRPr="005D0A7A">
              <w:rPr>
                <w:rFonts w:ascii="Arial" w:hAnsi="Arial" w:cs="Arial"/>
                <w:sz w:val="20"/>
                <w:szCs w:val="20"/>
                <w:lang w:eastAsia="en-ZA"/>
              </w:rPr>
              <w:t>FUNDING REQUIREMENTS</w:t>
            </w:r>
          </w:p>
        </w:tc>
        <w:tc>
          <w:tcPr>
            <w:tcW w:w="99" w:type="pct"/>
            <w:shd w:val="clear" w:color="auto" w:fill="DBE5F1" w:themeFill="accent1" w:themeFillTint="33"/>
            <w:noWrap/>
            <w:hideMark/>
          </w:tcPr>
          <w:p w14:paraId="07A51BFF"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99" w:type="pct"/>
            <w:shd w:val="clear" w:color="auto" w:fill="DBE5F1" w:themeFill="accent1" w:themeFillTint="33"/>
            <w:noWrap/>
            <w:hideMark/>
          </w:tcPr>
          <w:p w14:paraId="642FB643"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94" w:type="pct"/>
            <w:shd w:val="clear" w:color="auto" w:fill="DBE5F1" w:themeFill="accent1" w:themeFillTint="33"/>
            <w:hideMark/>
          </w:tcPr>
          <w:p w14:paraId="15702420"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L/Term</w:t>
            </w:r>
          </w:p>
        </w:tc>
        <w:tc>
          <w:tcPr>
            <w:tcW w:w="99" w:type="pct"/>
            <w:shd w:val="clear" w:color="auto" w:fill="DBE5F1" w:themeFill="accent1" w:themeFillTint="33"/>
            <w:noWrap/>
            <w:hideMark/>
          </w:tcPr>
          <w:p w14:paraId="0A2695CD"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74" w:type="pct"/>
            <w:shd w:val="clear" w:color="auto" w:fill="DBE5F1" w:themeFill="accent1" w:themeFillTint="33"/>
            <w:hideMark/>
          </w:tcPr>
          <w:p w14:paraId="054D9977"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L/Term</w:t>
            </w:r>
          </w:p>
        </w:tc>
        <w:tc>
          <w:tcPr>
            <w:tcW w:w="99" w:type="pct"/>
            <w:shd w:val="clear" w:color="auto" w:fill="DBE5F1" w:themeFill="accent1" w:themeFillTint="33"/>
            <w:noWrap/>
            <w:hideMark/>
          </w:tcPr>
          <w:p w14:paraId="0D05225B"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shd w:val="clear" w:color="auto" w:fill="DBE5F1" w:themeFill="accent1" w:themeFillTint="33"/>
            <w:hideMark/>
          </w:tcPr>
          <w:p w14:paraId="1903B269"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L/Term</w:t>
            </w:r>
          </w:p>
        </w:tc>
        <w:tc>
          <w:tcPr>
            <w:tcW w:w="99" w:type="pct"/>
            <w:shd w:val="clear" w:color="auto" w:fill="DBE5F1" w:themeFill="accent1" w:themeFillTint="33"/>
            <w:noWrap/>
            <w:hideMark/>
          </w:tcPr>
          <w:p w14:paraId="3DE02635"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shd w:val="clear" w:color="auto" w:fill="DBE5F1" w:themeFill="accent1" w:themeFillTint="33"/>
            <w:hideMark/>
          </w:tcPr>
          <w:p w14:paraId="5B26A4B5"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L/Term</w:t>
            </w:r>
          </w:p>
        </w:tc>
        <w:tc>
          <w:tcPr>
            <w:tcW w:w="99" w:type="pct"/>
            <w:shd w:val="clear" w:color="auto" w:fill="DBE5F1" w:themeFill="accent1" w:themeFillTint="33"/>
            <w:noWrap/>
            <w:hideMark/>
          </w:tcPr>
          <w:p w14:paraId="74898B58"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shd w:val="clear" w:color="auto" w:fill="DBE5F1" w:themeFill="accent1" w:themeFillTint="33"/>
            <w:hideMark/>
          </w:tcPr>
          <w:p w14:paraId="5BB395C5"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L/Term</w:t>
            </w:r>
          </w:p>
        </w:tc>
        <w:tc>
          <w:tcPr>
            <w:tcW w:w="99" w:type="pct"/>
            <w:shd w:val="clear" w:color="auto" w:fill="DBE5F1" w:themeFill="accent1" w:themeFillTint="33"/>
            <w:noWrap/>
            <w:hideMark/>
          </w:tcPr>
          <w:p w14:paraId="13858880"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shd w:val="clear" w:color="auto" w:fill="DBE5F1" w:themeFill="accent1" w:themeFillTint="33"/>
            <w:hideMark/>
          </w:tcPr>
          <w:p w14:paraId="04D2597D"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L/Term</w:t>
            </w:r>
          </w:p>
        </w:tc>
      </w:tr>
      <w:tr w:rsidR="005A06E2" w:rsidRPr="005D0A7A" w14:paraId="5C64D7F8" w14:textId="77777777" w:rsidTr="005A06E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93" w:type="pct"/>
            <w:shd w:val="clear" w:color="auto" w:fill="DBE5F1" w:themeFill="accent1" w:themeFillTint="33"/>
            <w:hideMark/>
          </w:tcPr>
          <w:p w14:paraId="1E03D388" w14:textId="77777777" w:rsidR="005A06E2" w:rsidRPr="005D0A7A" w:rsidRDefault="005A06E2" w:rsidP="005A06E2">
            <w:pPr>
              <w:rPr>
                <w:rFonts w:ascii="Arial" w:hAnsi="Arial" w:cs="Arial"/>
                <w:sz w:val="20"/>
                <w:szCs w:val="20"/>
                <w:lang w:eastAsia="en-ZA"/>
              </w:rPr>
            </w:pPr>
            <w:r w:rsidRPr="005D0A7A">
              <w:rPr>
                <w:rFonts w:ascii="Arial" w:hAnsi="Arial" w:cs="Arial"/>
                <w:sz w:val="20"/>
                <w:szCs w:val="20"/>
                <w:lang w:eastAsia="en-ZA"/>
              </w:rPr>
              <w:t>Financial Year (R'm)</w:t>
            </w:r>
          </w:p>
        </w:tc>
        <w:tc>
          <w:tcPr>
            <w:tcW w:w="99" w:type="pct"/>
            <w:shd w:val="clear" w:color="auto" w:fill="DBE5F1" w:themeFill="accent1" w:themeFillTint="33"/>
            <w:hideMark/>
          </w:tcPr>
          <w:p w14:paraId="13D6D775"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99" w:type="pct"/>
            <w:shd w:val="clear" w:color="auto" w:fill="DBE5F1" w:themeFill="accent1" w:themeFillTint="33"/>
            <w:hideMark/>
          </w:tcPr>
          <w:p w14:paraId="34146F2F"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94" w:type="pct"/>
            <w:shd w:val="clear" w:color="auto" w:fill="DBE5F1" w:themeFill="accent1" w:themeFillTint="33"/>
            <w:hideMark/>
          </w:tcPr>
          <w:p w14:paraId="0EFA2316"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F31</w:t>
            </w:r>
          </w:p>
        </w:tc>
        <w:tc>
          <w:tcPr>
            <w:tcW w:w="99" w:type="pct"/>
            <w:shd w:val="clear" w:color="auto" w:fill="DBE5F1" w:themeFill="accent1" w:themeFillTint="33"/>
            <w:hideMark/>
          </w:tcPr>
          <w:p w14:paraId="2D20C1A2"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74" w:type="pct"/>
            <w:shd w:val="clear" w:color="auto" w:fill="DBE5F1" w:themeFill="accent1" w:themeFillTint="33"/>
            <w:hideMark/>
          </w:tcPr>
          <w:p w14:paraId="5CB137FF"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F32</w:t>
            </w:r>
          </w:p>
        </w:tc>
        <w:tc>
          <w:tcPr>
            <w:tcW w:w="99" w:type="pct"/>
            <w:shd w:val="clear" w:color="auto" w:fill="DBE5F1" w:themeFill="accent1" w:themeFillTint="33"/>
            <w:hideMark/>
          </w:tcPr>
          <w:p w14:paraId="15BE0ACE"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shd w:val="clear" w:color="auto" w:fill="DBE5F1" w:themeFill="accent1" w:themeFillTint="33"/>
            <w:hideMark/>
          </w:tcPr>
          <w:p w14:paraId="36B13A28"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F33</w:t>
            </w:r>
          </w:p>
        </w:tc>
        <w:tc>
          <w:tcPr>
            <w:tcW w:w="99" w:type="pct"/>
            <w:shd w:val="clear" w:color="auto" w:fill="DBE5F1" w:themeFill="accent1" w:themeFillTint="33"/>
            <w:hideMark/>
          </w:tcPr>
          <w:p w14:paraId="4810E8A6"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shd w:val="clear" w:color="auto" w:fill="DBE5F1" w:themeFill="accent1" w:themeFillTint="33"/>
            <w:hideMark/>
          </w:tcPr>
          <w:p w14:paraId="4BB9F328"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F34</w:t>
            </w:r>
          </w:p>
        </w:tc>
        <w:tc>
          <w:tcPr>
            <w:tcW w:w="99" w:type="pct"/>
            <w:shd w:val="clear" w:color="auto" w:fill="DBE5F1" w:themeFill="accent1" w:themeFillTint="33"/>
            <w:hideMark/>
          </w:tcPr>
          <w:p w14:paraId="37B230FB"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shd w:val="clear" w:color="auto" w:fill="DBE5F1" w:themeFill="accent1" w:themeFillTint="33"/>
            <w:hideMark/>
          </w:tcPr>
          <w:p w14:paraId="4A0DD2CB"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F35</w:t>
            </w:r>
          </w:p>
        </w:tc>
        <w:tc>
          <w:tcPr>
            <w:tcW w:w="99" w:type="pct"/>
            <w:shd w:val="clear" w:color="auto" w:fill="DBE5F1" w:themeFill="accent1" w:themeFillTint="33"/>
            <w:hideMark/>
          </w:tcPr>
          <w:p w14:paraId="0F5C85C6"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shd w:val="clear" w:color="auto" w:fill="DBE5F1" w:themeFill="accent1" w:themeFillTint="33"/>
            <w:hideMark/>
          </w:tcPr>
          <w:p w14:paraId="6B84B01A" w14:textId="77777777" w:rsidR="005A06E2" w:rsidRPr="005D0A7A" w:rsidRDefault="005A06E2" w:rsidP="005A06E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F36</w:t>
            </w:r>
          </w:p>
        </w:tc>
      </w:tr>
      <w:tr w:rsidR="005A06E2" w:rsidRPr="005D0A7A" w14:paraId="7322E5C0" w14:textId="77777777" w:rsidTr="005A06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3" w:type="pct"/>
            <w:noWrap/>
            <w:hideMark/>
          </w:tcPr>
          <w:p w14:paraId="23BE2F1F" w14:textId="77777777" w:rsidR="005A06E2" w:rsidRPr="005D0A7A" w:rsidRDefault="005A06E2" w:rsidP="005A06E2">
            <w:pPr>
              <w:rPr>
                <w:rFonts w:ascii="Arial" w:hAnsi="Arial" w:cs="Arial"/>
                <w:color w:val="000000"/>
                <w:sz w:val="20"/>
                <w:szCs w:val="20"/>
                <w:lang w:eastAsia="en-ZA"/>
              </w:rPr>
            </w:pPr>
            <w:r w:rsidRPr="005D0A7A">
              <w:rPr>
                <w:rFonts w:ascii="Arial" w:hAnsi="Arial" w:cs="Arial"/>
                <w:color w:val="000000"/>
                <w:sz w:val="20"/>
                <w:szCs w:val="20"/>
                <w:lang w:eastAsia="en-ZA"/>
              </w:rPr>
              <w:t>Operational Cash flows</w:t>
            </w:r>
          </w:p>
        </w:tc>
        <w:tc>
          <w:tcPr>
            <w:tcW w:w="99" w:type="pct"/>
            <w:noWrap/>
            <w:hideMark/>
          </w:tcPr>
          <w:p w14:paraId="52226C90"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99" w:type="pct"/>
            <w:noWrap/>
            <w:hideMark/>
          </w:tcPr>
          <w:p w14:paraId="0DABA1EA"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94" w:type="pct"/>
            <w:noWrap/>
            <w:hideMark/>
          </w:tcPr>
          <w:p w14:paraId="0C6F3A12"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4,181</w:t>
            </w:r>
          </w:p>
        </w:tc>
        <w:tc>
          <w:tcPr>
            <w:tcW w:w="99" w:type="pct"/>
            <w:noWrap/>
            <w:hideMark/>
          </w:tcPr>
          <w:p w14:paraId="22137086"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74" w:type="pct"/>
            <w:noWrap/>
            <w:hideMark/>
          </w:tcPr>
          <w:p w14:paraId="5ED0900E"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4,881</w:t>
            </w:r>
          </w:p>
        </w:tc>
        <w:tc>
          <w:tcPr>
            <w:tcW w:w="99" w:type="pct"/>
            <w:noWrap/>
            <w:hideMark/>
          </w:tcPr>
          <w:p w14:paraId="02335EF4"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87" w:type="pct"/>
            <w:noWrap/>
            <w:hideMark/>
          </w:tcPr>
          <w:p w14:paraId="07CE5F68"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5,440</w:t>
            </w:r>
          </w:p>
        </w:tc>
        <w:tc>
          <w:tcPr>
            <w:tcW w:w="99" w:type="pct"/>
            <w:noWrap/>
            <w:hideMark/>
          </w:tcPr>
          <w:p w14:paraId="132EC512"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87" w:type="pct"/>
            <w:noWrap/>
            <w:hideMark/>
          </w:tcPr>
          <w:p w14:paraId="044AF510"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6,066</w:t>
            </w:r>
          </w:p>
        </w:tc>
        <w:tc>
          <w:tcPr>
            <w:tcW w:w="99" w:type="pct"/>
            <w:noWrap/>
            <w:hideMark/>
          </w:tcPr>
          <w:p w14:paraId="4AA80D83"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87" w:type="pct"/>
            <w:noWrap/>
            <w:hideMark/>
          </w:tcPr>
          <w:p w14:paraId="2C1B409B"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6,962</w:t>
            </w:r>
          </w:p>
        </w:tc>
        <w:tc>
          <w:tcPr>
            <w:tcW w:w="99" w:type="pct"/>
            <w:noWrap/>
            <w:hideMark/>
          </w:tcPr>
          <w:p w14:paraId="2C8A4C95"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87" w:type="pct"/>
            <w:noWrap/>
            <w:hideMark/>
          </w:tcPr>
          <w:p w14:paraId="50A8B48A"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7,739</w:t>
            </w:r>
          </w:p>
        </w:tc>
      </w:tr>
      <w:tr w:rsidR="005A06E2" w:rsidRPr="005D0A7A" w14:paraId="3CD214C6" w14:textId="77777777" w:rsidTr="005A06E2">
        <w:trPr>
          <w:trHeight w:val="300"/>
        </w:trPr>
        <w:tc>
          <w:tcPr>
            <w:cnfStyle w:val="001000000000" w:firstRow="0" w:lastRow="0" w:firstColumn="1" w:lastColumn="0" w:oddVBand="0" w:evenVBand="0" w:oddHBand="0" w:evenHBand="0" w:firstRowFirstColumn="0" w:firstRowLastColumn="0" w:lastRowFirstColumn="0" w:lastRowLastColumn="0"/>
            <w:tcW w:w="1393" w:type="pct"/>
            <w:noWrap/>
            <w:hideMark/>
          </w:tcPr>
          <w:p w14:paraId="1CD4EBDE" w14:textId="77777777" w:rsidR="005A06E2" w:rsidRPr="005D0A7A" w:rsidRDefault="005A06E2" w:rsidP="005A06E2">
            <w:pPr>
              <w:rPr>
                <w:rFonts w:ascii="Arial" w:hAnsi="Arial" w:cs="Arial"/>
                <w:color w:val="000000"/>
                <w:sz w:val="20"/>
                <w:szCs w:val="20"/>
                <w:lang w:eastAsia="en-ZA"/>
              </w:rPr>
            </w:pPr>
            <w:r w:rsidRPr="005D0A7A">
              <w:rPr>
                <w:rFonts w:ascii="Arial" w:hAnsi="Arial" w:cs="Arial"/>
                <w:color w:val="000000"/>
                <w:sz w:val="20"/>
                <w:szCs w:val="20"/>
                <w:lang w:eastAsia="en-ZA"/>
              </w:rPr>
              <w:t>CapEx - Gross (Escalated)</w:t>
            </w:r>
          </w:p>
        </w:tc>
        <w:tc>
          <w:tcPr>
            <w:tcW w:w="99" w:type="pct"/>
            <w:noWrap/>
            <w:hideMark/>
          </w:tcPr>
          <w:p w14:paraId="2F695387"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99" w:type="pct"/>
            <w:noWrap/>
            <w:hideMark/>
          </w:tcPr>
          <w:p w14:paraId="76B63E80"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94" w:type="pct"/>
            <w:noWrap/>
            <w:hideMark/>
          </w:tcPr>
          <w:p w14:paraId="4888BA3F"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(6,138)</w:t>
            </w:r>
          </w:p>
        </w:tc>
        <w:tc>
          <w:tcPr>
            <w:tcW w:w="99" w:type="pct"/>
            <w:noWrap/>
            <w:hideMark/>
          </w:tcPr>
          <w:p w14:paraId="405DE591"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474" w:type="pct"/>
            <w:noWrap/>
            <w:hideMark/>
          </w:tcPr>
          <w:p w14:paraId="6D3CCDFB"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(2,852)</w:t>
            </w:r>
          </w:p>
        </w:tc>
        <w:tc>
          <w:tcPr>
            <w:tcW w:w="99" w:type="pct"/>
            <w:noWrap/>
            <w:hideMark/>
          </w:tcPr>
          <w:p w14:paraId="50B6FC03"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487" w:type="pct"/>
            <w:noWrap/>
            <w:hideMark/>
          </w:tcPr>
          <w:p w14:paraId="16EED33D"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(823)</w:t>
            </w:r>
          </w:p>
        </w:tc>
        <w:tc>
          <w:tcPr>
            <w:tcW w:w="99" w:type="pct"/>
            <w:noWrap/>
            <w:hideMark/>
          </w:tcPr>
          <w:p w14:paraId="632A7DF6"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487" w:type="pct"/>
            <w:noWrap/>
            <w:hideMark/>
          </w:tcPr>
          <w:p w14:paraId="702F260C"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(943)</w:t>
            </w:r>
          </w:p>
        </w:tc>
        <w:tc>
          <w:tcPr>
            <w:tcW w:w="99" w:type="pct"/>
            <w:noWrap/>
            <w:hideMark/>
          </w:tcPr>
          <w:p w14:paraId="5BD398D6"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487" w:type="pct"/>
            <w:noWrap/>
            <w:hideMark/>
          </w:tcPr>
          <w:p w14:paraId="5F9B3AF5"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(414)</w:t>
            </w:r>
          </w:p>
        </w:tc>
        <w:tc>
          <w:tcPr>
            <w:tcW w:w="99" w:type="pct"/>
            <w:noWrap/>
            <w:hideMark/>
          </w:tcPr>
          <w:p w14:paraId="6131B473"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487" w:type="pct"/>
            <w:noWrap/>
            <w:hideMark/>
          </w:tcPr>
          <w:p w14:paraId="4AE48BC0"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(771)</w:t>
            </w:r>
          </w:p>
        </w:tc>
      </w:tr>
      <w:tr w:rsidR="005A06E2" w:rsidRPr="005D0A7A" w14:paraId="5EC87B7C" w14:textId="77777777" w:rsidTr="005A06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3" w:type="pct"/>
            <w:noWrap/>
            <w:hideMark/>
          </w:tcPr>
          <w:p w14:paraId="6273C978" w14:textId="77777777" w:rsidR="005A06E2" w:rsidRPr="005D0A7A" w:rsidRDefault="005A06E2" w:rsidP="005A06E2">
            <w:pPr>
              <w:rPr>
                <w:rFonts w:ascii="Arial" w:hAnsi="Arial" w:cs="Arial"/>
                <w:color w:val="000000"/>
                <w:sz w:val="20"/>
                <w:szCs w:val="20"/>
                <w:lang w:eastAsia="en-ZA"/>
              </w:rPr>
            </w:pPr>
            <w:r w:rsidRPr="005D0A7A">
              <w:rPr>
                <w:rFonts w:ascii="Arial" w:hAnsi="Arial" w:cs="Arial"/>
                <w:color w:val="000000"/>
                <w:sz w:val="20"/>
                <w:szCs w:val="20"/>
                <w:lang w:eastAsia="en-ZA"/>
              </w:rPr>
              <w:t>Net Operating and CapEx cash flow</w:t>
            </w:r>
          </w:p>
        </w:tc>
        <w:tc>
          <w:tcPr>
            <w:tcW w:w="99" w:type="pct"/>
            <w:noWrap/>
            <w:hideMark/>
          </w:tcPr>
          <w:p w14:paraId="0F04DCC2"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99" w:type="pct"/>
            <w:noWrap/>
            <w:hideMark/>
          </w:tcPr>
          <w:p w14:paraId="4895C1FD"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94" w:type="pct"/>
            <w:noWrap/>
            <w:hideMark/>
          </w:tcPr>
          <w:p w14:paraId="343FD3A3"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(1,957)</w:t>
            </w:r>
          </w:p>
        </w:tc>
        <w:tc>
          <w:tcPr>
            <w:tcW w:w="99" w:type="pct"/>
            <w:noWrap/>
            <w:hideMark/>
          </w:tcPr>
          <w:p w14:paraId="0FA6EE0F"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74" w:type="pct"/>
            <w:noWrap/>
            <w:hideMark/>
          </w:tcPr>
          <w:p w14:paraId="120760C3"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2,029</w:t>
            </w:r>
          </w:p>
        </w:tc>
        <w:tc>
          <w:tcPr>
            <w:tcW w:w="99" w:type="pct"/>
            <w:noWrap/>
            <w:hideMark/>
          </w:tcPr>
          <w:p w14:paraId="4017CBDE"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87" w:type="pct"/>
            <w:noWrap/>
            <w:hideMark/>
          </w:tcPr>
          <w:p w14:paraId="6BF4D1DF"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4,618</w:t>
            </w:r>
          </w:p>
        </w:tc>
        <w:tc>
          <w:tcPr>
            <w:tcW w:w="99" w:type="pct"/>
            <w:noWrap/>
            <w:hideMark/>
          </w:tcPr>
          <w:p w14:paraId="2A244A21"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87" w:type="pct"/>
            <w:noWrap/>
            <w:hideMark/>
          </w:tcPr>
          <w:p w14:paraId="4D3CA00A"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5,123</w:t>
            </w:r>
          </w:p>
        </w:tc>
        <w:tc>
          <w:tcPr>
            <w:tcW w:w="99" w:type="pct"/>
            <w:noWrap/>
            <w:hideMark/>
          </w:tcPr>
          <w:p w14:paraId="29D4877C"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87" w:type="pct"/>
            <w:noWrap/>
            <w:hideMark/>
          </w:tcPr>
          <w:p w14:paraId="595E7072"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6,549</w:t>
            </w:r>
          </w:p>
        </w:tc>
        <w:tc>
          <w:tcPr>
            <w:tcW w:w="99" w:type="pct"/>
            <w:noWrap/>
            <w:hideMark/>
          </w:tcPr>
          <w:p w14:paraId="170C9B6F"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87" w:type="pct"/>
            <w:noWrap/>
            <w:hideMark/>
          </w:tcPr>
          <w:p w14:paraId="59B3B8E1"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6,967</w:t>
            </w:r>
          </w:p>
        </w:tc>
      </w:tr>
      <w:tr w:rsidR="005A06E2" w:rsidRPr="005D0A7A" w14:paraId="010D67BB" w14:textId="77777777" w:rsidTr="005A06E2">
        <w:trPr>
          <w:trHeight w:val="255"/>
        </w:trPr>
        <w:tc>
          <w:tcPr>
            <w:cnfStyle w:val="001000000000" w:firstRow="0" w:lastRow="0" w:firstColumn="1" w:lastColumn="0" w:oddVBand="0" w:evenVBand="0" w:oddHBand="0" w:evenHBand="0" w:firstRowFirstColumn="0" w:firstRowLastColumn="0" w:lastRowFirstColumn="0" w:lastRowLastColumn="0"/>
            <w:tcW w:w="1393" w:type="pct"/>
            <w:noWrap/>
            <w:hideMark/>
          </w:tcPr>
          <w:p w14:paraId="4C362587" w14:textId="77777777" w:rsidR="005A06E2" w:rsidRPr="005D0A7A" w:rsidRDefault="005A06E2" w:rsidP="005A06E2">
            <w:pPr>
              <w:rPr>
                <w:rFonts w:ascii="Arial" w:hAnsi="Arial" w:cs="Arial"/>
                <w:sz w:val="20"/>
                <w:szCs w:val="20"/>
                <w:lang w:eastAsia="en-ZA"/>
              </w:rPr>
            </w:pPr>
          </w:p>
        </w:tc>
        <w:tc>
          <w:tcPr>
            <w:tcW w:w="99" w:type="pct"/>
            <w:noWrap/>
            <w:hideMark/>
          </w:tcPr>
          <w:p w14:paraId="544A91F2"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99" w:type="pct"/>
            <w:noWrap/>
            <w:hideMark/>
          </w:tcPr>
          <w:p w14:paraId="4BCDCBF4"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94" w:type="pct"/>
            <w:noWrap/>
            <w:hideMark/>
          </w:tcPr>
          <w:p w14:paraId="31161DB8"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99" w:type="pct"/>
            <w:noWrap/>
            <w:hideMark/>
          </w:tcPr>
          <w:p w14:paraId="387ED9A9"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74" w:type="pct"/>
            <w:noWrap/>
            <w:hideMark/>
          </w:tcPr>
          <w:p w14:paraId="7570FC9C"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99" w:type="pct"/>
            <w:noWrap/>
            <w:hideMark/>
          </w:tcPr>
          <w:p w14:paraId="0A97F32C"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noWrap/>
            <w:hideMark/>
          </w:tcPr>
          <w:p w14:paraId="02589443"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99" w:type="pct"/>
            <w:noWrap/>
            <w:hideMark/>
          </w:tcPr>
          <w:p w14:paraId="1B3C8770"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noWrap/>
            <w:hideMark/>
          </w:tcPr>
          <w:p w14:paraId="7C2496E6"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99" w:type="pct"/>
            <w:noWrap/>
            <w:hideMark/>
          </w:tcPr>
          <w:p w14:paraId="22BDE3C7"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noWrap/>
            <w:hideMark/>
          </w:tcPr>
          <w:p w14:paraId="69D80442"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99" w:type="pct"/>
            <w:noWrap/>
            <w:hideMark/>
          </w:tcPr>
          <w:p w14:paraId="1F28564F"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noWrap/>
            <w:hideMark/>
          </w:tcPr>
          <w:p w14:paraId="6983D19D"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r>
      <w:tr w:rsidR="005A06E2" w:rsidRPr="005D0A7A" w14:paraId="03448C8F" w14:textId="77777777" w:rsidTr="005A06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3" w:type="pct"/>
            <w:noWrap/>
            <w:hideMark/>
          </w:tcPr>
          <w:p w14:paraId="7A510F6D" w14:textId="77777777" w:rsidR="005A06E2" w:rsidRPr="005D0A7A" w:rsidRDefault="005A06E2" w:rsidP="005A06E2">
            <w:pPr>
              <w:rPr>
                <w:rFonts w:ascii="Arial" w:hAnsi="Arial" w:cs="Arial"/>
                <w:color w:val="000000"/>
                <w:sz w:val="20"/>
                <w:szCs w:val="20"/>
                <w:lang w:eastAsia="en-ZA"/>
              </w:rPr>
            </w:pPr>
            <w:r w:rsidRPr="005D0A7A">
              <w:rPr>
                <w:rFonts w:ascii="Arial" w:hAnsi="Arial" w:cs="Arial"/>
                <w:color w:val="000000"/>
                <w:sz w:val="20"/>
                <w:szCs w:val="20"/>
                <w:lang w:eastAsia="en-ZA"/>
              </w:rPr>
              <w:t>To be funded through:</w:t>
            </w:r>
          </w:p>
        </w:tc>
        <w:tc>
          <w:tcPr>
            <w:tcW w:w="99" w:type="pct"/>
            <w:noWrap/>
            <w:hideMark/>
          </w:tcPr>
          <w:p w14:paraId="12C9C608"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99" w:type="pct"/>
            <w:noWrap/>
            <w:hideMark/>
          </w:tcPr>
          <w:p w14:paraId="61BEE277"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94" w:type="pct"/>
            <w:noWrap/>
            <w:hideMark/>
          </w:tcPr>
          <w:p w14:paraId="7302ECF5"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99" w:type="pct"/>
            <w:noWrap/>
            <w:hideMark/>
          </w:tcPr>
          <w:p w14:paraId="52496B43"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74" w:type="pct"/>
            <w:noWrap/>
            <w:hideMark/>
          </w:tcPr>
          <w:p w14:paraId="65A4D7B5"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99" w:type="pct"/>
            <w:noWrap/>
            <w:hideMark/>
          </w:tcPr>
          <w:p w14:paraId="7FF429F2"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87" w:type="pct"/>
            <w:noWrap/>
            <w:hideMark/>
          </w:tcPr>
          <w:p w14:paraId="54FA1808"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99" w:type="pct"/>
            <w:noWrap/>
            <w:hideMark/>
          </w:tcPr>
          <w:p w14:paraId="1978D322"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87" w:type="pct"/>
            <w:noWrap/>
            <w:hideMark/>
          </w:tcPr>
          <w:p w14:paraId="4B488C3A"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99" w:type="pct"/>
            <w:noWrap/>
            <w:hideMark/>
          </w:tcPr>
          <w:p w14:paraId="393874D9"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87" w:type="pct"/>
            <w:noWrap/>
            <w:hideMark/>
          </w:tcPr>
          <w:p w14:paraId="45E77243"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99" w:type="pct"/>
            <w:noWrap/>
            <w:hideMark/>
          </w:tcPr>
          <w:p w14:paraId="5B174E7A"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87" w:type="pct"/>
            <w:noWrap/>
            <w:hideMark/>
          </w:tcPr>
          <w:p w14:paraId="282A8BDE"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r>
      <w:tr w:rsidR="005A06E2" w:rsidRPr="005D0A7A" w14:paraId="74A5BA4D" w14:textId="77777777" w:rsidTr="005A06E2">
        <w:trPr>
          <w:trHeight w:val="300"/>
        </w:trPr>
        <w:tc>
          <w:tcPr>
            <w:cnfStyle w:val="001000000000" w:firstRow="0" w:lastRow="0" w:firstColumn="1" w:lastColumn="0" w:oddVBand="0" w:evenVBand="0" w:oddHBand="0" w:evenHBand="0" w:firstRowFirstColumn="0" w:firstRowLastColumn="0" w:lastRowFirstColumn="0" w:lastRowLastColumn="0"/>
            <w:tcW w:w="1393" w:type="pct"/>
            <w:noWrap/>
            <w:hideMark/>
          </w:tcPr>
          <w:p w14:paraId="77D0F34E" w14:textId="77777777" w:rsidR="005A06E2" w:rsidRPr="005D0A7A" w:rsidRDefault="005A06E2" w:rsidP="005A06E2">
            <w:pPr>
              <w:ind w:firstLineChars="100" w:firstLine="200"/>
              <w:rPr>
                <w:rFonts w:ascii="Arial" w:hAnsi="Arial" w:cs="Arial"/>
                <w:color w:val="000000"/>
                <w:sz w:val="20"/>
                <w:szCs w:val="20"/>
                <w:lang w:eastAsia="en-ZA"/>
              </w:rPr>
            </w:pPr>
            <w:r w:rsidRPr="005D0A7A">
              <w:rPr>
                <w:rFonts w:ascii="Arial" w:hAnsi="Arial" w:cs="Arial"/>
                <w:color w:val="000000"/>
                <w:sz w:val="20"/>
                <w:szCs w:val="20"/>
                <w:lang w:eastAsia="en-ZA"/>
              </w:rPr>
              <w:t>Available investments</w:t>
            </w:r>
          </w:p>
        </w:tc>
        <w:tc>
          <w:tcPr>
            <w:tcW w:w="99" w:type="pct"/>
            <w:noWrap/>
            <w:hideMark/>
          </w:tcPr>
          <w:p w14:paraId="261301BC"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99" w:type="pct"/>
            <w:noWrap/>
            <w:hideMark/>
          </w:tcPr>
          <w:p w14:paraId="42364038"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94" w:type="pct"/>
            <w:noWrap/>
            <w:hideMark/>
          </w:tcPr>
          <w:p w14:paraId="364A83A7"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w:t>
            </w:r>
          </w:p>
        </w:tc>
        <w:tc>
          <w:tcPr>
            <w:tcW w:w="99" w:type="pct"/>
            <w:noWrap/>
            <w:hideMark/>
          </w:tcPr>
          <w:p w14:paraId="63A9794E"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74" w:type="pct"/>
            <w:noWrap/>
            <w:hideMark/>
          </w:tcPr>
          <w:p w14:paraId="779F84CB"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w:t>
            </w:r>
          </w:p>
        </w:tc>
        <w:tc>
          <w:tcPr>
            <w:tcW w:w="99" w:type="pct"/>
            <w:noWrap/>
            <w:hideMark/>
          </w:tcPr>
          <w:p w14:paraId="3DB64952"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noWrap/>
            <w:hideMark/>
          </w:tcPr>
          <w:p w14:paraId="1527A615"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w:t>
            </w:r>
          </w:p>
        </w:tc>
        <w:tc>
          <w:tcPr>
            <w:tcW w:w="99" w:type="pct"/>
            <w:noWrap/>
            <w:hideMark/>
          </w:tcPr>
          <w:p w14:paraId="2D1B3E8F"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noWrap/>
            <w:hideMark/>
          </w:tcPr>
          <w:p w14:paraId="093BC001"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w:t>
            </w:r>
          </w:p>
        </w:tc>
        <w:tc>
          <w:tcPr>
            <w:tcW w:w="99" w:type="pct"/>
            <w:noWrap/>
            <w:hideMark/>
          </w:tcPr>
          <w:p w14:paraId="5441A7DA"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noWrap/>
            <w:hideMark/>
          </w:tcPr>
          <w:p w14:paraId="75D12697"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w:t>
            </w:r>
          </w:p>
        </w:tc>
        <w:tc>
          <w:tcPr>
            <w:tcW w:w="99" w:type="pct"/>
            <w:noWrap/>
            <w:hideMark/>
          </w:tcPr>
          <w:p w14:paraId="73C26B3C"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noWrap/>
            <w:hideMark/>
          </w:tcPr>
          <w:p w14:paraId="0498CAB8"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w:t>
            </w:r>
          </w:p>
        </w:tc>
      </w:tr>
      <w:tr w:rsidR="005A06E2" w:rsidRPr="005D0A7A" w14:paraId="751A704E" w14:textId="77777777" w:rsidTr="005A06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3" w:type="pct"/>
            <w:noWrap/>
            <w:hideMark/>
          </w:tcPr>
          <w:p w14:paraId="14E9046D" w14:textId="77777777" w:rsidR="005A06E2" w:rsidRPr="005D0A7A" w:rsidRDefault="005A06E2" w:rsidP="005A06E2">
            <w:pPr>
              <w:ind w:firstLineChars="100" w:firstLine="200"/>
              <w:rPr>
                <w:rFonts w:ascii="Arial" w:hAnsi="Arial" w:cs="Arial"/>
                <w:color w:val="000000"/>
                <w:sz w:val="20"/>
                <w:szCs w:val="20"/>
                <w:lang w:eastAsia="en-ZA"/>
              </w:rPr>
            </w:pPr>
            <w:r w:rsidRPr="005D0A7A">
              <w:rPr>
                <w:rFonts w:ascii="Arial" w:hAnsi="Arial" w:cs="Arial"/>
                <w:color w:val="000000"/>
                <w:sz w:val="20"/>
                <w:szCs w:val="20"/>
                <w:lang w:eastAsia="en-ZA"/>
              </w:rPr>
              <w:t>Debt</w:t>
            </w:r>
          </w:p>
        </w:tc>
        <w:tc>
          <w:tcPr>
            <w:tcW w:w="99" w:type="pct"/>
            <w:noWrap/>
            <w:hideMark/>
          </w:tcPr>
          <w:p w14:paraId="4A5B852A" w14:textId="77777777" w:rsidR="005A06E2" w:rsidRPr="005D0A7A" w:rsidRDefault="005A06E2" w:rsidP="005A06E2">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99" w:type="pct"/>
            <w:noWrap/>
            <w:hideMark/>
          </w:tcPr>
          <w:p w14:paraId="3410859C"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94" w:type="pct"/>
            <w:noWrap/>
            <w:hideMark/>
          </w:tcPr>
          <w:p w14:paraId="78E273FB"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1,000</w:t>
            </w:r>
          </w:p>
        </w:tc>
        <w:tc>
          <w:tcPr>
            <w:tcW w:w="99" w:type="pct"/>
            <w:noWrap/>
            <w:hideMark/>
          </w:tcPr>
          <w:p w14:paraId="22885ADF"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74" w:type="pct"/>
            <w:noWrap/>
            <w:hideMark/>
          </w:tcPr>
          <w:p w14:paraId="6412EC0F"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99" w:type="pct"/>
            <w:noWrap/>
            <w:hideMark/>
          </w:tcPr>
          <w:p w14:paraId="44F6ED7D"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p>
        </w:tc>
        <w:tc>
          <w:tcPr>
            <w:tcW w:w="487" w:type="pct"/>
            <w:noWrap/>
            <w:hideMark/>
          </w:tcPr>
          <w:p w14:paraId="5001BFC8"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99" w:type="pct"/>
            <w:noWrap/>
            <w:hideMark/>
          </w:tcPr>
          <w:p w14:paraId="6E2740A8"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87" w:type="pct"/>
            <w:noWrap/>
            <w:hideMark/>
          </w:tcPr>
          <w:p w14:paraId="72E86789"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99" w:type="pct"/>
            <w:noWrap/>
            <w:hideMark/>
          </w:tcPr>
          <w:p w14:paraId="58D8F25F"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87" w:type="pct"/>
            <w:noWrap/>
            <w:hideMark/>
          </w:tcPr>
          <w:p w14:paraId="15D70D3E"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99" w:type="pct"/>
            <w:noWrap/>
            <w:hideMark/>
          </w:tcPr>
          <w:p w14:paraId="7623B81F"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c>
          <w:tcPr>
            <w:tcW w:w="487" w:type="pct"/>
            <w:noWrap/>
            <w:hideMark/>
          </w:tcPr>
          <w:p w14:paraId="535B6ABB" w14:textId="77777777" w:rsidR="005A06E2" w:rsidRPr="005D0A7A" w:rsidRDefault="005A06E2" w:rsidP="005A06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ZA"/>
              </w:rPr>
            </w:pPr>
          </w:p>
        </w:tc>
      </w:tr>
      <w:tr w:rsidR="005A06E2" w:rsidRPr="005D0A7A" w14:paraId="00792991" w14:textId="77777777" w:rsidTr="005A06E2">
        <w:trPr>
          <w:trHeight w:val="300"/>
        </w:trPr>
        <w:tc>
          <w:tcPr>
            <w:cnfStyle w:val="001000000000" w:firstRow="0" w:lastRow="0" w:firstColumn="1" w:lastColumn="0" w:oddVBand="0" w:evenVBand="0" w:oddHBand="0" w:evenHBand="0" w:firstRowFirstColumn="0" w:firstRowLastColumn="0" w:lastRowFirstColumn="0" w:lastRowLastColumn="0"/>
            <w:tcW w:w="1393" w:type="pct"/>
            <w:noWrap/>
            <w:hideMark/>
          </w:tcPr>
          <w:p w14:paraId="12536184" w14:textId="77777777" w:rsidR="005A06E2" w:rsidRPr="005D0A7A" w:rsidRDefault="005A06E2" w:rsidP="005A06E2">
            <w:pPr>
              <w:ind w:firstLineChars="100" w:firstLine="200"/>
              <w:rPr>
                <w:rFonts w:ascii="Arial" w:hAnsi="Arial" w:cs="Arial"/>
                <w:color w:val="000000"/>
                <w:sz w:val="20"/>
                <w:szCs w:val="20"/>
                <w:lang w:eastAsia="en-ZA"/>
              </w:rPr>
            </w:pPr>
            <w:r w:rsidRPr="005D0A7A">
              <w:rPr>
                <w:rFonts w:ascii="Arial" w:hAnsi="Arial" w:cs="Arial"/>
                <w:color w:val="000000"/>
                <w:sz w:val="20"/>
                <w:szCs w:val="20"/>
                <w:lang w:eastAsia="en-ZA"/>
              </w:rPr>
              <w:t>Grant/Fiscal reimbursement</w:t>
            </w:r>
          </w:p>
        </w:tc>
        <w:tc>
          <w:tcPr>
            <w:tcW w:w="99" w:type="pct"/>
            <w:noWrap/>
            <w:hideMark/>
          </w:tcPr>
          <w:p w14:paraId="23D0BE20" w14:textId="77777777" w:rsidR="005A06E2" w:rsidRPr="005D0A7A" w:rsidRDefault="005A06E2" w:rsidP="005A06E2">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p>
        </w:tc>
        <w:tc>
          <w:tcPr>
            <w:tcW w:w="99" w:type="pct"/>
            <w:noWrap/>
            <w:hideMark/>
          </w:tcPr>
          <w:p w14:paraId="1A1A9BCF"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94" w:type="pct"/>
            <w:noWrap/>
            <w:hideMark/>
          </w:tcPr>
          <w:p w14:paraId="09D800EF"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408</w:t>
            </w:r>
          </w:p>
        </w:tc>
        <w:tc>
          <w:tcPr>
            <w:tcW w:w="99" w:type="pct"/>
            <w:noWrap/>
            <w:hideMark/>
          </w:tcPr>
          <w:p w14:paraId="3EA89529"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74" w:type="pct"/>
            <w:noWrap/>
            <w:hideMark/>
          </w:tcPr>
          <w:p w14:paraId="646F128B"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408</w:t>
            </w:r>
          </w:p>
        </w:tc>
        <w:tc>
          <w:tcPr>
            <w:tcW w:w="99" w:type="pct"/>
            <w:noWrap/>
            <w:hideMark/>
          </w:tcPr>
          <w:p w14:paraId="142757BC"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noWrap/>
            <w:hideMark/>
          </w:tcPr>
          <w:p w14:paraId="445D76BA"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408</w:t>
            </w:r>
          </w:p>
        </w:tc>
        <w:tc>
          <w:tcPr>
            <w:tcW w:w="99" w:type="pct"/>
            <w:noWrap/>
            <w:hideMark/>
          </w:tcPr>
          <w:p w14:paraId="50A09696"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noWrap/>
            <w:hideMark/>
          </w:tcPr>
          <w:p w14:paraId="3BBDCA3D"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408</w:t>
            </w:r>
          </w:p>
        </w:tc>
        <w:tc>
          <w:tcPr>
            <w:tcW w:w="99" w:type="pct"/>
            <w:noWrap/>
            <w:hideMark/>
          </w:tcPr>
          <w:p w14:paraId="7B046684"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noWrap/>
            <w:hideMark/>
          </w:tcPr>
          <w:p w14:paraId="72DDC66B"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408</w:t>
            </w:r>
          </w:p>
        </w:tc>
        <w:tc>
          <w:tcPr>
            <w:tcW w:w="99" w:type="pct"/>
            <w:noWrap/>
            <w:hideMark/>
          </w:tcPr>
          <w:p w14:paraId="4111E970"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p>
        </w:tc>
        <w:tc>
          <w:tcPr>
            <w:tcW w:w="487" w:type="pct"/>
            <w:noWrap/>
            <w:hideMark/>
          </w:tcPr>
          <w:p w14:paraId="67353D2F" w14:textId="77777777" w:rsidR="005A06E2" w:rsidRPr="005D0A7A" w:rsidRDefault="005A06E2" w:rsidP="005A06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408</w:t>
            </w:r>
          </w:p>
        </w:tc>
      </w:tr>
    </w:tbl>
    <w:p w14:paraId="433C4BF5" w14:textId="77777777" w:rsidR="005A06E2" w:rsidRPr="005D0A7A" w:rsidRDefault="005A06E2" w:rsidP="005A06E2">
      <w:pPr>
        <w:rPr>
          <w:rFonts w:ascii="Arial" w:hAnsi="Arial" w:cs="Arial"/>
          <w:sz w:val="20"/>
          <w:szCs w:val="20"/>
        </w:rPr>
      </w:pPr>
    </w:p>
    <w:p w14:paraId="7B3ADD41" w14:textId="77777777" w:rsidR="005A06E2" w:rsidRDefault="005A06E2" w:rsidP="005A06E2">
      <w:pPr>
        <w:rPr>
          <w:rFonts w:ascii="Arial" w:hAnsi="Arial" w:cs="Arial"/>
          <w:b/>
          <w:sz w:val="20"/>
          <w:szCs w:val="20"/>
        </w:rPr>
      </w:pPr>
    </w:p>
    <w:p w14:paraId="1C46F775" w14:textId="77777777" w:rsidR="005D0A7A" w:rsidRDefault="005D0A7A" w:rsidP="005A06E2">
      <w:pPr>
        <w:rPr>
          <w:rFonts w:ascii="Arial" w:hAnsi="Arial" w:cs="Arial"/>
          <w:b/>
          <w:sz w:val="20"/>
          <w:szCs w:val="20"/>
        </w:rPr>
      </w:pPr>
    </w:p>
    <w:p w14:paraId="69900C42" w14:textId="77777777" w:rsidR="005D0A7A" w:rsidRPr="005D0A7A" w:rsidRDefault="005D0A7A" w:rsidP="005A06E2">
      <w:pPr>
        <w:rPr>
          <w:rFonts w:ascii="Arial" w:hAnsi="Arial" w:cs="Arial"/>
          <w:b/>
          <w:sz w:val="20"/>
          <w:szCs w:val="20"/>
        </w:rPr>
      </w:pPr>
    </w:p>
    <w:p w14:paraId="56332820" w14:textId="77777777" w:rsidR="005A06E2" w:rsidRPr="005D0A7A" w:rsidRDefault="005A06E2" w:rsidP="00103A72">
      <w:pPr>
        <w:pStyle w:val="ListParagraph"/>
        <w:widowControl/>
        <w:numPr>
          <w:ilvl w:val="1"/>
          <w:numId w:val="27"/>
        </w:numPr>
        <w:spacing w:line="276" w:lineRule="auto"/>
        <w:jc w:val="both"/>
        <w:rPr>
          <w:rFonts w:ascii="Arial" w:hAnsi="Arial" w:cs="Arial"/>
          <w:b/>
          <w:bCs/>
          <w:sz w:val="20"/>
          <w:szCs w:val="20"/>
          <w:lang w:val="en-ZA"/>
        </w:rPr>
      </w:pPr>
      <w:bookmarkStart w:id="3" w:name="_Toc206097602"/>
      <w:r w:rsidRPr="005D0A7A">
        <w:rPr>
          <w:rFonts w:ascii="Arial" w:hAnsi="Arial" w:cs="Arial"/>
          <w:b/>
          <w:bCs/>
          <w:sz w:val="20"/>
          <w:szCs w:val="20"/>
          <w:lang w:val="en-ZA"/>
        </w:rPr>
        <w:lastRenderedPageBreak/>
        <w:t>Existing Debt Maturity Profile (R’m)</w:t>
      </w:r>
      <w:bookmarkEnd w:id="3"/>
    </w:p>
    <w:tbl>
      <w:tblPr>
        <w:tblStyle w:val="PlainTable2"/>
        <w:tblW w:w="5000" w:type="pct"/>
        <w:tblLook w:val="04A0" w:firstRow="1" w:lastRow="0" w:firstColumn="1" w:lastColumn="0" w:noHBand="0" w:noVBand="1"/>
      </w:tblPr>
      <w:tblGrid>
        <w:gridCol w:w="1908"/>
        <w:gridCol w:w="1418"/>
        <w:gridCol w:w="1345"/>
        <w:gridCol w:w="623"/>
        <w:gridCol w:w="623"/>
        <w:gridCol w:w="623"/>
        <w:gridCol w:w="623"/>
        <w:gridCol w:w="623"/>
        <w:gridCol w:w="623"/>
        <w:gridCol w:w="621"/>
      </w:tblGrid>
      <w:tr w:rsidR="005A06E2" w:rsidRPr="005D0A7A" w14:paraId="06F5ED9E" w14:textId="77777777" w:rsidTr="005A06E2">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056" w:type="pct"/>
            <w:shd w:val="clear" w:color="auto" w:fill="DBE5F1" w:themeFill="accent1" w:themeFillTint="33"/>
            <w:hideMark/>
          </w:tcPr>
          <w:p w14:paraId="03973FE7" w14:textId="77777777" w:rsidR="005A06E2" w:rsidRPr="005D0A7A" w:rsidRDefault="005A06E2" w:rsidP="005A06E2">
            <w:pPr>
              <w:rPr>
                <w:rFonts w:ascii="Arial" w:hAnsi="Arial" w:cs="Arial"/>
                <w:sz w:val="20"/>
                <w:szCs w:val="20"/>
                <w:lang w:eastAsia="en-ZA"/>
              </w:rPr>
            </w:pPr>
            <w:r w:rsidRPr="005D0A7A">
              <w:rPr>
                <w:rFonts w:ascii="Arial" w:hAnsi="Arial" w:cs="Arial"/>
                <w:sz w:val="20"/>
                <w:szCs w:val="20"/>
                <w:lang w:eastAsia="en-ZA"/>
              </w:rPr>
              <w:t>Capital balances (R'm)</w:t>
            </w:r>
          </w:p>
        </w:tc>
        <w:tc>
          <w:tcPr>
            <w:tcW w:w="785" w:type="pct"/>
            <w:shd w:val="clear" w:color="auto" w:fill="DBE5F1" w:themeFill="accent1" w:themeFillTint="33"/>
            <w:hideMark/>
          </w:tcPr>
          <w:p w14:paraId="5C7B2016" w14:textId="77777777" w:rsidR="005A06E2" w:rsidRPr="005D0A7A" w:rsidRDefault="005A06E2" w:rsidP="005A06E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14:ligatures w14:val="standardContextual"/>
              </w:rPr>
            </w:pPr>
            <w:r w:rsidRPr="005D0A7A">
              <w:rPr>
                <w:rFonts w:ascii="Arial" w:hAnsi="Arial" w:cs="Arial"/>
                <w:sz w:val="20"/>
                <w:szCs w:val="20"/>
                <w:lang w:eastAsia="en-ZA"/>
              </w:rPr>
              <w:t>Lender</w:t>
            </w:r>
          </w:p>
        </w:tc>
        <w:tc>
          <w:tcPr>
            <w:tcW w:w="745" w:type="pct"/>
            <w:shd w:val="clear" w:color="auto" w:fill="DBE5F1" w:themeFill="accent1" w:themeFillTint="33"/>
            <w:hideMark/>
          </w:tcPr>
          <w:p w14:paraId="7A8ADB68" w14:textId="77777777" w:rsidR="005A06E2" w:rsidRPr="005D0A7A" w:rsidRDefault="005A06E2" w:rsidP="005A06E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Maturity date</w:t>
            </w:r>
          </w:p>
        </w:tc>
        <w:tc>
          <w:tcPr>
            <w:tcW w:w="345" w:type="pct"/>
            <w:shd w:val="clear" w:color="auto" w:fill="DBE5F1" w:themeFill="accent1" w:themeFillTint="33"/>
            <w:noWrap/>
            <w:hideMark/>
          </w:tcPr>
          <w:p w14:paraId="3C1028CE" w14:textId="77777777" w:rsidR="005A06E2" w:rsidRPr="005D0A7A" w:rsidRDefault="005A06E2" w:rsidP="005A06E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F24</w:t>
            </w:r>
          </w:p>
        </w:tc>
        <w:tc>
          <w:tcPr>
            <w:tcW w:w="345" w:type="pct"/>
            <w:shd w:val="clear" w:color="auto" w:fill="DBE5F1" w:themeFill="accent1" w:themeFillTint="33"/>
            <w:noWrap/>
            <w:hideMark/>
          </w:tcPr>
          <w:p w14:paraId="52FA42C6" w14:textId="77777777" w:rsidR="005A06E2" w:rsidRPr="005D0A7A" w:rsidRDefault="005A06E2" w:rsidP="005A06E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F25</w:t>
            </w:r>
          </w:p>
        </w:tc>
        <w:tc>
          <w:tcPr>
            <w:tcW w:w="345" w:type="pct"/>
            <w:shd w:val="clear" w:color="auto" w:fill="DBE5F1" w:themeFill="accent1" w:themeFillTint="33"/>
            <w:noWrap/>
            <w:hideMark/>
          </w:tcPr>
          <w:p w14:paraId="65E07AE5" w14:textId="77777777" w:rsidR="005A06E2" w:rsidRPr="005D0A7A" w:rsidRDefault="005A06E2" w:rsidP="005A06E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F26</w:t>
            </w:r>
          </w:p>
        </w:tc>
        <w:tc>
          <w:tcPr>
            <w:tcW w:w="345" w:type="pct"/>
            <w:shd w:val="clear" w:color="auto" w:fill="DBE5F1" w:themeFill="accent1" w:themeFillTint="33"/>
            <w:noWrap/>
            <w:hideMark/>
          </w:tcPr>
          <w:p w14:paraId="6FD7A2A4" w14:textId="77777777" w:rsidR="005A06E2" w:rsidRPr="005D0A7A" w:rsidRDefault="005A06E2" w:rsidP="005A06E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F27</w:t>
            </w:r>
          </w:p>
        </w:tc>
        <w:tc>
          <w:tcPr>
            <w:tcW w:w="345" w:type="pct"/>
            <w:shd w:val="clear" w:color="auto" w:fill="DBE5F1" w:themeFill="accent1" w:themeFillTint="33"/>
            <w:hideMark/>
          </w:tcPr>
          <w:p w14:paraId="3E876CA8" w14:textId="77777777" w:rsidR="005A06E2" w:rsidRPr="005D0A7A" w:rsidRDefault="005A06E2" w:rsidP="005A06E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F28</w:t>
            </w:r>
          </w:p>
        </w:tc>
        <w:tc>
          <w:tcPr>
            <w:tcW w:w="345" w:type="pct"/>
            <w:shd w:val="clear" w:color="auto" w:fill="DBE5F1" w:themeFill="accent1" w:themeFillTint="33"/>
            <w:hideMark/>
          </w:tcPr>
          <w:p w14:paraId="6C604544" w14:textId="77777777" w:rsidR="005A06E2" w:rsidRPr="005D0A7A" w:rsidRDefault="005A06E2" w:rsidP="005A06E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F29</w:t>
            </w:r>
          </w:p>
        </w:tc>
        <w:tc>
          <w:tcPr>
            <w:tcW w:w="344" w:type="pct"/>
            <w:shd w:val="clear" w:color="auto" w:fill="DBE5F1" w:themeFill="accent1" w:themeFillTint="33"/>
            <w:hideMark/>
          </w:tcPr>
          <w:p w14:paraId="444E328C" w14:textId="77777777" w:rsidR="005A06E2" w:rsidRPr="005D0A7A" w:rsidRDefault="005A06E2" w:rsidP="005A06E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ZA"/>
              </w:rPr>
            </w:pPr>
            <w:r w:rsidRPr="005D0A7A">
              <w:rPr>
                <w:rFonts w:ascii="Arial" w:hAnsi="Arial" w:cs="Arial"/>
                <w:sz w:val="20"/>
                <w:szCs w:val="20"/>
                <w:lang w:eastAsia="en-ZA"/>
              </w:rPr>
              <w:t>F30</w:t>
            </w:r>
          </w:p>
        </w:tc>
      </w:tr>
      <w:tr w:rsidR="005A06E2" w:rsidRPr="005D0A7A" w14:paraId="1A4D370F" w14:textId="77777777" w:rsidTr="005A06E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056" w:type="pct"/>
            <w:noWrap/>
            <w:hideMark/>
          </w:tcPr>
          <w:p w14:paraId="23A98830" w14:textId="77777777" w:rsidR="005A06E2" w:rsidRPr="005D0A7A" w:rsidRDefault="005A06E2" w:rsidP="005A06E2">
            <w:pPr>
              <w:rPr>
                <w:rFonts w:ascii="Arial" w:hAnsi="Arial" w:cs="Arial"/>
                <w:color w:val="000000"/>
                <w:sz w:val="20"/>
                <w:szCs w:val="20"/>
                <w:lang w:eastAsia="en-ZA"/>
              </w:rPr>
            </w:pPr>
            <w:r w:rsidRPr="005D0A7A">
              <w:rPr>
                <w:rFonts w:ascii="Arial" w:hAnsi="Arial" w:cs="Arial"/>
                <w:color w:val="000000"/>
                <w:sz w:val="20"/>
                <w:szCs w:val="20"/>
                <w:lang w:eastAsia="en-ZA"/>
              </w:rPr>
              <w:t>EIB1 (Variable)</w:t>
            </w:r>
          </w:p>
        </w:tc>
        <w:tc>
          <w:tcPr>
            <w:tcW w:w="785" w:type="pct"/>
            <w:hideMark/>
          </w:tcPr>
          <w:p w14:paraId="39DA5F59" w14:textId="77777777" w:rsidR="005A06E2" w:rsidRPr="005D0A7A" w:rsidRDefault="005A06E2" w:rsidP="005A06E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EIB</w:t>
            </w:r>
          </w:p>
        </w:tc>
        <w:tc>
          <w:tcPr>
            <w:tcW w:w="745" w:type="pct"/>
            <w:hideMark/>
          </w:tcPr>
          <w:p w14:paraId="09889EDE" w14:textId="77777777" w:rsidR="005A06E2" w:rsidRPr="005D0A7A" w:rsidRDefault="005A06E2" w:rsidP="005A06E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2028/12/18</w:t>
            </w:r>
          </w:p>
        </w:tc>
        <w:tc>
          <w:tcPr>
            <w:tcW w:w="345" w:type="pct"/>
            <w:noWrap/>
            <w:hideMark/>
          </w:tcPr>
          <w:p w14:paraId="594373B4" w14:textId="77777777" w:rsidR="005A06E2" w:rsidRPr="005D0A7A" w:rsidRDefault="005A06E2" w:rsidP="005A06E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58</w:t>
            </w:r>
          </w:p>
        </w:tc>
        <w:tc>
          <w:tcPr>
            <w:tcW w:w="345" w:type="pct"/>
            <w:noWrap/>
            <w:hideMark/>
          </w:tcPr>
          <w:p w14:paraId="0BBA9E0E" w14:textId="77777777" w:rsidR="005A06E2" w:rsidRPr="005D0A7A" w:rsidRDefault="005A06E2" w:rsidP="005A06E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45</w:t>
            </w:r>
          </w:p>
        </w:tc>
        <w:tc>
          <w:tcPr>
            <w:tcW w:w="345" w:type="pct"/>
            <w:noWrap/>
            <w:hideMark/>
          </w:tcPr>
          <w:p w14:paraId="114E3483" w14:textId="77777777" w:rsidR="005A06E2" w:rsidRPr="005D0A7A" w:rsidRDefault="005A06E2" w:rsidP="005A06E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32</w:t>
            </w:r>
          </w:p>
        </w:tc>
        <w:tc>
          <w:tcPr>
            <w:tcW w:w="345" w:type="pct"/>
            <w:noWrap/>
            <w:hideMark/>
          </w:tcPr>
          <w:p w14:paraId="00414CA0" w14:textId="77777777" w:rsidR="005A06E2" w:rsidRPr="005D0A7A" w:rsidRDefault="005A06E2" w:rsidP="005A06E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19</w:t>
            </w:r>
          </w:p>
        </w:tc>
        <w:tc>
          <w:tcPr>
            <w:tcW w:w="345" w:type="pct"/>
            <w:hideMark/>
          </w:tcPr>
          <w:p w14:paraId="64255117" w14:textId="77777777" w:rsidR="005A06E2" w:rsidRPr="005D0A7A" w:rsidRDefault="005A06E2" w:rsidP="005A06E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6</w:t>
            </w:r>
          </w:p>
        </w:tc>
        <w:tc>
          <w:tcPr>
            <w:tcW w:w="345" w:type="pct"/>
            <w:hideMark/>
          </w:tcPr>
          <w:p w14:paraId="06A4DDB1" w14:textId="77777777" w:rsidR="005A06E2" w:rsidRPr="005D0A7A" w:rsidRDefault="005A06E2" w:rsidP="005A06E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w:t>
            </w:r>
          </w:p>
        </w:tc>
        <w:tc>
          <w:tcPr>
            <w:tcW w:w="344" w:type="pct"/>
            <w:hideMark/>
          </w:tcPr>
          <w:p w14:paraId="7DD9743D" w14:textId="77777777" w:rsidR="005A06E2" w:rsidRPr="005D0A7A" w:rsidRDefault="005A06E2" w:rsidP="005A06E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w:t>
            </w:r>
          </w:p>
        </w:tc>
      </w:tr>
      <w:tr w:rsidR="005A06E2" w:rsidRPr="005D0A7A" w14:paraId="547CEE3E" w14:textId="77777777" w:rsidTr="005A06E2">
        <w:trPr>
          <w:trHeight w:val="19"/>
        </w:trPr>
        <w:tc>
          <w:tcPr>
            <w:cnfStyle w:val="001000000000" w:firstRow="0" w:lastRow="0" w:firstColumn="1" w:lastColumn="0" w:oddVBand="0" w:evenVBand="0" w:oddHBand="0" w:evenHBand="0" w:firstRowFirstColumn="0" w:firstRowLastColumn="0" w:lastRowFirstColumn="0" w:lastRowLastColumn="0"/>
            <w:tcW w:w="1056" w:type="pct"/>
            <w:noWrap/>
            <w:hideMark/>
          </w:tcPr>
          <w:p w14:paraId="1F45E755" w14:textId="77777777" w:rsidR="005A06E2" w:rsidRPr="005D0A7A" w:rsidRDefault="005A06E2" w:rsidP="005A06E2">
            <w:pPr>
              <w:rPr>
                <w:rFonts w:ascii="Arial" w:hAnsi="Arial" w:cs="Arial"/>
                <w:color w:val="000000"/>
                <w:sz w:val="20"/>
                <w:szCs w:val="20"/>
                <w:lang w:eastAsia="en-ZA"/>
              </w:rPr>
            </w:pPr>
            <w:r w:rsidRPr="005D0A7A">
              <w:rPr>
                <w:rFonts w:ascii="Arial" w:hAnsi="Arial" w:cs="Arial"/>
                <w:color w:val="000000"/>
                <w:sz w:val="20"/>
                <w:szCs w:val="20"/>
                <w:lang w:eastAsia="en-ZA"/>
              </w:rPr>
              <w:t>EIB 2</w:t>
            </w:r>
          </w:p>
        </w:tc>
        <w:tc>
          <w:tcPr>
            <w:tcW w:w="785" w:type="pct"/>
            <w:hideMark/>
          </w:tcPr>
          <w:p w14:paraId="57C87A26" w14:textId="77777777" w:rsidR="005A06E2" w:rsidRPr="005D0A7A" w:rsidRDefault="005A06E2" w:rsidP="005A06E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EIB</w:t>
            </w:r>
          </w:p>
        </w:tc>
        <w:tc>
          <w:tcPr>
            <w:tcW w:w="745" w:type="pct"/>
            <w:hideMark/>
          </w:tcPr>
          <w:p w14:paraId="4102EE94" w14:textId="77777777" w:rsidR="005A06E2" w:rsidRPr="005D0A7A" w:rsidRDefault="005A06E2" w:rsidP="005A06E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2029/03/31</w:t>
            </w:r>
          </w:p>
        </w:tc>
        <w:tc>
          <w:tcPr>
            <w:tcW w:w="345" w:type="pct"/>
            <w:noWrap/>
            <w:hideMark/>
          </w:tcPr>
          <w:p w14:paraId="28877763" w14:textId="77777777" w:rsidR="005A06E2" w:rsidRPr="005D0A7A" w:rsidRDefault="005A06E2" w:rsidP="005A06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66</w:t>
            </w:r>
          </w:p>
        </w:tc>
        <w:tc>
          <w:tcPr>
            <w:tcW w:w="345" w:type="pct"/>
            <w:noWrap/>
            <w:hideMark/>
          </w:tcPr>
          <w:p w14:paraId="6FFBDFB6" w14:textId="77777777" w:rsidR="005A06E2" w:rsidRPr="005D0A7A" w:rsidRDefault="005A06E2" w:rsidP="005A06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54</w:t>
            </w:r>
          </w:p>
        </w:tc>
        <w:tc>
          <w:tcPr>
            <w:tcW w:w="345" w:type="pct"/>
            <w:noWrap/>
            <w:hideMark/>
          </w:tcPr>
          <w:p w14:paraId="2CC245A6" w14:textId="77777777" w:rsidR="005A06E2" w:rsidRPr="005D0A7A" w:rsidRDefault="005A06E2" w:rsidP="005A06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42</w:t>
            </w:r>
          </w:p>
        </w:tc>
        <w:tc>
          <w:tcPr>
            <w:tcW w:w="345" w:type="pct"/>
            <w:noWrap/>
            <w:hideMark/>
          </w:tcPr>
          <w:p w14:paraId="33F6C6F3" w14:textId="77777777" w:rsidR="005A06E2" w:rsidRPr="005D0A7A" w:rsidRDefault="005A06E2" w:rsidP="005A06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30</w:t>
            </w:r>
          </w:p>
        </w:tc>
        <w:tc>
          <w:tcPr>
            <w:tcW w:w="345" w:type="pct"/>
            <w:hideMark/>
          </w:tcPr>
          <w:p w14:paraId="1D3B235C" w14:textId="77777777" w:rsidR="005A06E2" w:rsidRPr="005D0A7A" w:rsidRDefault="005A06E2" w:rsidP="005A06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18</w:t>
            </w:r>
          </w:p>
        </w:tc>
        <w:tc>
          <w:tcPr>
            <w:tcW w:w="345" w:type="pct"/>
            <w:hideMark/>
          </w:tcPr>
          <w:p w14:paraId="00C8340D" w14:textId="77777777" w:rsidR="005A06E2" w:rsidRPr="005D0A7A" w:rsidRDefault="005A06E2" w:rsidP="005A06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6</w:t>
            </w:r>
          </w:p>
        </w:tc>
        <w:tc>
          <w:tcPr>
            <w:tcW w:w="344" w:type="pct"/>
            <w:hideMark/>
          </w:tcPr>
          <w:p w14:paraId="1B818FF8" w14:textId="77777777" w:rsidR="005A06E2" w:rsidRPr="005D0A7A" w:rsidRDefault="005A06E2" w:rsidP="005A06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w:t>
            </w:r>
          </w:p>
        </w:tc>
      </w:tr>
      <w:tr w:rsidR="005A06E2" w:rsidRPr="005D0A7A" w14:paraId="29BCF09B" w14:textId="77777777" w:rsidTr="005A06E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056" w:type="pct"/>
            <w:noWrap/>
            <w:hideMark/>
          </w:tcPr>
          <w:p w14:paraId="57CC9B00" w14:textId="77777777" w:rsidR="005A06E2" w:rsidRPr="005D0A7A" w:rsidRDefault="005A06E2" w:rsidP="005A06E2">
            <w:pPr>
              <w:rPr>
                <w:rFonts w:ascii="Arial" w:hAnsi="Arial" w:cs="Arial"/>
                <w:color w:val="000000"/>
                <w:sz w:val="20"/>
                <w:szCs w:val="20"/>
                <w:lang w:eastAsia="en-ZA"/>
              </w:rPr>
            </w:pPr>
            <w:r w:rsidRPr="005D0A7A">
              <w:rPr>
                <w:rFonts w:ascii="Arial" w:hAnsi="Arial" w:cs="Arial"/>
                <w:color w:val="000000"/>
                <w:sz w:val="20"/>
                <w:szCs w:val="20"/>
                <w:lang w:eastAsia="en-ZA"/>
              </w:rPr>
              <w:t>UG26*</w:t>
            </w:r>
          </w:p>
        </w:tc>
        <w:tc>
          <w:tcPr>
            <w:tcW w:w="785" w:type="pct"/>
            <w:hideMark/>
          </w:tcPr>
          <w:p w14:paraId="5F632252" w14:textId="77777777" w:rsidR="005A06E2" w:rsidRPr="005D0A7A" w:rsidRDefault="005A06E2" w:rsidP="005A06E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Capital market</w:t>
            </w:r>
          </w:p>
        </w:tc>
        <w:tc>
          <w:tcPr>
            <w:tcW w:w="745" w:type="pct"/>
            <w:hideMark/>
          </w:tcPr>
          <w:p w14:paraId="79287D07" w14:textId="77777777" w:rsidR="005A06E2" w:rsidRPr="005D0A7A" w:rsidRDefault="005A06E2" w:rsidP="005A06E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2026/03/09</w:t>
            </w:r>
          </w:p>
        </w:tc>
        <w:tc>
          <w:tcPr>
            <w:tcW w:w="345" w:type="pct"/>
            <w:noWrap/>
            <w:hideMark/>
          </w:tcPr>
          <w:p w14:paraId="21515C32" w14:textId="77777777" w:rsidR="005A06E2" w:rsidRPr="005D0A7A" w:rsidRDefault="005A06E2" w:rsidP="005A06E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935</w:t>
            </w:r>
          </w:p>
        </w:tc>
        <w:tc>
          <w:tcPr>
            <w:tcW w:w="345" w:type="pct"/>
            <w:noWrap/>
            <w:hideMark/>
          </w:tcPr>
          <w:p w14:paraId="494ABE4F" w14:textId="77777777" w:rsidR="005A06E2" w:rsidRPr="005D0A7A" w:rsidRDefault="005A06E2" w:rsidP="005A06E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935</w:t>
            </w:r>
          </w:p>
        </w:tc>
        <w:tc>
          <w:tcPr>
            <w:tcW w:w="345" w:type="pct"/>
            <w:noWrap/>
            <w:hideMark/>
          </w:tcPr>
          <w:p w14:paraId="5373B5DD" w14:textId="77777777" w:rsidR="005A06E2" w:rsidRPr="005D0A7A" w:rsidRDefault="005A06E2" w:rsidP="005A06E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w:t>
            </w:r>
          </w:p>
        </w:tc>
        <w:tc>
          <w:tcPr>
            <w:tcW w:w="345" w:type="pct"/>
            <w:noWrap/>
            <w:hideMark/>
          </w:tcPr>
          <w:p w14:paraId="1914BEF9" w14:textId="77777777" w:rsidR="005A06E2" w:rsidRPr="005D0A7A" w:rsidRDefault="005A06E2" w:rsidP="005A06E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w:t>
            </w:r>
          </w:p>
        </w:tc>
        <w:tc>
          <w:tcPr>
            <w:tcW w:w="345" w:type="pct"/>
            <w:hideMark/>
          </w:tcPr>
          <w:p w14:paraId="4BEF0836" w14:textId="77777777" w:rsidR="005A06E2" w:rsidRPr="005D0A7A" w:rsidRDefault="005A06E2" w:rsidP="005A06E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w:t>
            </w:r>
          </w:p>
        </w:tc>
        <w:tc>
          <w:tcPr>
            <w:tcW w:w="345" w:type="pct"/>
            <w:hideMark/>
          </w:tcPr>
          <w:p w14:paraId="2C1ACA79" w14:textId="77777777" w:rsidR="005A06E2" w:rsidRPr="005D0A7A" w:rsidRDefault="005A06E2" w:rsidP="005A06E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w:t>
            </w:r>
          </w:p>
        </w:tc>
        <w:tc>
          <w:tcPr>
            <w:tcW w:w="344" w:type="pct"/>
            <w:hideMark/>
          </w:tcPr>
          <w:p w14:paraId="1AD6490B" w14:textId="77777777" w:rsidR="005A06E2" w:rsidRPr="005D0A7A" w:rsidRDefault="005A06E2" w:rsidP="005A06E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w:t>
            </w:r>
          </w:p>
        </w:tc>
      </w:tr>
      <w:tr w:rsidR="005A06E2" w:rsidRPr="005D0A7A" w14:paraId="6DF7C4B1" w14:textId="77777777" w:rsidTr="005A06E2">
        <w:trPr>
          <w:trHeight w:val="19"/>
        </w:trPr>
        <w:tc>
          <w:tcPr>
            <w:cnfStyle w:val="001000000000" w:firstRow="0" w:lastRow="0" w:firstColumn="1" w:lastColumn="0" w:oddVBand="0" w:evenVBand="0" w:oddHBand="0" w:evenHBand="0" w:firstRowFirstColumn="0" w:firstRowLastColumn="0" w:lastRowFirstColumn="0" w:lastRowLastColumn="0"/>
            <w:tcW w:w="1056" w:type="pct"/>
            <w:hideMark/>
          </w:tcPr>
          <w:p w14:paraId="50673A55" w14:textId="77777777" w:rsidR="005A06E2" w:rsidRPr="005D0A7A" w:rsidRDefault="005A06E2" w:rsidP="005A06E2">
            <w:pPr>
              <w:rPr>
                <w:rFonts w:ascii="Arial" w:hAnsi="Arial" w:cs="Arial"/>
                <w:color w:val="000000"/>
                <w:sz w:val="20"/>
                <w:szCs w:val="20"/>
                <w:lang w:eastAsia="en-ZA"/>
              </w:rPr>
            </w:pPr>
            <w:r w:rsidRPr="005D0A7A">
              <w:rPr>
                <w:rFonts w:ascii="Arial" w:hAnsi="Arial" w:cs="Arial"/>
                <w:color w:val="000000"/>
                <w:sz w:val="20"/>
                <w:szCs w:val="20"/>
                <w:lang w:eastAsia="en-ZA"/>
              </w:rPr>
              <w:t>RMB loan (ex Mhlathuze Water loan)</w:t>
            </w:r>
          </w:p>
        </w:tc>
        <w:tc>
          <w:tcPr>
            <w:tcW w:w="785" w:type="pct"/>
            <w:hideMark/>
          </w:tcPr>
          <w:p w14:paraId="2335A86C" w14:textId="77777777" w:rsidR="005A06E2" w:rsidRPr="005D0A7A" w:rsidRDefault="005A06E2" w:rsidP="005A06E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RMB</w:t>
            </w:r>
          </w:p>
        </w:tc>
        <w:tc>
          <w:tcPr>
            <w:tcW w:w="745" w:type="pct"/>
            <w:hideMark/>
          </w:tcPr>
          <w:p w14:paraId="5C8AED08" w14:textId="77777777" w:rsidR="005A06E2" w:rsidRPr="005D0A7A" w:rsidRDefault="005A06E2" w:rsidP="005A06E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2025/11/30</w:t>
            </w:r>
          </w:p>
        </w:tc>
        <w:tc>
          <w:tcPr>
            <w:tcW w:w="345" w:type="pct"/>
            <w:noWrap/>
            <w:hideMark/>
          </w:tcPr>
          <w:p w14:paraId="58B435C7" w14:textId="77777777" w:rsidR="005A06E2" w:rsidRPr="005D0A7A" w:rsidRDefault="005A06E2" w:rsidP="005A06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14:ligatures w14:val="standardContextual"/>
              </w:rPr>
            </w:pPr>
            <w:r w:rsidRPr="005D0A7A">
              <w:rPr>
                <w:rFonts w:ascii="Arial" w:hAnsi="Arial" w:cs="Arial"/>
                <w:color w:val="000000"/>
                <w:sz w:val="20"/>
                <w:szCs w:val="20"/>
                <w:lang w:eastAsia="en-ZA"/>
              </w:rPr>
              <w:t>16</w:t>
            </w:r>
          </w:p>
        </w:tc>
        <w:tc>
          <w:tcPr>
            <w:tcW w:w="345" w:type="pct"/>
            <w:noWrap/>
            <w:hideMark/>
          </w:tcPr>
          <w:p w14:paraId="14800663" w14:textId="77777777" w:rsidR="005A06E2" w:rsidRPr="005D0A7A" w:rsidRDefault="005A06E2" w:rsidP="005A06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color w:val="000000"/>
                <w:sz w:val="20"/>
                <w:szCs w:val="20"/>
                <w:lang w:eastAsia="en-ZA"/>
              </w:rPr>
              <w:t>5</w:t>
            </w:r>
          </w:p>
        </w:tc>
        <w:tc>
          <w:tcPr>
            <w:tcW w:w="345" w:type="pct"/>
            <w:noWrap/>
            <w:hideMark/>
          </w:tcPr>
          <w:p w14:paraId="0E81B772" w14:textId="77777777" w:rsidR="005A06E2" w:rsidRPr="005D0A7A" w:rsidRDefault="005A06E2" w:rsidP="005A06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sz w:val="20"/>
                <w:szCs w:val="20"/>
              </w:rPr>
              <w:t>-</w:t>
            </w:r>
          </w:p>
        </w:tc>
        <w:tc>
          <w:tcPr>
            <w:tcW w:w="345" w:type="pct"/>
            <w:noWrap/>
            <w:hideMark/>
          </w:tcPr>
          <w:p w14:paraId="21673BBA" w14:textId="77777777" w:rsidR="005A06E2" w:rsidRPr="005D0A7A" w:rsidRDefault="005A06E2" w:rsidP="005A06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sz w:val="20"/>
                <w:szCs w:val="20"/>
              </w:rPr>
              <w:t>-</w:t>
            </w:r>
          </w:p>
        </w:tc>
        <w:tc>
          <w:tcPr>
            <w:tcW w:w="345" w:type="pct"/>
            <w:hideMark/>
          </w:tcPr>
          <w:p w14:paraId="106B019A" w14:textId="77777777" w:rsidR="005A06E2" w:rsidRPr="005D0A7A" w:rsidRDefault="005A06E2" w:rsidP="005A06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sz w:val="20"/>
                <w:szCs w:val="20"/>
              </w:rPr>
              <w:t>-</w:t>
            </w:r>
          </w:p>
        </w:tc>
        <w:tc>
          <w:tcPr>
            <w:tcW w:w="345" w:type="pct"/>
            <w:hideMark/>
          </w:tcPr>
          <w:p w14:paraId="742918CE" w14:textId="77777777" w:rsidR="005A06E2" w:rsidRPr="005D0A7A" w:rsidRDefault="005A06E2" w:rsidP="005A06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sz w:val="20"/>
                <w:szCs w:val="20"/>
              </w:rPr>
              <w:t>-</w:t>
            </w:r>
          </w:p>
        </w:tc>
        <w:tc>
          <w:tcPr>
            <w:tcW w:w="344" w:type="pct"/>
            <w:hideMark/>
          </w:tcPr>
          <w:p w14:paraId="67A988F3" w14:textId="77777777" w:rsidR="005A06E2" w:rsidRPr="005D0A7A" w:rsidRDefault="005A06E2" w:rsidP="005A06E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n-ZA"/>
              </w:rPr>
            </w:pPr>
            <w:r w:rsidRPr="005D0A7A">
              <w:rPr>
                <w:rFonts w:ascii="Arial" w:hAnsi="Arial" w:cs="Arial"/>
                <w:sz w:val="20"/>
                <w:szCs w:val="20"/>
              </w:rPr>
              <w:t>-</w:t>
            </w:r>
          </w:p>
        </w:tc>
      </w:tr>
    </w:tbl>
    <w:p w14:paraId="5541A227" w14:textId="77777777" w:rsidR="005A06E2" w:rsidRPr="005D0A7A" w:rsidRDefault="005A06E2" w:rsidP="005A06E2">
      <w:pPr>
        <w:rPr>
          <w:rFonts w:ascii="Arial" w:hAnsi="Arial" w:cs="Arial"/>
          <w:sz w:val="20"/>
          <w:szCs w:val="20"/>
        </w:rPr>
      </w:pPr>
    </w:p>
    <w:p w14:paraId="51F682B7" w14:textId="77777777" w:rsidR="005A06E2" w:rsidRPr="005D0A7A" w:rsidRDefault="005A06E2" w:rsidP="005A06E2">
      <w:pPr>
        <w:pStyle w:val="BodyText"/>
        <w:rPr>
          <w:rFonts w:cs="Arial"/>
          <w:sz w:val="20"/>
          <w:szCs w:val="20"/>
        </w:rPr>
      </w:pPr>
      <w:r w:rsidRPr="005D0A7A">
        <w:rPr>
          <w:rFonts w:cs="Arial"/>
          <w:sz w:val="20"/>
          <w:szCs w:val="20"/>
        </w:rPr>
        <w:t>*UUW currently has an investment with RMB that will mature on the 09 March 2026 to provide the required liquidity for the redemption of the UG26 on 09 March 2026.</w:t>
      </w:r>
    </w:p>
    <w:p w14:paraId="79018A6F" w14:textId="77777777" w:rsidR="005A06E2" w:rsidRPr="005D0A7A" w:rsidRDefault="005A06E2" w:rsidP="005A06E2">
      <w:pPr>
        <w:pStyle w:val="BodyText"/>
        <w:rPr>
          <w:rFonts w:cs="Arial"/>
          <w:sz w:val="20"/>
          <w:szCs w:val="20"/>
        </w:rPr>
      </w:pPr>
    </w:p>
    <w:p w14:paraId="4B28AA00" w14:textId="77777777" w:rsidR="005A06E2" w:rsidRPr="005D0A7A" w:rsidRDefault="005A06E2" w:rsidP="00103A72">
      <w:pPr>
        <w:pStyle w:val="ListParagraph"/>
        <w:widowControl/>
        <w:numPr>
          <w:ilvl w:val="1"/>
          <w:numId w:val="27"/>
        </w:numPr>
        <w:spacing w:line="276" w:lineRule="auto"/>
        <w:jc w:val="both"/>
        <w:rPr>
          <w:rFonts w:ascii="Arial" w:hAnsi="Arial" w:cs="Arial"/>
          <w:b/>
          <w:bCs/>
          <w:sz w:val="20"/>
          <w:szCs w:val="20"/>
          <w:lang w:val="en-ZA"/>
        </w:rPr>
      </w:pPr>
      <w:bookmarkStart w:id="4" w:name="_Toc206097603"/>
      <w:r w:rsidRPr="005D0A7A">
        <w:rPr>
          <w:rFonts w:ascii="Arial" w:hAnsi="Arial" w:cs="Arial"/>
          <w:b/>
          <w:bCs/>
          <w:sz w:val="20"/>
          <w:szCs w:val="20"/>
          <w:lang w:val="en-ZA"/>
        </w:rPr>
        <w:t>UUW DEBT MANAGEMENT STRATEGIES</w:t>
      </w:r>
      <w:bookmarkEnd w:id="4"/>
    </w:p>
    <w:p w14:paraId="720EAE92" w14:textId="77777777" w:rsidR="005A06E2" w:rsidRPr="005D0A7A" w:rsidRDefault="005A06E2" w:rsidP="005A06E2">
      <w:pPr>
        <w:rPr>
          <w:rFonts w:ascii="Arial" w:hAnsi="Arial" w:cs="Arial"/>
          <w:sz w:val="20"/>
          <w:szCs w:val="20"/>
        </w:rPr>
      </w:pPr>
      <w:r w:rsidRPr="005D0A7A">
        <w:rPr>
          <w:rFonts w:ascii="Arial" w:hAnsi="Arial" w:cs="Arial"/>
          <w:sz w:val="20"/>
          <w:szCs w:val="20"/>
        </w:rPr>
        <w:t>The funding proposals to include the following debt management strategies (wherever applicable):</w:t>
      </w:r>
    </w:p>
    <w:p w14:paraId="384BF872" w14:textId="77777777" w:rsidR="005A06E2" w:rsidRPr="005D0A7A" w:rsidRDefault="005A06E2" w:rsidP="00C8079C">
      <w:pPr>
        <w:pStyle w:val="ListParagraph"/>
        <w:widowControl/>
        <w:numPr>
          <w:ilvl w:val="1"/>
          <w:numId w:val="45"/>
        </w:numPr>
        <w:spacing w:after="160" w:line="259" w:lineRule="auto"/>
        <w:contextualSpacing/>
        <w:rPr>
          <w:rFonts w:ascii="Arial" w:hAnsi="Arial" w:cs="Arial"/>
          <w:sz w:val="20"/>
          <w:szCs w:val="20"/>
        </w:rPr>
      </w:pPr>
      <w:r w:rsidRPr="005D0A7A">
        <w:rPr>
          <w:rFonts w:ascii="Arial" w:hAnsi="Arial" w:cs="Arial"/>
          <w:sz w:val="20"/>
          <w:szCs w:val="20"/>
        </w:rPr>
        <w:t>Asset and liability matching  - Match the maturity dates and quantum of debt outstanding in any one year with the free cash generated by operations after servicing operational expenditure and costs.</w:t>
      </w:r>
    </w:p>
    <w:p w14:paraId="55870C59" w14:textId="77777777" w:rsidR="005A06E2" w:rsidRPr="005D0A7A" w:rsidRDefault="005A06E2" w:rsidP="00C8079C">
      <w:pPr>
        <w:pStyle w:val="ListParagraph"/>
        <w:widowControl/>
        <w:numPr>
          <w:ilvl w:val="1"/>
          <w:numId w:val="45"/>
        </w:numPr>
        <w:spacing w:after="160" w:line="259" w:lineRule="auto"/>
        <w:contextualSpacing/>
        <w:rPr>
          <w:rFonts w:ascii="Arial" w:hAnsi="Arial" w:cs="Arial"/>
          <w:sz w:val="20"/>
          <w:szCs w:val="20"/>
        </w:rPr>
      </w:pPr>
      <w:r w:rsidRPr="005D0A7A">
        <w:rPr>
          <w:rFonts w:ascii="Arial" w:hAnsi="Arial" w:cs="Arial"/>
          <w:sz w:val="20"/>
          <w:szCs w:val="20"/>
        </w:rPr>
        <w:t xml:space="preserve"> Target an overall fixed/floating ratio of 70% fixed/30% floating</w:t>
      </w:r>
    </w:p>
    <w:p w14:paraId="38F1917E" w14:textId="77777777" w:rsidR="005A06E2" w:rsidRPr="005D0A7A" w:rsidRDefault="005A06E2" w:rsidP="00C8079C">
      <w:pPr>
        <w:pStyle w:val="ListParagraph"/>
        <w:widowControl/>
        <w:numPr>
          <w:ilvl w:val="1"/>
          <w:numId w:val="45"/>
        </w:numPr>
        <w:spacing w:after="160" w:line="259" w:lineRule="auto"/>
        <w:contextualSpacing/>
        <w:rPr>
          <w:rFonts w:ascii="Arial" w:hAnsi="Arial" w:cs="Arial"/>
          <w:sz w:val="20"/>
          <w:szCs w:val="20"/>
        </w:rPr>
      </w:pPr>
      <w:r w:rsidRPr="005D0A7A">
        <w:rPr>
          <w:rFonts w:ascii="Arial" w:hAnsi="Arial" w:cs="Arial"/>
          <w:sz w:val="20"/>
          <w:szCs w:val="20"/>
        </w:rPr>
        <w:t>Redemption portfolio management</w:t>
      </w:r>
    </w:p>
    <w:p w14:paraId="26675C7A" w14:textId="77777777" w:rsidR="005A06E2" w:rsidRPr="005D0A7A" w:rsidRDefault="005A06E2" w:rsidP="00C8079C">
      <w:pPr>
        <w:pStyle w:val="ListParagraph"/>
        <w:widowControl/>
        <w:numPr>
          <w:ilvl w:val="2"/>
          <w:numId w:val="45"/>
        </w:numPr>
        <w:spacing w:after="160" w:line="259" w:lineRule="auto"/>
        <w:contextualSpacing/>
        <w:rPr>
          <w:rFonts w:ascii="Arial" w:hAnsi="Arial" w:cs="Arial"/>
          <w:sz w:val="20"/>
          <w:szCs w:val="20"/>
        </w:rPr>
      </w:pPr>
      <w:r w:rsidRPr="005D0A7A">
        <w:rPr>
          <w:rFonts w:ascii="Arial" w:hAnsi="Arial" w:cs="Arial"/>
          <w:sz w:val="20"/>
          <w:szCs w:val="20"/>
        </w:rPr>
        <w:t>Minimise both the refinancing and interest rate risk associated with large debt redemptions by creating redemption portfolios.</w:t>
      </w:r>
    </w:p>
    <w:p w14:paraId="665375A8" w14:textId="77777777" w:rsidR="005A06E2" w:rsidRPr="005D0A7A" w:rsidRDefault="005A06E2" w:rsidP="00C8079C">
      <w:pPr>
        <w:pStyle w:val="ListParagraph"/>
        <w:widowControl/>
        <w:numPr>
          <w:ilvl w:val="2"/>
          <w:numId w:val="45"/>
        </w:numPr>
        <w:spacing w:after="160" w:line="259" w:lineRule="auto"/>
        <w:contextualSpacing/>
        <w:rPr>
          <w:rFonts w:ascii="Arial" w:hAnsi="Arial" w:cs="Arial"/>
          <w:sz w:val="20"/>
          <w:szCs w:val="20"/>
        </w:rPr>
      </w:pPr>
      <w:r w:rsidRPr="005D0A7A">
        <w:rPr>
          <w:rFonts w:ascii="Arial" w:hAnsi="Arial" w:cs="Arial"/>
          <w:sz w:val="20"/>
          <w:szCs w:val="20"/>
        </w:rPr>
        <w:t>The uMngeni-uThukela Water’s Redemption Strategy Framework allows for a build-up in the redemption portfolio over a 3-year period is as follows:</w:t>
      </w:r>
    </w:p>
    <w:p w14:paraId="2AD596DC" w14:textId="77777777" w:rsidR="005A06E2" w:rsidRPr="005D0A7A" w:rsidRDefault="005A06E2" w:rsidP="005A06E2">
      <w:pPr>
        <w:ind w:left="1440"/>
        <w:rPr>
          <w:rFonts w:ascii="Arial" w:hAnsi="Arial" w:cs="Arial"/>
          <w:sz w:val="20"/>
          <w:szCs w:val="20"/>
        </w:rPr>
      </w:pPr>
      <w:r w:rsidRPr="005D0A7A">
        <w:rPr>
          <w:rFonts w:ascii="Arial" w:hAnsi="Arial" w:cs="Arial"/>
          <w:sz w:val="20"/>
          <w:szCs w:val="20"/>
        </w:rPr>
        <w:t>•</w:t>
      </w:r>
      <w:r w:rsidRPr="005D0A7A">
        <w:rPr>
          <w:rFonts w:ascii="Arial" w:hAnsi="Arial" w:cs="Arial"/>
          <w:sz w:val="20"/>
          <w:szCs w:val="20"/>
        </w:rPr>
        <w:tab/>
        <w:t>10% of the capital redemption value is provided for 3 years before maturity;</w:t>
      </w:r>
    </w:p>
    <w:p w14:paraId="5F092DD1" w14:textId="77777777" w:rsidR="005A06E2" w:rsidRPr="005D0A7A" w:rsidRDefault="005A06E2" w:rsidP="005A06E2">
      <w:pPr>
        <w:ind w:left="1440"/>
        <w:rPr>
          <w:rFonts w:ascii="Arial" w:hAnsi="Arial" w:cs="Arial"/>
          <w:sz w:val="20"/>
          <w:szCs w:val="20"/>
        </w:rPr>
      </w:pPr>
      <w:r w:rsidRPr="005D0A7A">
        <w:rPr>
          <w:rFonts w:ascii="Arial" w:hAnsi="Arial" w:cs="Arial"/>
          <w:sz w:val="20"/>
          <w:szCs w:val="20"/>
        </w:rPr>
        <w:t>•</w:t>
      </w:r>
      <w:r w:rsidRPr="005D0A7A">
        <w:rPr>
          <w:rFonts w:ascii="Arial" w:hAnsi="Arial" w:cs="Arial"/>
          <w:sz w:val="20"/>
          <w:szCs w:val="20"/>
        </w:rPr>
        <w:tab/>
        <w:t>40 % is provided for 2 years before maturity;</w:t>
      </w:r>
    </w:p>
    <w:p w14:paraId="7E2F9818" w14:textId="77777777" w:rsidR="005A06E2" w:rsidRPr="005D0A7A" w:rsidRDefault="005A06E2" w:rsidP="005A06E2">
      <w:pPr>
        <w:ind w:left="1440"/>
        <w:rPr>
          <w:rFonts w:ascii="Arial" w:hAnsi="Arial" w:cs="Arial"/>
          <w:sz w:val="20"/>
          <w:szCs w:val="20"/>
        </w:rPr>
      </w:pPr>
      <w:r w:rsidRPr="005D0A7A">
        <w:rPr>
          <w:rFonts w:ascii="Arial" w:hAnsi="Arial" w:cs="Arial"/>
          <w:sz w:val="20"/>
          <w:szCs w:val="20"/>
        </w:rPr>
        <w:t>•</w:t>
      </w:r>
      <w:r w:rsidRPr="005D0A7A">
        <w:rPr>
          <w:rFonts w:ascii="Arial" w:hAnsi="Arial" w:cs="Arial"/>
          <w:sz w:val="20"/>
          <w:szCs w:val="20"/>
        </w:rPr>
        <w:tab/>
        <w:t>75 % is provided for 1 year before maturity; and</w:t>
      </w:r>
    </w:p>
    <w:p w14:paraId="02EAC383" w14:textId="77777777" w:rsidR="005A06E2" w:rsidRPr="005D0A7A" w:rsidRDefault="005A06E2" w:rsidP="005A06E2">
      <w:pPr>
        <w:ind w:left="1440"/>
        <w:rPr>
          <w:rFonts w:ascii="Arial" w:hAnsi="Arial" w:cs="Arial"/>
          <w:sz w:val="20"/>
          <w:szCs w:val="20"/>
        </w:rPr>
      </w:pPr>
      <w:r w:rsidRPr="005D0A7A">
        <w:rPr>
          <w:rFonts w:ascii="Arial" w:hAnsi="Arial" w:cs="Arial"/>
          <w:sz w:val="20"/>
          <w:szCs w:val="20"/>
        </w:rPr>
        <w:t>•</w:t>
      </w:r>
      <w:r w:rsidRPr="005D0A7A">
        <w:rPr>
          <w:rFonts w:ascii="Arial" w:hAnsi="Arial" w:cs="Arial"/>
          <w:sz w:val="20"/>
          <w:szCs w:val="20"/>
        </w:rPr>
        <w:tab/>
        <w:t>The balance of 25 % is funded during the year of maturity.</w:t>
      </w:r>
    </w:p>
    <w:p w14:paraId="035B368F" w14:textId="77777777" w:rsidR="005A06E2" w:rsidRPr="005D0A7A" w:rsidRDefault="005A06E2" w:rsidP="00C8079C">
      <w:pPr>
        <w:pStyle w:val="ListParagraph"/>
        <w:widowControl/>
        <w:numPr>
          <w:ilvl w:val="1"/>
          <w:numId w:val="45"/>
        </w:numPr>
        <w:spacing w:after="160" w:line="259" w:lineRule="auto"/>
        <w:contextualSpacing/>
        <w:rPr>
          <w:rFonts w:ascii="Arial" w:hAnsi="Arial" w:cs="Arial"/>
          <w:sz w:val="20"/>
          <w:szCs w:val="20"/>
        </w:rPr>
      </w:pPr>
      <w:r w:rsidRPr="005D0A7A">
        <w:rPr>
          <w:rFonts w:ascii="Arial" w:hAnsi="Arial" w:cs="Arial"/>
          <w:sz w:val="20"/>
          <w:szCs w:val="20"/>
        </w:rPr>
        <w:t>Regulatory compliance – Borrowing authority by National Treasury and compliance with covenants.</w:t>
      </w:r>
    </w:p>
    <w:p w14:paraId="5D48C7BE" w14:textId="77777777" w:rsidR="005A06E2" w:rsidRPr="005D0A7A" w:rsidRDefault="005A06E2" w:rsidP="005A06E2">
      <w:pPr>
        <w:pStyle w:val="ListParagraph"/>
        <w:ind w:left="792"/>
        <w:rPr>
          <w:rFonts w:ascii="Arial" w:hAnsi="Arial" w:cs="Arial"/>
          <w:sz w:val="20"/>
          <w:szCs w:val="20"/>
        </w:rPr>
      </w:pPr>
    </w:p>
    <w:p w14:paraId="4C23B2E8" w14:textId="77777777" w:rsidR="005A06E2" w:rsidRPr="005D0A7A" w:rsidRDefault="005A06E2" w:rsidP="00103A72">
      <w:pPr>
        <w:pStyle w:val="ListParagraph"/>
        <w:widowControl/>
        <w:numPr>
          <w:ilvl w:val="1"/>
          <w:numId w:val="27"/>
        </w:numPr>
        <w:spacing w:line="276" w:lineRule="auto"/>
        <w:jc w:val="both"/>
        <w:rPr>
          <w:rFonts w:ascii="Arial" w:hAnsi="Arial" w:cs="Arial"/>
          <w:b/>
          <w:bCs/>
          <w:sz w:val="20"/>
          <w:szCs w:val="20"/>
          <w:lang w:val="en-ZA"/>
        </w:rPr>
      </w:pPr>
      <w:bookmarkStart w:id="5" w:name="_Toc206097604"/>
      <w:r w:rsidRPr="005D0A7A">
        <w:rPr>
          <w:rFonts w:ascii="Arial" w:hAnsi="Arial" w:cs="Arial"/>
          <w:b/>
          <w:bCs/>
          <w:sz w:val="20"/>
          <w:szCs w:val="20"/>
          <w:lang w:val="en-ZA"/>
        </w:rPr>
        <w:t>REGULATORY COMPLIANCE</w:t>
      </w:r>
      <w:bookmarkEnd w:id="5"/>
    </w:p>
    <w:p w14:paraId="1093589C" w14:textId="77777777" w:rsidR="005A06E2" w:rsidRPr="005D0A7A" w:rsidRDefault="005A06E2" w:rsidP="005A06E2">
      <w:pPr>
        <w:ind w:left="360"/>
        <w:rPr>
          <w:rFonts w:ascii="Arial" w:hAnsi="Arial" w:cs="Arial"/>
          <w:sz w:val="20"/>
          <w:szCs w:val="20"/>
        </w:rPr>
      </w:pPr>
      <w:r w:rsidRPr="005D0A7A">
        <w:rPr>
          <w:rFonts w:ascii="Arial" w:hAnsi="Arial" w:cs="Arial"/>
          <w:sz w:val="20"/>
          <w:szCs w:val="20"/>
        </w:rPr>
        <w:t>The following legislative regulations will need to be taken into consideration for compliance purposes:</w:t>
      </w:r>
    </w:p>
    <w:p w14:paraId="7FBB027A" w14:textId="77777777" w:rsidR="005A06E2" w:rsidRPr="005D0A7A" w:rsidRDefault="005A06E2" w:rsidP="00C8079C">
      <w:pPr>
        <w:pStyle w:val="ListParagraph"/>
        <w:widowControl/>
        <w:numPr>
          <w:ilvl w:val="1"/>
          <w:numId w:val="44"/>
        </w:numPr>
        <w:spacing w:after="160" w:line="259" w:lineRule="auto"/>
        <w:contextualSpacing/>
        <w:rPr>
          <w:rFonts w:ascii="Arial" w:hAnsi="Arial" w:cs="Arial"/>
          <w:sz w:val="20"/>
          <w:szCs w:val="20"/>
        </w:rPr>
      </w:pPr>
      <w:r w:rsidRPr="005D0A7A">
        <w:rPr>
          <w:rFonts w:ascii="Arial" w:hAnsi="Arial" w:cs="Arial"/>
          <w:sz w:val="20"/>
          <w:szCs w:val="20"/>
        </w:rPr>
        <w:t>Public Finance Management Act:</w:t>
      </w:r>
    </w:p>
    <w:p w14:paraId="445B1029" w14:textId="77777777" w:rsidR="005A06E2" w:rsidRPr="005D0A7A" w:rsidRDefault="005A06E2" w:rsidP="005A06E2">
      <w:pPr>
        <w:pStyle w:val="BodyTextIndent2"/>
        <w:ind w:left="720"/>
        <w:rPr>
          <w:rFonts w:ascii="Arial" w:hAnsi="Arial" w:cs="Arial"/>
          <w:sz w:val="20"/>
          <w:szCs w:val="20"/>
        </w:rPr>
      </w:pPr>
      <w:r w:rsidRPr="005D0A7A">
        <w:rPr>
          <w:rFonts w:ascii="Arial" w:hAnsi="Arial" w:cs="Arial"/>
          <w:sz w:val="20"/>
          <w:szCs w:val="20"/>
        </w:rPr>
        <w:t>uMngeni-uThukela Water is a schedule 3B public entity under the Public Finance Management Act (PFMA) it is imperative that the abovementioned transaction complies with all legislation;</w:t>
      </w:r>
    </w:p>
    <w:p w14:paraId="7487C8E3" w14:textId="77777777" w:rsidR="005A06E2" w:rsidRPr="005D0A7A" w:rsidRDefault="005A06E2" w:rsidP="00C8079C">
      <w:pPr>
        <w:pStyle w:val="ListParagraph"/>
        <w:widowControl/>
        <w:numPr>
          <w:ilvl w:val="1"/>
          <w:numId w:val="44"/>
        </w:numPr>
        <w:spacing w:after="160" w:line="259" w:lineRule="auto"/>
        <w:contextualSpacing/>
        <w:rPr>
          <w:rFonts w:ascii="Arial" w:hAnsi="Arial" w:cs="Arial"/>
          <w:sz w:val="20"/>
          <w:szCs w:val="20"/>
        </w:rPr>
      </w:pPr>
      <w:r w:rsidRPr="005D0A7A">
        <w:rPr>
          <w:rFonts w:ascii="Arial" w:hAnsi="Arial" w:cs="Arial"/>
          <w:sz w:val="20"/>
          <w:szCs w:val="20"/>
        </w:rPr>
        <w:t>Water Services Act;</w:t>
      </w:r>
    </w:p>
    <w:p w14:paraId="18329E0F" w14:textId="77777777" w:rsidR="005A06E2" w:rsidRPr="005D0A7A" w:rsidRDefault="005A06E2" w:rsidP="005A06E2">
      <w:pPr>
        <w:pStyle w:val="ListParagraph"/>
        <w:ind w:left="1440"/>
        <w:rPr>
          <w:rFonts w:ascii="Arial" w:hAnsi="Arial" w:cs="Arial"/>
          <w:sz w:val="20"/>
          <w:szCs w:val="20"/>
        </w:rPr>
      </w:pPr>
    </w:p>
    <w:p w14:paraId="68E66702" w14:textId="77777777" w:rsidR="005A06E2" w:rsidRPr="005D0A7A" w:rsidRDefault="005A06E2" w:rsidP="00C8079C">
      <w:pPr>
        <w:pStyle w:val="ListParagraph"/>
        <w:widowControl/>
        <w:numPr>
          <w:ilvl w:val="1"/>
          <w:numId w:val="44"/>
        </w:numPr>
        <w:spacing w:after="160" w:line="259" w:lineRule="auto"/>
        <w:contextualSpacing/>
        <w:rPr>
          <w:rFonts w:ascii="Arial" w:hAnsi="Arial" w:cs="Arial"/>
          <w:sz w:val="20"/>
          <w:szCs w:val="20"/>
        </w:rPr>
      </w:pPr>
      <w:r w:rsidRPr="005D0A7A">
        <w:rPr>
          <w:rFonts w:ascii="Arial" w:hAnsi="Arial" w:cs="Arial"/>
          <w:sz w:val="20"/>
          <w:szCs w:val="20"/>
        </w:rPr>
        <w:t>JSE Debt &amp; specialist Securities Listing requirements.</w:t>
      </w:r>
    </w:p>
    <w:p w14:paraId="6A0AB574" w14:textId="77777777" w:rsidR="005A06E2" w:rsidRPr="005D0A7A" w:rsidRDefault="005A06E2" w:rsidP="005A06E2">
      <w:pPr>
        <w:pStyle w:val="ListParagraph"/>
        <w:rPr>
          <w:rFonts w:ascii="Arial" w:hAnsi="Arial" w:cs="Arial"/>
          <w:sz w:val="20"/>
          <w:szCs w:val="20"/>
        </w:rPr>
      </w:pPr>
    </w:p>
    <w:p w14:paraId="37E01B67" w14:textId="77777777" w:rsidR="005A06E2" w:rsidRPr="005D0A7A" w:rsidRDefault="005A06E2" w:rsidP="00103A72">
      <w:pPr>
        <w:pStyle w:val="ListParagraph"/>
        <w:widowControl/>
        <w:numPr>
          <w:ilvl w:val="1"/>
          <w:numId w:val="27"/>
        </w:numPr>
        <w:spacing w:line="276" w:lineRule="auto"/>
        <w:jc w:val="both"/>
        <w:rPr>
          <w:rFonts w:ascii="Arial" w:hAnsi="Arial" w:cs="Arial"/>
          <w:b/>
          <w:bCs/>
          <w:sz w:val="20"/>
          <w:szCs w:val="20"/>
          <w:lang w:val="en-ZA"/>
        </w:rPr>
      </w:pPr>
      <w:bookmarkStart w:id="6" w:name="_Toc206097605"/>
      <w:r w:rsidRPr="005D0A7A">
        <w:rPr>
          <w:rFonts w:ascii="Arial" w:hAnsi="Arial" w:cs="Arial"/>
          <w:b/>
          <w:bCs/>
          <w:sz w:val="20"/>
          <w:szCs w:val="20"/>
          <w:lang w:val="en-ZA"/>
        </w:rPr>
        <w:t>EXISTING DEBT COVENANTS</w:t>
      </w:r>
      <w:bookmarkEnd w:id="6"/>
    </w:p>
    <w:tbl>
      <w:tblPr>
        <w:tblStyle w:val="GridTable1Light-Accent11"/>
        <w:tblW w:w="5000" w:type="pct"/>
        <w:tblLayout w:type="fixed"/>
        <w:tblLook w:val="04A0" w:firstRow="1" w:lastRow="0" w:firstColumn="1" w:lastColumn="0" w:noHBand="0" w:noVBand="1"/>
      </w:tblPr>
      <w:tblGrid>
        <w:gridCol w:w="2287"/>
        <w:gridCol w:w="2394"/>
        <w:gridCol w:w="2394"/>
        <w:gridCol w:w="1945"/>
      </w:tblGrid>
      <w:tr w:rsidR="005A06E2" w:rsidRPr="005D0A7A" w14:paraId="15499978" w14:textId="77777777" w:rsidTr="005A06E2">
        <w:trPr>
          <w:cnfStyle w:val="100000000000" w:firstRow="1" w:lastRow="0" w:firstColumn="0" w:lastColumn="0" w:oddVBand="0" w:evenVBand="0" w:oddHBand="0" w:evenHBand="0" w:firstRowFirstColumn="0" w:firstRowLastColumn="0" w:lastRowFirstColumn="0" w:lastRowLastColumn="0"/>
          <w:trHeight w:val="222"/>
          <w:tblHeader/>
        </w:trPr>
        <w:tc>
          <w:tcPr>
            <w:cnfStyle w:val="001000000000" w:firstRow="0" w:lastRow="0" w:firstColumn="1" w:lastColumn="0" w:oddVBand="0" w:evenVBand="0" w:oddHBand="0" w:evenHBand="0" w:firstRowFirstColumn="0" w:firstRowLastColumn="0" w:lastRowFirstColumn="0" w:lastRowLastColumn="0"/>
            <w:tcW w:w="1268" w:type="pct"/>
            <w:noWrap/>
            <w:hideMark/>
          </w:tcPr>
          <w:p w14:paraId="2B88065A" w14:textId="77777777" w:rsidR="005A06E2" w:rsidRPr="005D0A7A" w:rsidRDefault="005A06E2" w:rsidP="005A06E2">
            <w:pPr>
              <w:spacing w:before="120" w:after="120"/>
              <w:mirrorIndents/>
              <w:rPr>
                <w:rFonts w:ascii="Arial" w:hAnsi="Arial" w:cs="Arial"/>
                <w:color w:val="000000"/>
                <w:lang w:eastAsia="en-ZA"/>
              </w:rPr>
            </w:pPr>
            <w:r w:rsidRPr="005D0A7A">
              <w:rPr>
                <w:rFonts w:ascii="Arial" w:hAnsi="Arial" w:cs="Arial"/>
                <w:color w:val="000000"/>
                <w:lang w:eastAsia="en-ZA"/>
              </w:rPr>
              <w:t>Ratio</w:t>
            </w:r>
          </w:p>
        </w:tc>
        <w:tc>
          <w:tcPr>
            <w:tcW w:w="1327" w:type="pct"/>
          </w:tcPr>
          <w:p w14:paraId="1C686C8F" w14:textId="77777777" w:rsidR="005A06E2" w:rsidRPr="005D0A7A" w:rsidRDefault="005A06E2" w:rsidP="005A06E2">
            <w:pPr>
              <w:spacing w:before="120" w:after="120"/>
              <w:mirrorIndents/>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Comment</w:t>
            </w:r>
          </w:p>
        </w:tc>
        <w:tc>
          <w:tcPr>
            <w:tcW w:w="1327" w:type="pct"/>
            <w:hideMark/>
          </w:tcPr>
          <w:p w14:paraId="6D1976D3" w14:textId="77777777" w:rsidR="005A06E2" w:rsidRPr="005D0A7A" w:rsidRDefault="005A06E2" w:rsidP="005A06E2">
            <w:pPr>
              <w:spacing w:before="120" w:after="120"/>
              <w:mirrorIndents/>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Description</w:t>
            </w:r>
          </w:p>
        </w:tc>
        <w:tc>
          <w:tcPr>
            <w:tcW w:w="1078" w:type="pct"/>
            <w:noWrap/>
            <w:hideMark/>
          </w:tcPr>
          <w:p w14:paraId="04F0646F" w14:textId="77777777" w:rsidR="005A06E2" w:rsidRPr="005D0A7A" w:rsidRDefault="005A06E2" w:rsidP="005A06E2">
            <w:pPr>
              <w:spacing w:before="120" w:after="120"/>
              <w:mirrorIndents/>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Covenant</w:t>
            </w:r>
          </w:p>
        </w:tc>
      </w:tr>
      <w:tr w:rsidR="005A06E2" w:rsidRPr="005D0A7A" w14:paraId="7A81BA2F" w14:textId="77777777" w:rsidTr="005A06E2">
        <w:trPr>
          <w:trHeight w:val="458"/>
        </w:trPr>
        <w:tc>
          <w:tcPr>
            <w:cnfStyle w:val="001000000000" w:firstRow="0" w:lastRow="0" w:firstColumn="1" w:lastColumn="0" w:oddVBand="0" w:evenVBand="0" w:oddHBand="0" w:evenHBand="0" w:firstRowFirstColumn="0" w:firstRowLastColumn="0" w:lastRowFirstColumn="0" w:lastRowLastColumn="0"/>
            <w:tcW w:w="1268" w:type="pct"/>
            <w:noWrap/>
            <w:vAlign w:val="center"/>
            <w:hideMark/>
          </w:tcPr>
          <w:p w14:paraId="43914B56" w14:textId="77777777" w:rsidR="005A06E2" w:rsidRPr="005D0A7A" w:rsidRDefault="005A06E2" w:rsidP="005A06E2">
            <w:pPr>
              <w:spacing w:before="120" w:after="120"/>
              <w:mirrorIndents/>
              <w:rPr>
                <w:rFonts w:ascii="Arial" w:hAnsi="Arial" w:cs="Arial"/>
                <w:color w:val="000000"/>
                <w:lang w:eastAsia="en-ZA"/>
              </w:rPr>
            </w:pPr>
            <w:r w:rsidRPr="005D0A7A">
              <w:rPr>
                <w:rFonts w:ascii="Arial" w:hAnsi="Arial" w:cs="Arial"/>
                <w:color w:val="000000"/>
                <w:lang w:eastAsia="en-ZA"/>
              </w:rPr>
              <w:t>Interest cover ratio</w:t>
            </w:r>
          </w:p>
        </w:tc>
        <w:tc>
          <w:tcPr>
            <w:tcW w:w="1327" w:type="pct"/>
          </w:tcPr>
          <w:p w14:paraId="38040BAB" w14:textId="77777777" w:rsidR="005A06E2" w:rsidRPr="005D0A7A" w:rsidRDefault="005A06E2" w:rsidP="005A06E2">
            <w:pPr>
              <w:spacing w:before="120" w:after="120"/>
              <w:mirrorIndents/>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EIB loan agreement (Based on consolidated financial statements)</w:t>
            </w:r>
          </w:p>
        </w:tc>
        <w:tc>
          <w:tcPr>
            <w:tcW w:w="1327" w:type="pct"/>
            <w:hideMark/>
          </w:tcPr>
          <w:p w14:paraId="0E406868" w14:textId="77777777" w:rsidR="005A06E2" w:rsidRPr="005D0A7A" w:rsidRDefault="005A06E2" w:rsidP="005A06E2">
            <w:pPr>
              <w:spacing w:before="120" w:after="120"/>
              <w:mirrorIndents/>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Operating Profit /(Finance Cost)</w:t>
            </w:r>
          </w:p>
        </w:tc>
        <w:tc>
          <w:tcPr>
            <w:tcW w:w="1078" w:type="pct"/>
            <w:noWrap/>
            <w:vAlign w:val="center"/>
            <w:hideMark/>
          </w:tcPr>
          <w:p w14:paraId="57F2039E" w14:textId="77777777" w:rsidR="005A06E2" w:rsidRPr="005D0A7A" w:rsidRDefault="005A06E2" w:rsidP="005A06E2">
            <w:pPr>
              <w:spacing w:before="120" w:after="120"/>
              <w:mirrorIndents/>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Not less than 2.5 times</w:t>
            </w:r>
          </w:p>
        </w:tc>
      </w:tr>
      <w:tr w:rsidR="005A06E2" w:rsidRPr="005D0A7A" w14:paraId="02520BC9" w14:textId="77777777" w:rsidTr="005A06E2">
        <w:trPr>
          <w:trHeight w:val="498"/>
        </w:trPr>
        <w:tc>
          <w:tcPr>
            <w:cnfStyle w:val="001000000000" w:firstRow="0" w:lastRow="0" w:firstColumn="1" w:lastColumn="0" w:oddVBand="0" w:evenVBand="0" w:oddHBand="0" w:evenHBand="0" w:firstRowFirstColumn="0" w:firstRowLastColumn="0" w:lastRowFirstColumn="0" w:lastRowLastColumn="0"/>
            <w:tcW w:w="1268" w:type="pct"/>
            <w:noWrap/>
            <w:vAlign w:val="center"/>
            <w:hideMark/>
          </w:tcPr>
          <w:p w14:paraId="5DD08B98" w14:textId="77777777" w:rsidR="005A06E2" w:rsidRPr="005D0A7A" w:rsidRDefault="005A06E2" w:rsidP="005A06E2">
            <w:pPr>
              <w:spacing w:before="120" w:after="120"/>
              <w:mirrorIndents/>
              <w:rPr>
                <w:rFonts w:ascii="Arial" w:hAnsi="Arial" w:cs="Arial"/>
                <w:color w:val="000000"/>
                <w:lang w:eastAsia="en-ZA"/>
              </w:rPr>
            </w:pPr>
            <w:r w:rsidRPr="005D0A7A">
              <w:rPr>
                <w:rFonts w:ascii="Arial" w:hAnsi="Arial" w:cs="Arial"/>
                <w:color w:val="000000"/>
                <w:lang w:eastAsia="en-ZA"/>
              </w:rPr>
              <w:lastRenderedPageBreak/>
              <w:t>Cash interest cover ratio</w:t>
            </w:r>
          </w:p>
        </w:tc>
        <w:tc>
          <w:tcPr>
            <w:tcW w:w="1327" w:type="pct"/>
          </w:tcPr>
          <w:p w14:paraId="24881D10" w14:textId="77777777" w:rsidR="005A06E2" w:rsidRPr="005D0A7A" w:rsidRDefault="005A06E2" w:rsidP="005A06E2">
            <w:pPr>
              <w:spacing w:before="120" w:after="120"/>
              <w:mirrorIndents/>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National Treasury prescribed ratio in terms of Borrowing Authority 2022 to 2025</w:t>
            </w:r>
          </w:p>
        </w:tc>
        <w:tc>
          <w:tcPr>
            <w:tcW w:w="1327" w:type="pct"/>
            <w:hideMark/>
          </w:tcPr>
          <w:p w14:paraId="14CFB64C" w14:textId="77777777" w:rsidR="005A06E2" w:rsidRPr="005D0A7A" w:rsidRDefault="005A06E2" w:rsidP="005A06E2">
            <w:pPr>
              <w:spacing w:before="120" w:after="120"/>
              <w:mirrorIndents/>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CFFO(after changes in working capital)/finance costs</w:t>
            </w:r>
          </w:p>
        </w:tc>
        <w:tc>
          <w:tcPr>
            <w:tcW w:w="1078" w:type="pct"/>
            <w:noWrap/>
            <w:vAlign w:val="center"/>
            <w:hideMark/>
          </w:tcPr>
          <w:p w14:paraId="7F914005" w14:textId="77777777" w:rsidR="005A06E2" w:rsidRPr="005D0A7A" w:rsidRDefault="005A06E2" w:rsidP="005A06E2">
            <w:pPr>
              <w:spacing w:before="120" w:after="120"/>
              <w:mirrorIndents/>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Not less than 3 times</w:t>
            </w:r>
          </w:p>
        </w:tc>
      </w:tr>
      <w:tr w:rsidR="005A06E2" w:rsidRPr="005D0A7A" w14:paraId="23AB0C07" w14:textId="77777777" w:rsidTr="005A06E2">
        <w:trPr>
          <w:trHeight w:val="406"/>
        </w:trPr>
        <w:tc>
          <w:tcPr>
            <w:cnfStyle w:val="001000000000" w:firstRow="0" w:lastRow="0" w:firstColumn="1" w:lastColumn="0" w:oddVBand="0" w:evenVBand="0" w:oddHBand="0" w:evenHBand="0" w:firstRowFirstColumn="0" w:firstRowLastColumn="0" w:lastRowFirstColumn="0" w:lastRowLastColumn="0"/>
            <w:tcW w:w="1268" w:type="pct"/>
            <w:noWrap/>
            <w:vAlign w:val="center"/>
            <w:hideMark/>
          </w:tcPr>
          <w:p w14:paraId="209ADD30" w14:textId="77777777" w:rsidR="005A06E2" w:rsidRPr="005D0A7A" w:rsidRDefault="005A06E2" w:rsidP="005A06E2">
            <w:pPr>
              <w:spacing w:before="120" w:after="120"/>
              <w:mirrorIndents/>
              <w:rPr>
                <w:rFonts w:ascii="Arial" w:hAnsi="Arial" w:cs="Arial"/>
                <w:color w:val="000000"/>
                <w:lang w:eastAsia="en-ZA"/>
              </w:rPr>
            </w:pPr>
            <w:r w:rsidRPr="005D0A7A">
              <w:rPr>
                <w:rFonts w:ascii="Arial" w:hAnsi="Arial" w:cs="Arial"/>
                <w:color w:val="000000"/>
                <w:lang w:eastAsia="en-ZA"/>
              </w:rPr>
              <w:t>Debt to equity</w:t>
            </w:r>
          </w:p>
        </w:tc>
        <w:tc>
          <w:tcPr>
            <w:tcW w:w="1327" w:type="pct"/>
          </w:tcPr>
          <w:p w14:paraId="702432A2" w14:textId="77777777" w:rsidR="005A06E2" w:rsidRPr="005D0A7A" w:rsidRDefault="005A06E2" w:rsidP="005A06E2">
            <w:pPr>
              <w:spacing w:before="120" w:after="120"/>
              <w:mirrorIndents/>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National Treasury prescribed ratio in terms of Borrowing Authority 2022 to 2025</w:t>
            </w:r>
          </w:p>
          <w:p w14:paraId="37B76A89" w14:textId="77777777" w:rsidR="005A06E2" w:rsidRPr="005D0A7A" w:rsidRDefault="005A06E2" w:rsidP="005A06E2">
            <w:pPr>
              <w:spacing w:before="120" w:after="120"/>
              <w:mirrorIndents/>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p>
          <w:p w14:paraId="127EE303" w14:textId="77777777" w:rsidR="005A06E2" w:rsidRPr="005D0A7A" w:rsidRDefault="005A06E2" w:rsidP="005A06E2">
            <w:pPr>
              <w:spacing w:before="120" w:after="120"/>
              <w:mirrorIndents/>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The EIB loan covenant also requires a ratio of not greater than 0.7 times.( Based on consolidated financial statements)</w:t>
            </w:r>
          </w:p>
        </w:tc>
        <w:tc>
          <w:tcPr>
            <w:tcW w:w="1327" w:type="pct"/>
            <w:hideMark/>
          </w:tcPr>
          <w:p w14:paraId="28D7AA61" w14:textId="77777777" w:rsidR="005A06E2" w:rsidRPr="005D0A7A" w:rsidRDefault="005A06E2" w:rsidP="005A06E2">
            <w:pPr>
              <w:spacing w:before="120" w:after="120"/>
              <w:mirrorIndents/>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Gross borrowings/Equity</w:t>
            </w:r>
          </w:p>
        </w:tc>
        <w:tc>
          <w:tcPr>
            <w:tcW w:w="1078" w:type="pct"/>
            <w:noWrap/>
            <w:vAlign w:val="center"/>
            <w:hideMark/>
          </w:tcPr>
          <w:p w14:paraId="74B01F3B" w14:textId="77777777" w:rsidR="005A06E2" w:rsidRPr="005D0A7A" w:rsidRDefault="005A06E2" w:rsidP="005A06E2">
            <w:pPr>
              <w:spacing w:before="120" w:after="120"/>
              <w:mirrorIndents/>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Not greater than 0.5 times</w:t>
            </w:r>
          </w:p>
        </w:tc>
      </w:tr>
      <w:tr w:rsidR="005A06E2" w:rsidRPr="005D0A7A" w14:paraId="3EC52EEF" w14:textId="77777777" w:rsidTr="005A06E2">
        <w:trPr>
          <w:trHeight w:val="615"/>
        </w:trPr>
        <w:tc>
          <w:tcPr>
            <w:cnfStyle w:val="001000000000" w:firstRow="0" w:lastRow="0" w:firstColumn="1" w:lastColumn="0" w:oddVBand="0" w:evenVBand="0" w:oddHBand="0" w:evenHBand="0" w:firstRowFirstColumn="0" w:firstRowLastColumn="0" w:lastRowFirstColumn="0" w:lastRowLastColumn="0"/>
            <w:tcW w:w="1268" w:type="pct"/>
            <w:noWrap/>
            <w:vAlign w:val="center"/>
            <w:hideMark/>
          </w:tcPr>
          <w:p w14:paraId="73F92A1A" w14:textId="77777777" w:rsidR="005A06E2" w:rsidRPr="005D0A7A" w:rsidRDefault="005A06E2" w:rsidP="005A06E2">
            <w:pPr>
              <w:spacing w:before="120" w:after="120"/>
              <w:mirrorIndents/>
              <w:rPr>
                <w:rFonts w:ascii="Arial" w:hAnsi="Arial" w:cs="Arial"/>
                <w:color w:val="000000"/>
                <w:lang w:eastAsia="en-ZA"/>
              </w:rPr>
            </w:pPr>
            <w:r w:rsidRPr="005D0A7A">
              <w:rPr>
                <w:rFonts w:ascii="Arial" w:hAnsi="Arial" w:cs="Arial"/>
                <w:color w:val="000000"/>
                <w:lang w:eastAsia="en-ZA"/>
              </w:rPr>
              <w:t>Debt service cover ratio</w:t>
            </w:r>
          </w:p>
        </w:tc>
        <w:tc>
          <w:tcPr>
            <w:tcW w:w="1327" w:type="pct"/>
          </w:tcPr>
          <w:p w14:paraId="38D1252D" w14:textId="77777777" w:rsidR="005A06E2" w:rsidRPr="005D0A7A" w:rsidRDefault="005A06E2" w:rsidP="005A06E2">
            <w:pPr>
              <w:spacing w:before="120" w:after="120"/>
              <w:mirrorIndents/>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National Treasury prescribed ratio in terms of Borrowing Authority 2022 to 2025</w:t>
            </w:r>
          </w:p>
        </w:tc>
        <w:tc>
          <w:tcPr>
            <w:tcW w:w="1327" w:type="pct"/>
            <w:hideMark/>
          </w:tcPr>
          <w:p w14:paraId="4A8C0165" w14:textId="77777777" w:rsidR="005A06E2" w:rsidRPr="005D0A7A" w:rsidRDefault="005A06E2" w:rsidP="005A06E2">
            <w:pPr>
              <w:spacing w:before="120" w:after="120"/>
              <w:mirrorIndents/>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CFFO (after changes in working capital)/finance costs and debt/capital repayments</w:t>
            </w:r>
          </w:p>
        </w:tc>
        <w:tc>
          <w:tcPr>
            <w:tcW w:w="1078" w:type="pct"/>
            <w:noWrap/>
            <w:vAlign w:val="center"/>
            <w:hideMark/>
          </w:tcPr>
          <w:p w14:paraId="781E558E" w14:textId="77777777" w:rsidR="005A06E2" w:rsidRPr="005D0A7A" w:rsidRDefault="005A06E2" w:rsidP="005A06E2">
            <w:pPr>
              <w:spacing w:before="120" w:after="120"/>
              <w:mirrorIndents/>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5D0A7A">
              <w:rPr>
                <w:rFonts w:ascii="Arial" w:hAnsi="Arial" w:cs="Arial"/>
                <w:color w:val="000000"/>
                <w:lang w:eastAsia="en-ZA"/>
              </w:rPr>
              <w:t>Not less than 1 times</w:t>
            </w:r>
          </w:p>
        </w:tc>
      </w:tr>
    </w:tbl>
    <w:p w14:paraId="2DA65487" w14:textId="77777777" w:rsidR="005A06E2" w:rsidRPr="005D0A7A" w:rsidRDefault="005A06E2" w:rsidP="005A06E2">
      <w:pPr>
        <w:pStyle w:val="ListParagraph"/>
        <w:ind w:left="360"/>
        <w:rPr>
          <w:rFonts w:ascii="Arial" w:hAnsi="Arial" w:cs="Arial"/>
          <w:b/>
          <w:sz w:val="20"/>
          <w:szCs w:val="20"/>
        </w:rPr>
      </w:pPr>
    </w:p>
    <w:sectPr w:rsidR="005A06E2" w:rsidRPr="005D0A7A" w:rsidSect="00F52F7D">
      <w:pgSz w:w="11910" w:h="16850"/>
      <w:pgMar w:top="1704" w:right="1440" w:bottom="1276" w:left="1440" w:header="680" w:footer="79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58958" w14:textId="77777777" w:rsidR="001E3E46" w:rsidRDefault="001E3E46">
      <w:r>
        <w:separator/>
      </w:r>
    </w:p>
  </w:endnote>
  <w:endnote w:type="continuationSeparator" w:id="0">
    <w:p w14:paraId="2DE6B0D8" w14:textId="77777777" w:rsidR="001E3E46" w:rsidRDefault="001E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F9F57" w14:textId="77777777" w:rsidR="001E3E46" w:rsidRDefault="001E3E46">
      <w:r>
        <w:separator/>
      </w:r>
    </w:p>
  </w:footnote>
  <w:footnote w:type="continuationSeparator" w:id="0">
    <w:p w14:paraId="1FE2754A" w14:textId="77777777" w:rsidR="001E3E46" w:rsidRDefault="001E3E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B07880"/>
    <w:multiLevelType w:val="multilevel"/>
    <w:tmpl w:val="3B884564"/>
    <w:lvl w:ilvl="0">
      <w:start w:val="9"/>
      <w:numFmt w:val="decimal"/>
      <w:lvlText w:val="%1"/>
      <w:lvlJc w:val="left"/>
      <w:pPr>
        <w:ind w:left="450" w:hanging="450"/>
      </w:pPr>
      <w:rPr>
        <w:rFonts w:hint="default"/>
      </w:rPr>
    </w:lvl>
    <w:lvl w:ilvl="1">
      <w:start w:val="2"/>
      <w:numFmt w:val="decimal"/>
      <w:lvlText w:val="%1.%2"/>
      <w:lvlJc w:val="left"/>
      <w:pPr>
        <w:ind w:left="506" w:hanging="45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1888" w:hanging="1440"/>
      </w:pPr>
      <w:rPr>
        <w:rFonts w:hint="default"/>
      </w:rPr>
    </w:lvl>
  </w:abstractNum>
  <w:abstractNum w:abstractNumId="2" w15:restartNumberingAfterBreak="0">
    <w:nsid w:val="02436174"/>
    <w:multiLevelType w:val="hybridMultilevel"/>
    <w:tmpl w:val="FA1819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2645D6B"/>
    <w:multiLevelType w:val="hybridMultilevel"/>
    <w:tmpl w:val="B3DC82A2"/>
    <w:lvl w:ilvl="0" w:tplc="E0C0E2DE">
      <w:start w:val="1"/>
      <w:numFmt w:val="decimal"/>
      <w:lvlText w:val="13.%1."/>
      <w:lvlJc w:val="left"/>
      <w:pPr>
        <w:ind w:left="862" w:hanging="360"/>
      </w:pPr>
      <w:rPr>
        <w:rFonts w:ascii="Arial" w:hAnsi="Arial" w:hint="default"/>
        <w:b w:val="0"/>
        <w:i w:val="0"/>
        <w:color w:val="auto"/>
        <w:sz w:val="20"/>
        <w:szCs w:val="20"/>
        <w:u w:val="none"/>
      </w:rPr>
    </w:lvl>
    <w:lvl w:ilvl="1" w:tplc="1C090019">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4" w15:restartNumberingAfterBreak="0">
    <w:nsid w:val="03B03184"/>
    <w:multiLevelType w:val="multilevel"/>
    <w:tmpl w:val="ABBAA9C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B06470"/>
    <w:multiLevelType w:val="multilevel"/>
    <w:tmpl w:val="09B06470"/>
    <w:lvl w:ilvl="0">
      <w:start w:val="1"/>
      <w:numFmt w:val="bullet"/>
      <w:lvlText w:val=""/>
      <w:lvlJc w:val="left"/>
      <w:pPr>
        <w:ind w:left="1794" w:hanging="780"/>
      </w:pPr>
      <w:rPr>
        <w:rFonts w:ascii="Symbol" w:hAnsi="Symbol" w:hint="default"/>
      </w:rPr>
    </w:lvl>
    <w:lvl w:ilvl="1">
      <w:start w:val="1"/>
      <w:numFmt w:val="bullet"/>
      <w:lvlText w:val="o"/>
      <w:lvlJc w:val="left"/>
      <w:pPr>
        <w:ind w:left="2094" w:hanging="360"/>
      </w:pPr>
      <w:rPr>
        <w:rFonts w:ascii="Courier New" w:hAnsi="Courier New" w:cs="Courier New" w:hint="default"/>
      </w:rPr>
    </w:lvl>
    <w:lvl w:ilvl="2">
      <w:start w:val="1"/>
      <w:numFmt w:val="bullet"/>
      <w:lvlText w:val=""/>
      <w:lvlJc w:val="left"/>
      <w:pPr>
        <w:ind w:left="2814" w:hanging="360"/>
      </w:pPr>
      <w:rPr>
        <w:rFonts w:ascii="Wingdings" w:hAnsi="Wingdings" w:hint="default"/>
      </w:rPr>
    </w:lvl>
    <w:lvl w:ilvl="3">
      <w:start w:val="1"/>
      <w:numFmt w:val="bullet"/>
      <w:lvlText w:val=""/>
      <w:lvlJc w:val="left"/>
      <w:pPr>
        <w:ind w:left="3534" w:hanging="360"/>
      </w:pPr>
      <w:rPr>
        <w:rFonts w:ascii="Symbol" w:hAnsi="Symbol" w:hint="default"/>
      </w:rPr>
    </w:lvl>
    <w:lvl w:ilvl="4">
      <w:start w:val="1"/>
      <w:numFmt w:val="bullet"/>
      <w:lvlText w:val="o"/>
      <w:lvlJc w:val="left"/>
      <w:pPr>
        <w:ind w:left="4254" w:hanging="360"/>
      </w:pPr>
      <w:rPr>
        <w:rFonts w:ascii="Courier New" w:hAnsi="Courier New" w:cs="Courier New" w:hint="default"/>
      </w:rPr>
    </w:lvl>
    <w:lvl w:ilvl="5">
      <w:start w:val="1"/>
      <w:numFmt w:val="bullet"/>
      <w:lvlText w:val=""/>
      <w:lvlJc w:val="left"/>
      <w:pPr>
        <w:ind w:left="4974" w:hanging="360"/>
      </w:pPr>
      <w:rPr>
        <w:rFonts w:ascii="Wingdings" w:hAnsi="Wingdings" w:hint="default"/>
      </w:rPr>
    </w:lvl>
    <w:lvl w:ilvl="6">
      <w:start w:val="1"/>
      <w:numFmt w:val="bullet"/>
      <w:lvlText w:val=""/>
      <w:lvlJc w:val="left"/>
      <w:pPr>
        <w:ind w:left="5694" w:hanging="360"/>
      </w:pPr>
      <w:rPr>
        <w:rFonts w:ascii="Symbol" w:hAnsi="Symbol" w:hint="default"/>
      </w:rPr>
    </w:lvl>
    <w:lvl w:ilvl="7">
      <w:start w:val="1"/>
      <w:numFmt w:val="bullet"/>
      <w:lvlText w:val="o"/>
      <w:lvlJc w:val="left"/>
      <w:pPr>
        <w:ind w:left="6414" w:hanging="360"/>
      </w:pPr>
      <w:rPr>
        <w:rFonts w:ascii="Courier New" w:hAnsi="Courier New" w:cs="Courier New" w:hint="default"/>
      </w:rPr>
    </w:lvl>
    <w:lvl w:ilvl="8">
      <w:start w:val="1"/>
      <w:numFmt w:val="bullet"/>
      <w:lvlText w:val=""/>
      <w:lvlJc w:val="left"/>
      <w:pPr>
        <w:ind w:left="7134" w:hanging="360"/>
      </w:pPr>
      <w:rPr>
        <w:rFonts w:ascii="Wingdings" w:hAnsi="Wingdings" w:hint="default"/>
      </w:rPr>
    </w:lvl>
  </w:abstractNum>
  <w:abstractNum w:abstractNumId="7" w15:restartNumberingAfterBreak="0">
    <w:nsid w:val="0DC90615"/>
    <w:multiLevelType w:val="multilevel"/>
    <w:tmpl w:val="F3102C34"/>
    <w:lvl w:ilvl="0">
      <w:start w:val="1"/>
      <w:numFmt w:val="lowerLetter"/>
      <w:lvlText w:val="%1)"/>
      <w:lvlJc w:val="left"/>
      <w:pPr>
        <w:ind w:left="1069" w:hanging="360"/>
      </w:pPr>
      <w:rPr>
        <w:rFont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EF90767"/>
    <w:multiLevelType w:val="hybridMultilevel"/>
    <w:tmpl w:val="9A5E9F3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46C3507"/>
    <w:multiLevelType w:val="multilevel"/>
    <w:tmpl w:val="6CCE80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AnsiTheme="minorHAnsi" w:cstheme="minorBidi" w:hint="default"/>
        <w:b/>
      </w:rPr>
    </w:lvl>
    <w:lvl w:ilvl="2">
      <w:start w:val="1"/>
      <w:numFmt w:val="decimal"/>
      <w:isLgl/>
      <w:lvlText w:val="%1.%2.%3"/>
      <w:lvlJc w:val="left"/>
      <w:pPr>
        <w:ind w:left="1080" w:hanging="720"/>
      </w:pPr>
      <w:rPr>
        <w:rFonts w:eastAsiaTheme="minorHAnsi" w:hAnsiTheme="minorHAnsi" w:cstheme="minorBidi" w:hint="default"/>
        <w:b/>
      </w:rPr>
    </w:lvl>
    <w:lvl w:ilvl="3">
      <w:start w:val="1"/>
      <w:numFmt w:val="decimal"/>
      <w:isLgl/>
      <w:lvlText w:val="%1.%2.%3.%4"/>
      <w:lvlJc w:val="left"/>
      <w:pPr>
        <w:ind w:left="1080" w:hanging="720"/>
      </w:pPr>
      <w:rPr>
        <w:rFonts w:eastAsiaTheme="minorHAnsi" w:hAnsiTheme="minorHAnsi" w:cstheme="minorBidi" w:hint="default"/>
        <w:b/>
      </w:rPr>
    </w:lvl>
    <w:lvl w:ilvl="4">
      <w:start w:val="1"/>
      <w:numFmt w:val="decimal"/>
      <w:isLgl/>
      <w:lvlText w:val="%1.%2.%3.%4.%5"/>
      <w:lvlJc w:val="left"/>
      <w:pPr>
        <w:ind w:left="1440" w:hanging="1080"/>
      </w:pPr>
      <w:rPr>
        <w:rFonts w:eastAsiaTheme="minorHAnsi" w:hAnsiTheme="minorHAnsi" w:cstheme="minorBidi" w:hint="default"/>
        <w:b/>
      </w:rPr>
    </w:lvl>
    <w:lvl w:ilvl="5">
      <w:start w:val="1"/>
      <w:numFmt w:val="decimal"/>
      <w:isLgl/>
      <w:lvlText w:val="%1.%2.%3.%4.%5.%6"/>
      <w:lvlJc w:val="left"/>
      <w:pPr>
        <w:ind w:left="1440" w:hanging="1080"/>
      </w:pPr>
      <w:rPr>
        <w:rFonts w:eastAsiaTheme="minorHAnsi" w:hAnsiTheme="minorHAnsi" w:cstheme="minorBidi" w:hint="default"/>
        <w:b/>
      </w:rPr>
    </w:lvl>
    <w:lvl w:ilvl="6">
      <w:start w:val="1"/>
      <w:numFmt w:val="decimal"/>
      <w:isLgl/>
      <w:lvlText w:val="%1.%2.%3.%4.%5.%6.%7"/>
      <w:lvlJc w:val="left"/>
      <w:pPr>
        <w:ind w:left="1800" w:hanging="1440"/>
      </w:pPr>
      <w:rPr>
        <w:rFonts w:eastAsiaTheme="minorHAnsi" w:hAnsiTheme="minorHAnsi" w:cstheme="minorBidi" w:hint="default"/>
        <w:b/>
      </w:rPr>
    </w:lvl>
    <w:lvl w:ilvl="7">
      <w:start w:val="1"/>
      <w:numFmt w:val="decimal"/>
      <w:isLgl/>
      <w:lvlText w:val="%1.%2.%3.%4.%5.%6.%7.%8"/>
      <w:lvlJc w:val="left"/>
      <w:pPr>
        <w:ind w:left="1800" w:hanging="1440"/>
      </w:pPr>
      <w:rPr>
        <w:rFonts w:eastAsiaTheme="minorHAnsi" w:hAnsiTheme="minorHAnsi" w:cstheme="minorBidi" w:hint="default"/>
        <w:b/>
      </w:rPr>
    </w:lvl>
    <w:lvl w:ilvl="8">
      <w:start w:val="1"/>
      <w:numFmt w:val="decimal"/>
      <w:isLgl/>
      <w:lvlText w:val="%1.%2.%3.%4.%5.%6.%7.%8.%9"/>
      <w:lvlJc w:val="left"/>
      <w:pPr>
        <w:ind w:left="2160" w:hanging="1800"/>
      </w:pPr>
      <w:rPr>
        <w:rFonts w:eastAsiaTheme="minorHAnsi" w:hAnsiTheme="minorHAnsi" w:cstheme="minorBidi" w:hint="default"/>
        <w:b/>
      </w:rPr>
    </w:lvl>
  </w:abstractNum>
  <w:abstractNum w:abstractNumId="11" w15:restartNumberingAfterBreak="0">
    <w:nsid w:val="19243099"/>
    <w:multiLevelType w:val="hybridMultilevel"/>
    <w:tmpl w:val="251E38F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2" w15:restartNumberingAfterBreak="0">
    <w:nsid w:val="1BAB3715"/>
    <w:multiLevelType w:val="hybridMultilevel"/>
    <w:tmpl w:val="C194F7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DE63A95"/>
    <w:multiLevelType w:val="multilevel"/>
    <w:tmpl w:val="CBEE1C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61581E"/>
    <w:multiLevelType w:val="multilevel"/>
    <w:tmpl w:val="20615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3105171"/>
    <w:multiLevelType w:val="hybridMultilevel"/>
    <w:tmpl w:val="5DEA2F5E"/>
    <w:lvl w:ilvl="0" w:tplc="1C090003">
      <w:start w:val="1"/>
      <w:numFmt w:val="bullet"/>
      <w:lvlText w:val="o"/>
      <w:lvlJc w:val="left"/>
      <w:pPr>
        <w:ind w:left="1500" w:hanging="360"/>
      </w:pPr>
      <w:rPr>
        <w:rFonts w:ascii="Courier New" w:hAnsi="Courier New" w:cs="Courier New"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8" w15:restartNumberingAfterBreak="0">
    <w:nsid w:val="24F57688"/>
    <w:multiLevelType w:val="hybridMultilevel"/>
    <w:tmpl w:val="0B1C87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7367A3F"/>
    <w:multiLevelType w:val="hybridMultilevel"/>
    <w:tmpl w:val="96549DC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8476A78"/>
    <w:multiLevelType w:val="hybridMultilevel"/>
    <w:tmpl w:val="71682CB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28B016FF"/>
    <w:multiLevelType w:val="hybridMultilevel"/>
    <w:tmpl w:val="C5BC6C5E"/>
    <w:lvl w:ilvl="0" w:tplc="1C090003">
      <w:start w:val="1"/>
      <w:numFmt w:val="bullet"/>
      <w:lvlText w:val="o"/>
      <w:lvlJc w:val="left"/>
      <w:pPr>
        <w:ind w:left="1500" w:hanging="360"/>
      </w:pPr>
      <w:rPr>
        <w:rFonts w:ascii="Courier New" w:hAnsi="Courier New" w:cs="Courier New"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23" w15:restartNumberingAfterBreak="0">
    <w:nsid w:val="2BFD3A60"/>
    <w:multiLevelType w:val="hybridMultilevel"/>
    <w:tmpl w:val="8654B58C"/>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3B268970">
      <w:start w:val="1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6D7B7F"/>
    <w:multiLevelType w:val="multilevel"/>
    <w:tmpl w:val="7040D9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3C8E662F"/>
    <w:multiLevelType w:val="hybridMultilevel"/>
    <w:tmpl w:val="EB16722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00711BF"/>
    <w:multiLevelType w:val="hybridMultilevel"/>
    <w:tmpl w:val="0DFCC41C"/>
    <w:lvl w:ilvl="0" w:tplc="0FB85BE2">
      <w:start w:val="1"/>
      <w:numFmt w:val="lowerRoman"/>
      <w:lvlText w:val="(%1)"/>
      <w:lvlJc w:val="left"/>
      <w:pPr>
        <w:ind w:left="1246" w:hanging="319"/>
      </w:pPr>
      <w:rPr>
        <w:rFonts w:ascii="Arial" w:eastAsia="Arial" w:hAnsi="Arial" w:hint="default"/>
        <w:sz w:val="22"/>
        <w:szCs w:val="22"/>
      </w:rPr>
    </w:lvl>
    <w:lvl w:ilvl="1" w:tplc="4888F1B2">
      <w:start w:val="1"/>
      <w:numFmt w:val="bullet"/>
      <w:lvlText w:val="•"/>
      <w:lvlJc w:val="left"/>
      <w:pPr>
        <w:ind w:left="2124" w:hanging="319"/>
      </w:pPr>
      <w:rPr>
        <w:rFonts w:hint="default"/>
      </w:rPr>
    </w:lvl>
    <w:lvl w:ilvl="2" w:tplc="C08EB0DE">
      <w:start w:val="1"/>
      <w:numFmt w:val="bullet"/>
      <w:lvlText w:val="•"/>
      <w:lvlJc w:val="left"/>
      <w:pPr>
        <w:ind w:left="3002" w:hanging="319"/>
      </w:pPr>
      <w:rPr>
        <w:rFonts w:hint="default"/>
      </w:rPr>
    </w:lvl>
    <w:lvl w:ilvl="3" w:tplc="E7C63C60">
      <w:start w:val="1"/>
      <w:numFmt w:val="bullet"/>
      <w:lvlText w:val="•"/>
      <w:lvlJc w:val="left"/>
      <w:pPr>
        <w:ind w:left="3880" w:hanging="319"/>
      </w:pPr>
      <w:rPr>
        <w:rFonts w:hint="default"/>
      </w:rPr>
    </w:lvl>
    <w:lvl w:ilvl="4" w:tplc="954E7220">
      <w:start w:val="1"/>
      <w:numFmt w:val="bullet"/>
      <w:lvlText w:val="•"/>
      <w:lvlJc w:val="left"/>
      <w:pPr>
        <w:ind w:left="4758" w:hanging="319"/>
      </w:pPr>
      <w:rPr>
        <w:rFonts w:hint="default"/>
      </w:rPr>
    </w:lvl>
    <w:lvl w:ilvl="5" w:tplc="8EB09FD2">
      <w:start w:val="1"/>
      <w:numFmt w:val="bullet"/>
      <w:lvlText w:val="•"/>
      <w:lvlJc w:val="left"/>
      <w:pPr>
        <w:ind w:left="5636" w:hanging="319"/>
      </w:pPr>
      <w:rPr>
        <w:rFonts w:hint="default"/>
      </w:rPr>
    </w:lvl>
    <w:lvl w:ilvl="6" w:tplc="CBDAE958">
      <w:start w:val="1"/>
      <w:numFmt w:val="bullet"/>
      <w:lvlText w:val="•"/>
      <w:lvlJc w:val="left"/>
      <w:pPr>
        <w:ind w:left="6514" w:hanging="319"/>
      </w:pPr>
      <w:rPr>
        <w:rFonts w:hint="default"/>
      </w:rPr>
    </w:lvl>
    <w:lvl w:ilvl="7" w:tplc="77FEA64C">
      <w:start w:val="1"/>
      <w:numFmt w:val="bullet"/>
      <w:lvlText w:val="•"/>
      <w:lvlJc w:val="left"/>
      <w:pPr>
        <w:ind w:left="7392" w:hanging="319"/>
      </w:pPr>
      <w:rPr>
        <w:rFonts w:hint="default"/>
      </w:rPr>
    </w:lvl>
    <w:lvl w:ilvl="8" w:tplc="57641DBA">
      <w:start w:val="1"/>
      <w:numFmt w:val="bullet"/>
      <w:lvlText w:val="•"/>
      <w:lvlJc w:val="left"/>
      <w:pPr>
        <w:ind w:left="8270" w:hanging="319"/>
      </w:pPr>
      <w:rPr>
        <w:rFonts w:hint="default"/>
      </w:rPr>
    </w:lvl>
  </w:abstractNum>
  <w:abstractNum w:abstractNumId="28" w15:restartNumberingAfterBreak="0">
    <w:nsid w:val="40872C68"/>
    <w:multiLevelType w:val="hybridMultilevel"/>
    <w:tmpl w:val="96549DC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1D67D13"/>
    <w:multiLevelType w:val="hybridMultilevel"/>
    <w:tmpl w:val="0872484C"/>
    <w:lvl w:ilvl="0" w:tplc="0ADE3544">
      <w:start w:val="1"/>
      <w:numFmt w:val="lowerLetter"/>
      <w:lvlText w:val="%1)"/>
      <w:lvlJc w:val="left"/>
      <w:pPr>
        <w:ind w:left="2214" w:hanging="360"/>
      </w:pPr>
      <w:rPr>
        <w:b w:val="0"/>
        <w:bCs w:val="0"/>
      </w:rPr>
    </w:lvl>
    <w:lvl w:ilvl="1" w:tplc="1C090019" w:tentative="1">
      <w:start w:val="1"/>
      <w:numFmt w:val="lowerLetter"/>
      <w:lvlText w:val="%2."/>
      <w:lvlJc w:val="left"/>
      <w:pPr>
        <w:ind w:left="2934" w:hanging="360"/>
      </w:pPr>
    </w:lvl>
    <w:lvl w:ilvl="2" w:tplc="1C09001B" w:tentative="1">
      <w:start w:val="1"/>
      <w:numFmt w:val="lowerRoman"/>
      <w:lvlText w:val="%3."/>
      <w:lvlJc w:val="right"/>
      <w:pPr>
        <w:ind w:left="3654" w:hanging="180"/>
      </w:pPr>
    </w:lvl>
    <w:lvl w:ilvl="3" w:tplc="1C09000F" w:tentative="1">
      <w:start w:val="1"/>
      <w:numFmt w:val="decimal"/>
      <w:lvlText w:val="%4."/>
      <w:lvlJc w:val="left"/>
      <w:pPr>
        <w:ind w:left="4374" w:hanging="360"/>
      </w:pPr>
    </w:lvl>
    <w:lvl w:ilvl="4" w:tplc="1C090019" w:tentative="1">
      <w:start w:val="1"/>
      <w:numFmt w:val="lowerLetter"/>
      <w:lvlText w:val="%5."/>
      <w:lvlJc w:val="left"/>
      <w:pPr>
        <w:ind w:left="5094" w:hanging="360"/>
      </w:pPr>
    </w:lvl>
    <w:lvl w:ilvl="5" w:tplc="1C09001B" w:tentative="1">
      <w:start w:val="1"/>
      <w:numFmt w:val="lowerRoman"/>
      <w:lvlText w:val="%6."/>
      <w:lvlJc w:val="right"/>
      <w:pPr>
        <w:ind w:left="5814" w:hanging="180"/>
      </w:pPr>
    </w:lvl>
    <w:lvl w:ilvl="6" w:tplc="1C09000F" w:tentative="1">
      <w:start w:val="1"/>
      <w:numFmt w:val="decimal"/>
      <w:lvlText w:val="%7."/>
      <w:lvlJc w:val="left"/>
      <w:pPr>
        <w:ind w:left="6534" w:hanging="360"/>
      </w:pPr>
    </w:lvl>
    <w:lvl w:ilvl="7" w:tplc="1C090019" w:tentative="1">
      <w:start w:val="1"/>
      <w:numFmt w:val="lowerLetter"/>
      <w:lvlText w:val="%8."/>
      <w:lvlJc w:val="left"/>
      <w:pPr>
        <w:ind w:left="7254" w:hanging="360"/>
      </w:pPr>
    </w:lvl>
    <w:lvl w:ilvl="8" w:tplc="1C09001B" w:tentative="1">
      <w:start w:val="1"/>
      <w:numFmt w:val="lowerRoman"/>
      <w:lvlText w:val="%9."/>
      <w:lvlJc w:val="right"/>
      <w:pPr>
        <w:ind w:left="7974" w:hanging="180"/>
      </w:pPr>
    </w:lvl>
  </w:abstractNum>
  <w:abstractNum w:abstractNumId="3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35D17FA"/>
    <w:multiLevelType w:val="multilevel"/>
    <w:tmpl w:val="BEEC0686"/>
    <w:lvl w:ilvl="0">
      <w:start w:val="2"/>
      <w:numFmt w:val="decimal"/>
      <w:lvlText w:val="%1"/>
      <w:lvlJc w:val="left"/>
      <w:pPr>
        <w:ind w:left="360" w:hanging="360"/>
      </w:pPr>
      <w:rPr>
        <w:rFonts w:ascii="Arial" w:hAnsi="Arial" w:cs="Arial" w:hint="default"/>
        <w:sz w:val="22"/>
        <w:szCs w:val="22"/>
      </w:rPr>
    </w:lvl>
    <w:lvl w:ilvl="1">
      <w:start w:val="1"/>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696" w:hanging="1800"/>
      </w:pPr>
      <w:rPr>
        <w:rFonts w:hint="default"/>
      </w:rPr>
    </w:lvl>
  </w:abstractNum>
  <w:abstractNum w:abstractNumId="32" w15:restartNumberingAfterBreak="0">
    <w:nsid w:val="4D131AC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A97F91"/>
    <w:multiLevelType w:val="hybridMultilevel"/>
    <w:tmpl w:val="5628A8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E6378CA"/>
    <w:multiLevelType w:val="hybridMultilevel"/>
    <w:tmpl w:val="47D04ED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5" w15:restartNumberingAfterBreak="0">
    <w:nsid w:val="50021F26"/>
    <w:multiLevelType w:val="hybridMultilevel"/>
    <w:tmpl w:val="575E41B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6" w15:restartNumberingAfterBreak="0">
    <w:nsid w:val="53E83203"/>
    <w:multiLevelType w:val="multilevel"/>
    <w:tmpl w:val="C23029B4"/>
    <w:lvl w:ilvl="0">
      <w:start w:val="16"/>
      <w:numFmt w:val="decimal"/>
      <w:lvlText w:val="%1"/>
      <w:lvlJc w:val="left"/>
      <w:pPr>
        <w:ind w:left="670" w:hanging="670"/>
      </w:pPr>
      <w:rPr>
        <w:rFonts w:hint="default"/>
      </w:rPr>
    </w:lvl>
    <w:lvl w:ilvl="1">
      <w:start w:val="10"/>
      <w:numFmt w:val="decimal"/>
      <w:lvlText w:val="%1.%2"/>
      <w:lvlJc w:val="left"/>
      <w:pPr>
        <w:ind w:left="726" w:hanging="67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37" w15:restartNumberingAfterBreak="0">
    <w:nsid w:val="560011EC"/>
    <w:multiLevelType w:val="multilevel"/>
    <w:tmpl w:val="71D0B0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FE1986"/>
    <w:multiLevelType w:val="multilevel"/>
    <w:tmpl w:val="EC7CED4E"/>
    <w:lvl w:ilvl="0">
      <w:start w:val="1"/>
      <w:numFmt w:val="decimal"/>
      <w:lvlText w:val="%1."/>
      <w:lvlJc w:val="left"/>
      <w:pPr>
        <w:ind w:left="472" w:hanging="360"/>
      </w:pPr>
      <w:rPr>
        <w:rFonts w:hint="default"/>
        <w:b/>
        <w:sz w:val="22"/>
        <w:szCs w:val="22"/>
      </w:rPr>
    </w:lvl>
    <w:lvl w:ilvl="1">
      <w:start w:val="1"/>
      <w:numFmt w:val="decimal"/>
      <w:isLgl/>
      <w:lvlText w:val="%1.%2."/>
      <w:lvlJc w:val="left"/>
      <w:pPr>
        <w:ind w:left="1070" w:hanging="360"/>
      </w:pPr>
      <w:rPr>
        <w:rFonts w:hint="default"/>
        <w:b w:val="0"/>
        <w:bCs/>
        <w:color w:val="auto"/>
      </w:rPr>
    </w:lvl>
    <w:lvl w:ilvl="2">
      <w:start w:val="1"/>
      <w:numFmt w:val="decimal"/>
      <w:isLgl/>
      <w:lvlText w:val="%1.%2.%3."/>
      <w:lvlJc w:val="left"/>
      <w:pPr>
        <w:ind w:left="228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912" w:hanging="1800"/>
      </w:pPr>
      <w:rPr>
        <w:rFonts w:hint="default"/>
      </w:rPr>
    </w:lvl>
  </w:abstractNum>
  <w:abstractNum w:abstractNumId="39" w15:restartNumberingAfterBreak="0">
    <w:nsid w:val="5BEF21DA"/>
    <w:multiLevelType w:val="multilevel"/>
    <w:tmpl w:val="1708021C"/>
    <w:lvl w:ilvl="0">
      <w:start w:val="1"/>
      <w:numFmt w:val="decimal"/>
      <w:lvlText w:val="%1."/>
      <w:lvlJc w:val="left"/>
      <w:pPr>
        <w:ind w:left="965" w:hanging="853"/>
      </w:pPr>
      <w:rPr>
        <w:rFonts w:ascii="Arial" w:eastAsia="Arial" w:hAnsi="Arial" w:hint="default"/>
        <w:b/>
        <w:bCs w:val="0"/>
        <w:spacing w:val="-1"/>
        <w:sz w:val="18"/>
        <w:szCs w:val="20"/>
      </w:rPr>
    </w:lvl>
    <w:lvl w:ilvl="1">
      <w:start w:val="1"/>
      <w:numFmt w:val="decimal"/>
      <w:lvlText w:val="%1.%2."/>
      <w:lvlJc w:val="left"/>
      <w:pPr>
        <w:ind w:left="1246" w:hanging="1134"/>
      </w:pPr>
      <w:rPr>
        <w:rFonts w:ascii="Arial" w:eastAsia="Arial" w:hAnsi="Arial" w:hint="default"/>
        <w:spacing w:val="-1"/>
        <w:sz w:val="18"/>
        <w:szCs w:val="20"/>
      </w:rPr>
    </w:lvl>
    <w:lvl w:ilvl="2">
      <w:start w:val="1"/>
      <w:numFmt w:val="lowerLetter"/>
      <w:lvlText w:val="(%3)"/>
      <w:lvlJc w:val="left"/>
      <w:pPr>
        <w:ind w:left="1606" w:hanging="423"/>
      </w:pPr>
      <w:rPr>
        <w:rFonts w:ascii="Arial" w:eastAsia="Arial" w:hAnsi="Arial" w:hint="default"/>
        <w:sz w:val="20"/>
        <w:szCs w:val="20"/>
      </w:rPr>
    </w:lvl>
    <w:lvl w:ilvl="3">
      <w:start w:val="1"/>
      <w:numFmt w:val="bullet"/>
      <w:lvlText w:val="•"/>
      <w:lvlJc w:val="left"/>
      <w:pPr>
        <w:ind w:left="1245" w:hanging="423"/>
      </w:pPr>
      <w:rPr>
        <w:rFonts w:hint="default"/>
      </w:rPr>
    </w:lvl>
    <w:lvl w:ilvl="4">
      <w:start w:val="1"/>
      <w:numFmt w:val="bullet"/>
      <w:lvlText w:val="•"/>
      <w:lvlJc w:val="left"/>
      <w:pPr>
        <w:ind w:left="1246" w:hanging="423"/>
      </w:pPr>
      <w:rPr>
        <w:rFonts w:hint="default"/>
      </w:rPr>
    </w:lvl>
    <w:lvl w:ilvl="5">
      <w:start w:val="1"/>
      <w:numFmt w:val="bullet"/>
      <w:lvlText w:val="•"/>
      <w:lvlJc w:val="left"/>
      <w:pPr>
        <w:ind w:left="1246" w:hanging="423"/>
      </w:pPr>
      <w:rPr>
        <w:rFonts w:hint="default"/>
      </w:rPr>
    </w:lvl>
    <w:lvl w:ilvl="6">
      <w:start w:val="1"/>
      <w:numFmt w:val="bullet"/>
      <w:lvlText w:val="•"/>
      <w:lvlJc w:val="left"/>
      <w:pPr>
        <w:ind w:left="1246" w:hanging="423"/>
      </w:pPr>
      <w:rPr>
        <w:rFonts w:hint="default"/>
      </w:rPr>
    </w:lvl>
    <w:lvl w:ilvl="7">
      <w:start w:val="1"/>
      <w:numFmt w:val="bullet"/>
      <w:lvlText w:val="•"/>
      <w:lvlJc w:val="left"/>
      <w:pPr>
        <w:ind w:left="1246" w:hanging="423"/>
      </w:pPr>
      <w:rPr>
        <w:rFonts w:hint="default"/>
      </w:rPr>
    </w:lvl>
    <w:lvl w:ilvl="8">
      <w:start w:val="1"/>
      <w:numFmt w:val="bullet"/>
      <w:lvlText w:val="•"/>
      <w:lvlJc w:val="left"/>
      <w:pPr>
        <w:ind w:left="1246" w:hanging="423"/>
      </w:pPr>
      <w:rPr>
        <w:rFonts w:hint="default"/>
      </w:rPr>
    </w:lvl>
  </w:abstractNum>
  <w:abstractNum w:abstractNumId="4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985D42"/>
    <w:multiLevelType w:val="multilevel"/>
    <w:tmpl w:val="64985D42"/>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42" w15:restartNumberingAfterBreak="0">
    <w:nsid w:val="65B46551"/>
    <w:multiLevelType w:val="multilevel"/>
    <w:tmpl w:val="9B548972"/>
    <w:lvl w:ilvl="0">
      <w:start w:val="10"/>
      <w:numFmt w:val="decimal"/>
      <w:lvlText w:val="%1"/>
      <w:lvlJc w:val="left"/>
      <w:pPr>
        <w:ind w:left="1394" w:hanging="711"/>
      </w:pPr>
      <w:rPr>
        <w:rFonts w:hint="default"/>
      </w:rPr>
    </w:lvl>
    <w:lvl w:ilvl="1">
      <w:start w:val="1"/>
      <w:numFmt w:val="decimal"/>
      <w:lvlText w:val="12.%2."/>
      <w:lvlJc w:val="left"/>
      <w:pPr>
        <w:ind w:left="1043" w:hanging="360"/>
      </w:pPr>
      <w:rPr>
        <w:rFonts w:hint="default"/>
        <w:b/>
        <w:bCs/>
      </w:rPr>
    </w:lvl>
    <w:lvl w:ilvl="2">
      <w:start w:val="1"/>
      <w:numFmt w:val="decimal"/>
      <w:lvlText w:val="%1.%2.%3"/>
      <w:lvlJc w:val="left"/>
      <w:pPr>
        <w:ind w:left="2243" w:hanging="850"/>
      </w:pPr>
      <w:rPr>
        <w:rFonts w:ascii="Arial" w:eastAsia="Arial" w:hAnsi="Arial" w:hint="default"/>
        <w:spacing w:val="-1"/>
        <w:sz w:val="22"/>
        <w:szCs w:val="22"/>
      </w:rPr>
    </w:lvl>
    <w:lvl w:ilvl="3">
      <w:start w:val="1"/>
      <w:numFmt w:val="decimal"/>
      <w:lvlText w:val="%1.%2.%3.%4"/>
      <w:lvlJc w:val="left"/>
      <w:pPr>
        <w:ind w:left="3237" w:hanging="995"/>
      </w:pPr>
      <w:rPr>
        <w:rFonts w:ascii="Arial" w:eastAsia="Arial" w:hAnsi="Arial" w:hint="default"/>
        <w:spacing w:val="-1"/>
        <w:sz w:val="22"/>
        <w:szCs w:val="22"/>
      </w:rPr>
    </w:lvl>
    <w:lvl w:ilvl="4">
      <w:start w:val="1"/>
      <w:numFmt w:val="bullet"/>
      <w:lvlText w:val="•"/>
      <w:lvlJc w:val="left"/>
      <w:pPr>
        <w:ind w:left="4934" w:hanging="995"/>
      </w:pPr>
      <w:rPr>
        <w:rFonts w:hint="default"/>
      </w:rPr>
    </w:lvl>
    <w:lvl w:ilvl="5">
      <w:start w:val="1"/>
      <w:numFmt w:val="bullet"/>
      <w:lvlText w:val="•"/>
      <w:lvlJc w:val="left"/>
      <w:pPr>
        <w:ind w:left="5783" w:hanging="995"/>
      </w:pPr>
      <w:rPr>
        <w:rFonts w:hint="default"/>
      </w:rPr>
    </w:lvl>
    <w:lvl w:ilvl="6">
      <w:start w:val="1"/>
      <w:numFmt w:val="bullet"/>
      <w:lvlText w:val="•"/>
      <w:lvlJc w:val="left"/>
      <w:pPr>
        <w:ind w:left="6632" w:hanging="995"/>
      </w:pPr>
      <w:rPr>
        <w:rFonts w:hint="default"/>
      </w:rPr>
    </w:lvl>
    <w:lvl w:ilvl="7">
      <w:start w:val="1"/>
      <w:numFmt w:val="bullet"/>
      <w:lvlText w:val="•"/>
      <w:lvlJc w:val="left"/>
      <w:pPr>
        <w:ind w:left="7480" w:hanging="995"/>
      </w:pPr>
      <w:rPr>
        <w:rFonts w:hint="default"/>
      </w:rPr>
    </w:lvl>
    <w:lvl w:ilvl="8">
      <w:start w:val="1"/>
      <w:numFmt w:val="bullet"/>
      <w:lvlText w:val="•"/>
      <w:lvlJc w:val="left"/>
      <w:pPr>
        <w:ind w:left="8329" w:hanging="995"/>
      </w:pPr>
      <w:rPr>
        <w:rFonts w:hint="default"/>
      </w:rPr>
    </w:lvl>
  </w:abstractNum>
  <w:abstractNum w:abstractNumId="43" w15:restartNumberingAfterBreak="0">
    <w:nsid w:val="666750E8"/>
    <w:multiLevelType w:val="multilevel"/>
    <w:tmpl w:val="26F272B4"/>
    <w:lvl w:ilvl="0">
      <w:start w:val="1"/>
      <w:numFmt w:val="lowerRoman"/>
      <w:lvlText w:val="(%1)"/>
      <w:lvlJc w:val="left"/>
      <w:pPr>
        <w:ind w:left="1069" w:hanging="360"/>
      </w:pPr>
      <w:rPr>
        <w:rFonts w:hint="default"/>
      </w:rPr>
    </w:lvl>
    <w:lvl w:ilvl="1">
      <w:start w:val="1"/>
      <w:numFmt w:val="bullet"/>
      <w:lvlText w:val="o"/>
      <w:lvlJc w:val="left"/>
      <w:pPr>
        <w:ind w:left="1789" w:hanging="360"/>
      </w:pPr>
      <w:rPr>
        <w:rFonts w:ascii="Courier New" w:hAnsi="Courier New" w:cs="Courier New" w:hint="default"/>
      </w:rPr>
    </w:lvl>
    <w:lvl w:ilvl="2">
      <w:start w:val="1"/>
      <w:numFmt w:val="lowerRoman"/>
      <w:lvlText w:val="(%3)"/>
      <w:lvlJc w:val="left"/>
      <w:pPr>
        <w:ind w:left="2509" w:hanging="360"/>
      </w:pPr>
      <w:rPr>
        <w:rFont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6DA65767"/>
    <w:multiLevelType w:val="multilevel"/>
    <w:tmpl w:val="96EEB8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E517248"/>
    <w:multiLevelType w:val="hybridMultilevel"/>
    <w:tmpl w:val="0496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8E6CB9"/>
    <w:multiLevelType w:val="hybridMultilevel"/>
    <w:tmpl w:val="9EF81E70"/>
    <w:lvl w:ilvl="0" w:tplc="1C090017">
      <w:start w:val="1"/>
      <w:numFmt w:val="lowerLetter"/>
      <w:lvlText w:val="%1)"/>
      <w:lvlJc w:val="left"/>
      <w:pPr>
        <w:ind w:left="1069" w:hanging="360"/>
      </w:pPr>
      <w:rPr>
        <w:rFonts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48" w15:restartNumberingAfterBreak="0">
    <w:nsid w:val="75F338DD"/>
    <w:multiLevelType w:val="multilevel"/>
    <w:tmpl w:val="6E7017E0"/>
    <w:lvl w:ilvl="0">
      <w:start w:val="1"/>
      <w:numFmt w:val="lowerRoman"/>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79E3595"/>
    <w:multiLevelType w:val="hybridMultilevel"/>
    <w:tmpl w:val="B9020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81228EB"/>
    <w:multiLevelType w:val="multilevel"/>
    <w:tmpl w:val="781228E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7AC35990"/>
    <w:multiLevelType w:val="multilevel"/>
    <w:tmpl w:val="AF968878"/>
    <w:lvl w:ilvl="0">
      <w:start w:val="10"/>
      <w:numFmt w:val="decimal"/>
      <w:lvlText w:val="%1"/>
      <w:lvlJc w:val="left"/>
      <w:pPr>
        <w:ind w:left="1394" w:hanging="711"/>
      </w:pPr>
      <w:rPr>
        <w:rFonts w:hint="default"/>
      </w:rPr>
    </w:lvl>
    <w:lvl w:ilvl="1">
      <w:start w:val="4"/>
      <w:numFmt w:val="decimal"/>
      <w:lvlText w:val="%1.%2"/>
      <w:lvlJc w:val="left"/>
      <w:pPr>
        <w:ind w:left="1394" w:hanging="711"/>
      </w:pPr>
      <w:rPr>
        <w:rFonts w:ascii="Arial" w:eastAsia="Arial" w:hAnsi="Arial" w:hint="default"/>
        <w:spacing w:val="-1"/>
        <w:sz w:val="22"/>
        <w:szCs w:val="22"/>
      </w:rPr>
    </w:lvl>
    <w:lvl w:ilvl="2">
      <w:start w:val="1"/>
      <w:numFmt w:val="decimal"/>
      <w:lvlText w:val="12.4.%3."/>
      <w:lvlJc w:val="left"/>
      <w:pPr>
        <w:ind w:left="1753" w:hanging="360"/>
      </w:pPr>
      <w:rPr>
        <w:rFonts w:hint="default"/>
      </w:rPr>
    </w:lvl>
    <w:lvl w:ilvl="3">
      <w:start w:val="1"/>
      <w:numFmt w:val="bullet"/>
      <w:lvlText w:val="•"/>
      <w:lvlJc w:val="left"/>
      <w:pPr>
        <w:ind w:left="4070" w:hanging="850"/>
      </w:pPr>
      <w:rPr>
        <w:rFonts w:hint="default"/>
      </w:rPr>
    </w:lvl>
    <w:lvl w:ilvl="4">
      <w:start w:val="1"/>
      <w:numFmt w:val="bullet"/>
      <w:lvlText w:val="•"/>
      <w:lvlJc w:val="left"/>
      <w:pPr>
        <w:ind w:left="4984" w:hanging="850"/>
      </w:pPr>
      <w:rPr>
        <w:rFonts w:hint="default"/>
      </w:rPr>
    </w:lvl>
    <w:lvl w:ilvl="5">
      <w:start w:val="1"/>
      <w:numFmt w:val="bullet"/>
      <w:lvlText w:val="•"/>
      <w:lvlJc w:val="left"/>
      <w:pPr>
        <w:ind w:left="5898" w:hanging="850"/>
      </w:pPr>
      <w:rPr>
        <w:rFonts w:hint="default"/>
      </w:rPr>
    </w:lvl>
    <w:lvl w:ilvl="6">
      <w:start w:val="1"/>
      <w:numFmt w:val="bullet"/>
      <w:lvlText w:val="•"/>
      <w:lvlJc w:val="left"/>
      <w:pPr>
        <w:ind w:left="6811" w:hanging="850"/>
      </w:pPr>
      <w:rPr>
        <w:rFonts w:hint="default"/>
      </w:rPr>
    </w:lvl>
    <w:lvl w:ilvl="7">
      <w:start w:val="1"/>
      <w:numFmt w:val="bullet"/>
      <w:lvlText w:val="•"/>
      <w:lvlJc w:val="left"/>
      <w:pPr>
        <w:ind w:left="7725" w:hanging="850"/>
      </w:pPr>
      <w:rPr>
        <w:rFonts w:hint="default"/>
      </w:rPr>
    </w:lvl>
    <w:lvl w:ilvl="8">
      <w:start w:val="1"/>
      <w:numFmt w:val="bullet"/>
      <w:lvlText w:val="•"/>
      <w:lvlJc w:val="left"/>
      <w:pPr>
        <w:ind w:left="8639" w:hanging="850"/>
      </w:pPr>
      <w:rPr>
        <w:rFonts w:hint="default"/>
      </w:rPr>
    </w:lvl>
  </w:abstractNum>
  <w:abstractNum w:abstractNumId="52" w15:restartNumberingAfterBreak="0">
    <w:nsid w:val="7B000106"/>
    <w:multiLevelType w:val="multilevel"/>
    <w:tmpl w:val="ABBAA9C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C0C30F9"/>
    <w:multiLevelType w:val="multilevel"/>
    <w:tmpl w:val="95D2439A"/>
    <w:lvl w:ilvl="0">
      <w:start w:val="1"/>
      <w:numFmt w:val="decimal"/>
      <w:lvlText w:val="%1"/>
      <w:lvlJc w:val="left"/>
      <w:pPr>
        <w:ind w:left="703" w:hanging="567"/>
      </w:pPr>
      <w:rPr>
        <w:rFonts w:ascii="Arial" w:eastAsia="Arial" w:hAnsi="Arial" w:hint="default"/>
        <w:b/>
        <w:bCs/>
        <w:sz w:val="22"/>
        <w:szCs w:val="22"/>
      </w:rPr>
    </w:lvl>
    <w:lvl w:ilvl="1">
      <w:start w:val="1"/>
      <w:numFmt w:val="decimal"/>
      <w:lvlText w:val="%1.%2"/>
      <w:lvlJc w:val="left"/>
      <w:pPr>
        <w:ind w:left="1560" w:hanging="709"/>
      </w:pPr>
      <w:rPr>
        <w:rFonts w:ascii="Arial" w:eastAsia="Arial" w:hAnsi="Arial" w:hint="default"/>
        <w:spacing w:val="-1"/>
        <w:sz w:val="22"/>
        <w:szCs w:val="22"/>
      </w:rPr>
    </w:lvl>
    <w:lvl w:ilvl="2">
      <w:start w:val="1"/>
      <w:numFmt w:val="lowerRoman"/>
      <w:lvlText w:val="(%3)"/>
      <w:lvlJc w:val="left"/>
      <w:pPr>
        <w:ind w:left="4093" w:hanging="569"/>
      </w:pPr>
      <w:rPr>
        <w:rFonts w:ascii="Arial" w:eastAsia="Arial" w:hAnsi="Arial" w:hint="default"/>
        <w:sz w:val="24"/>
        <w:szCs w:val="24"/>
      </w:rPr>
    </w:lvl>
    <w:lvl w:ilvl="3">
      <w:start w:val="1"/>
      <w:numFmt w:val="bullet"/>
      <w:lvlText w:val="•"/>
      <w:lvlJc w:val="left"/>
      <w:pPr>
        <w:ind w:left="1394" w:hanging="569"/>
      </w:pPr>
      <w:rPr>
        <w:rFonts w:hint="default"/>
      </w:rPr>
    </w:lvl>
    <w:lvl w:ilvl="4">
      <w:start w:val="1"/>
      <w:numFmt w:val="bullet"/>
      <w:lvlText w:val="•"/>
      <w:lvlJc w:val="left"/>
      <w:pPr>
        <w:ind w:left="1394" w:hanging="569"/>
      </w:pPr>
      <w:rPr>
        <w:rFonts w:hint="default"/>
      </w:rPr>
    </w:lvl>
    <w:lvl w:ilvl="5">
      <w:start w:val="1"/>
      <w:numFmt w:val="bullet"/>
      <w:lvlText w:val="•"/>
      <w:lvlJc w:val="left"/>
      <w:pPr>
        <w:ind w:left="1394" w:hanging="569"/>
      </w:pPr>
      <w:rPr>
        <w:rFonts w:hint="default"/>
      </w:rPr>
    </w:lvl>
    <w:lvl w:ilvl="6">
      <w:start w:val="1"/>
      <w:numFmt w:val="bullet"/>
      <w:lvlText w:val="•"/>
      <w:lvlJc w:val="left"/>
      <w:pPr>
        <w:ind w:left="1931" w:hanging="569"/>
      </w:pPr>
      <w:rPr>
        <w:rFonts w:hint="default"/>
      </w:rPr>
    </w:lvl>
    <w:lvl w:ilvl="7">
      <w:start w:val="1"/>
      <w:numFmt w:val="bullet"/>
      <w:lvlText w:val="•"/>
      <w:lvlJc w:val="left"/>
      <w:pPr>
        <w:ind w:left="3483" w:hanging="569"/>
      </w:pPr>
      <w:rPr>
        <w:rFonts w:hint="default"/>
      </w:rPr>
    </w:lvl>
    <w:lvl w:ilvl="8">
      <w:start w:val="1"/>
      <w:numFmt w:val="bullet"/>
      <w:lvlText w:val="•"/>
      <w:lvlJc w:val="left"/>
      <w:pPr>
        <w:ind w:left="4093" w:hanging="569"/>
      </w:pPr>
      <w:rPr>
        <w:rFonts w:hint="default"/>
      </w:rPr>
    </w:lvl>
  </w:abstractNum>
  <w:abstractNum w:abstractNumId="54" w15:restartNumberingAfterBreak="0">
    <w:nsid w:val="7E362A1D"/>
    <w:multiLevelType w:val="multilevel"/>
    <w:tmpl w:val="85404E82"/>
    <w:lvl w:ilvl="0">
      <w:start w:val="9"/>
      <w:numFmt w:val="decimal"/>
      <w:lvlText w:val="%1"/>
      <w:lvlJc w:val="left"/>
      <w:pPr>
        <w:ind w:left="450" w:hanging="450"/>
      </w:pPr>
      <w:rPr>
        <w:rFonts w:hint="default"/>
      </w:rPr>
    </w:lvl>
    <w:lvl w:ilvl="1">
      <w:start w:val="2"/>
      <w:numFmt w:val="decimal"/>
      <w:lvlText w:val="%1.%2"/>
      <w:lvlJc w:val="left"/>
      <w:pPr>
        <w:ind w:left="866" w:hanging="450"/>
      </w:pPr>
      <w:rPr>
        <w:rFonts w:hint="default"/>
      </w:rPr>
    </w:lvl>
    <w:lvl w:ilvl="2">
      <w:start w:val="3"/>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4768" w:hanging="1440"/>
      </w:pPr>
      <w:rPr>
        <w:rFonts w:hint="default"/>
      </w:rPr>
    </w:lvl>
  </w:abstractNum>
  <w:abstractNum w:abstractNumId="55" w15:restartNumberingAfterBreak="0">
    <w:nsid w:val="7E416264"/>
    <w:multiLevelType w:val="multilevel"/>
    <w:tmpl w:val="284EA31C"/>
    <w:lvl w:ilvl="0">
      <w:start w:val="1"/>
      <w:numFmt w:val="lowerLetter"/>
      <w:lvlText w:val="%1."/>
      <w:lvlJc w:val="left"/>
      <w:pPr>
        <w:ind w:left="1080" w:hanging="360"/>
      </w:pPr>
      <w:rPr>
        <w:rFonts w:hint="default"/>
      </w:rPr>
    </w:lvl>
    <w:lvl w:ilvl="1">
      <w:start w:val="1"/>
      <w:numFmt w:val="lowerLetter"/>
      <w:lvlText w:val="%2)"/>
      <w:lvlJc w:val="left"/>
      <w:pPr>
        <w:ind w:left="2160" w:hanging="720"/>
      </w:pPr>
      <w:rPr>
        <w:rFonts w:hint="default"/>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7"/>
  </w:num>
  <w:num w:numId="2">
    <w:abstractNumId w:val="39"/>
  </w:num>
  <w:num w:numId="3">
    <w:abstractNumId w:val="51"/>
  </w:num>
  <w:num w:numId="4">
    <w:abstractNumId w:val="42"/>
  </w:num>
  <w:num w:numId="5">
    <w:abstractNumId w:val="53"/>
  </w:num>
  <w:num w:numId="6">
    <w:abstractNumId w:val="31"/>
  </w:num>
  <w:num w:numId="7">
    <w:abstractNumId w:val="5"/>
  </w:num>
  <w:num w:numId="8">
    <w:abstractNumId w:val="40"/>
  </w:num>
  <w:num w:numId="9">
    <w:abstractNumId w:val="0"/>
  </w:num>
  <w:num w:numId="10">
    <w:abstractNumId w:val="13"/>
  </w:num>
  <w:num w:numId="11">
    <w:abstractNumId w:val="44"/>
  </w:num>
  <w:num w:numId="12">
    <w:abstractNumId w:val="20"/>
  </w:num>
  <w:num w:numId="13">
    <w:abstractNumId w:val="23"/>
  </w:num>
  <w:num w:numId="14">
    <w:abstractNumId w:val="16"/>
  </w:num>
  <w:num w:numId="15">
    <w:abstractNumId w:val="30"/>
  </w:num>
  <w:num w:numId="16">
    <w:abstractNumId w:val="25"/>
  </w:num>
  <w:num w:numId="17">
    <w:abstractNumId w:val="8"/>
  </w:num>
  <w:num w:numId="18">
    <w:abstractNumId w:val="46"/>
  </w:num>
  <w:num w:numId="19">
    <w:abstractNumId w:val="38"/>
  </w:num>
  <w:num w:numId="20">
    <w:abstractNumId w:val="6"/>
  </w:num>
  <w:num w:numId="21">
    <w:abstractNumId w:val="41"/>
  </w:num>
  <w:num w:numId="22">
    <w:abstractNumId w:val="55"/>
  </w:num>
  <w:num w:numId="23">
    <w:abstractNumId w:val="15"/>
  </w:num>
  <w:num w:numId="24">
    <w:abstractNumId w:val="50"/>
  </w:num>
  <w:num w:numId="25">
    <w:abstractNumId w:val="49"/>
  </w:num>
  <w:num w:numId="26">
    <w:abstractNumId w:val="3"/>
  </w:num>
  <w:num w:numId="27">
    <w:abstractNumId w:val="10"/>
  </w:num>
  <w:num w:numId="28">
    <w:abstractNumId w:val="7"/>
  </w:num>
  <w:num w:numId="29">
    <w:abstractNumId w:val="43"/>
  </w:num>
  <w:num w:numId="30">
    <w:abstractNumId w:val="26"/>
  </w:num>
  <w:num w:numId="31">
    <w:abstractNumId w:val="48"/>
  </w:num>
  <w:num w:numId="32">
    <w:abstractNumId w:val="4"/>
  </w:num>
  <w:num w:numId="33">
    <w:abstractNumId w:val="35"/>
  </w:num>
  <w:num w:numId="34">
    <w:abstractNumId w:val="1"/>
  </w:num>
  <w:num w:numId="35">
    <w:abstractNumId w:val="54"/>
  </w:num>
  <w:num w:numId="36">
    <w:abstractNumId w:val="36"/>
  </w:num>
  <w:num w:numId="37">
    <w:abstractNumId w:val="37"/>
  </w:num>
  <w:num w:numId="38">
    <w:abstractNumId w:val="11"/>
  </w:num>
  <w:num w:numId="39">
    <w:abstractNumId w:val="45"/>
  </w:num>
  <w:num w:numId="40">
    <w:abstractNumId w:val="29"/>
  </w:num>
  <w:num w:numId="41">
    <w:abstractNumId w:val="47"/>
  </w:num>
  <w:num w:numId="42">
    <w:abstractNumId w:val="24"/>
  </w:num>
  <w:num w:numId="43">
    <w:abstractNumId w:val="19"/>
  </w:num>
  <w:num w:numId="44">
    <w:abstractNumId w:val="9"/>
  </w:num>
  <w:num w:numId="45">
    <w:abstractNumId w:val="32"/>
  </w:num>
  <w:num w:numId="46">
    <w:abstractNumId w:val="21"/>
  </w:num>
  <w:num w:numId="47">
    <w:abstractNumId w:val="14"/>
  </w:num>
  <w:num w:numId="48">
    <w:abstractNumId w:val="28"/>
  </w:num>
  <w:num w:numId="49">
    <w:abstractNumId w:val="2"/>
  </w:num>
  <w:num w:numId="50">
    <w:abstractNumId w:val="33"/>
  </w:num>
  <w:num w:numId="51">
    <w:abstractNumId w:val="18"/>
  </w:num>
  <w:num w:numId="52">
    <w:abstractNumId w:val="34"/>
  </w:num>
  <w:num w:numId="53">
    <w:abstractNumId w:val="52"/>
  </w:num>
  <w:num w:numId="54">
    <w:abstractNumId w:val="22"/>
  </w:num>
  <w:num w:numId="55">
    <w:abstractNumId w:val="17"/>
  </w:num>
  <w:num w:numId="56">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3D"/>
    <w:rsid w:val="00001EE2"/>
    <w:rsid w:val="00002300"/>
    <w:rsid w:val="00002F2A"/>
    <w:rsid w:val="00003327"/>
    <w:rsid w:val="00003E8E"/>
    <w:rsid w:val="00006B96"/>
    <w:rsid w:val="000074FA"/>
    <w:rsid w:val="00013F4E"/>
    <w:rsid w:val="000233DF"/>
    <w:rsid w:val="000249BB"/>
    <w:rsid w:val="00025D8A"/>
    <w:rsid w:val="000271CF"/>
    <w:rsid w:val="00032B9C"/>
    <w:rsid w:val="00033034"/>
    <w:rsid w:val="00044828"/>
    <w:rsid w:val="00046426"/>
    <w:rsid w:val="000510DB"/>
    <w:rsid w:val="00054B07"/>
    <w:rsid w:val="0005653E"/>
    <w:rsid w:val="0005716F"/>
    <w:rsid w:val="0006640E"/>
    <w:rsid w:val="00073BD7"/>
    <w:rsid w:val="00077A97"/>
    <w:rsid w:val="00083B3D"/>
    <w:rsid w:val="000843F4"/>
    <w:rsid w:val="0008662D"/>
    <w:rsid w:val="00090873"/>
    <w:rsid w:val="00091044"/>
    <w:rsid w:val="000915A0"/>
    <w:rsid w:val="000A4B84"/>
    <w:rsid w:val="000A5CD4"/>
    <w:rsid w:val="000A7748"/>
    <w:rsid w:val="000B12C5"/>
    <w:rsid w:val="000B1612"/>
    <w:rsid w:val="000B1BBA"/>
    <w:rsid w:val="000B27FD"/>
    <w:rsid w:val="000B2F27"/>
    <w:rsid w:val="000B5175"/>
    <w:rsid w:val="000B5DE5"/>
    <w:rsid w:val="000B6423"/>
    <w:rsid w:val="000D27D5"/>
    <w:rsid w:val="000D2DD0"/>
    <w:rsid w:val="000D4606"/>
    <w:rsid w:val="000E539D"/>
    <w:rsid w:val="000F7DF7"/>
    <w:rsid w:val="00100211"/>
    <w:rsid w:val="00103A72"/>
    <w:rsid w:val="00110063"/>
    <w:rsid w:val="001131C3"/>
    <w:rsid w:val="00116758"/>
    <w:rsid w:val="00116F48"/>
    <w:rsid w:val="00117F04"/>
    <w:rsid w:val="001217D1"/>
    <w:rsid w:val="0012478F"/>
    <w:rsid w:val="00124A16"/>
    <w:rsid w:val="00124ABF"/>
    <w:rsid w:val="0012525D"/>
    <w:rsid w:val="00126A05"/>
    <w:rsid w:val="00126C98"/>
    <w:rsid w:val="00127CF8"/>
    <w:rsid w:val="001352E2"/>
    <w:rsid w:val="0013584A"/>
    <w:rsid w:val="00137832"/>
    <w:rsid w:val="00143232"/>
    <w:rsid w:val="001437F2"/>
    <w:rsid w:val="00153212"/>
    <w:rsid w:val="00157678"/>
    <w:rsid w:val="00165410"/>
    <w:rsid w:val="00167DA8"/>
    <w:rsid w:val="001753AD"/>
    <w:rsid w:val="00176682"/>
    <w:rsid w:val="0017737B"/>
    <w:rsid w:val="00183049"/>
    <w:rsid w:val="0018392C"/>
    <w:rsid w:val="00183944"/>
    <w:rsid w:val="00185471"/>
    <w:rsid w:val="00186F34"/>
    <w:rsid w:val="001951A0"/>
    <w:rsid w:val="0019527E"/>
    <w:rsid w:val="0019729C"/>
    <w:rsid w:val="001977E1"/>
    <w:rsid w:val="001A0B82"/>
    <w:rsid w:val="001A33C2"/>
    <w:rsid w:val="001A4CF1"/>
    <w:rsid w:val="001A7328"/>
    <w:rsid w:val="001B37ED"/>
    <w:rsid w:val="001B4470"/>
    <w:rsid w:val="001B605E"/>
    <w:rsid w:val="001B6D7F"/>
    <w:rsid w:val="001C2656"/>
    <w:rsid w:val="001C798C"/>
    <w:rsid w:val="001D0701"/>
    <w:rsid w:val="001D6EFD"/>
    <w:rsid w:val="001E12CB"/>
    <w:rsid w:val="001E3E46"/>
    <w:rsid w:val="001E53D5"/>
    <w:rsid w:val="001E7A2E"/>
    <w:rsid w:val="001E7FE9"/>
    <w:rsid w:val="001F2EA3"/>
    <w:rsid w:val="00204E12"/>
    <w:rsid w:val="00205667"/>
    <w:rsid w:val="002103C0"/>
    <w:rsid w:val="00210CAC"/>
    <w:rsid w:val="00214814"/>
    <w:rsid w:val="00214ECA"/>
    <w:rsid w:val="00225C98"/>
    <w:rsid w:val="00226D2D"/>
    <w:rsid w:val="00233639"/>
    <w:rsid w:val="00242625"/>
    <w:rsid w:val="00244E43"/>
    <w:rsid w:val="00245F8E"/>
    <w:rsid w:val="00246B4E"/>
    <w:rsid w:val="00247FD0"/>
    <w:rsid w:val="00250BE0"/>
    <w:rsid w:val="00253FCC"/>
    <w:rsid w:val="002545A5"/>
    <w:rsid w:val="00255A6B"/>
    <w:rsid w:val="0026119B"/>
    <w:rsid w:val="002757CF"/>
    <w:rsid w:val="00275C3C"/>
    <w:rsid w:val="0027684A"/>
    <w:rsid w:val="00277813"/>
    <w:rsid w:val="0028492C"/>
    <w:rsid w:val="00285884"/>
    <w:rsid w:val="00285C6D"/>
    <w:rsid w:val="00286679"/>
    <w:rsid w:val="002A014E"/>
    <w:rsid w:val="002A5F2B"/>
    <w:rsid w:val="002B1B40"/>
    <w:rsid w:val="002B2852"/>
    <w:rsid w:val="002B31A5"/>
    <w:rsid w:val="002B36C0"/>
    <w:rsid w:val="002C24D3"/>
    <w:rsid w:val="002C3649"/>
    <w:rsid w:val="002C60D6"/>
    <w:rsid w:val="002C60EB"/>
    <w:rsid w:val="002C617E"/>
    <w:rsid w:val="002D191A"/>
    <w:rsid w:val="002D1AAA"/>
    <w:rsid w:val="002E2FE6"/>
    <w:rsid w:val="002E6163"/>
    <w:rsid w:val="002F050C"/>
    <w:rsid w:val="002F26B0"/>
    <w:rsid w:val="002F5EA6"/>
    <w:rsid w:val="0030086F"/>
    <w:rsid w:val="003008E9"/>
    <w:rsid w:val="00300CB2"/>
    <w:rsid w:val="003023E2"/>
    <w:rsid w:val="0030458B"/>
    <w:rsid w:val="00304CAB"/>
    <w:rsid w:val="00310736"/>
    <w:rsid w:val="00311008"/>
    <w:rsid w:val="0031648D"/>
    <w:rsid w:val="003212B9"/>
    <w:rsid w:val="00330181"/>
    <w:rsid w:val="0033123D"/>
    <w:rsid w:val="00332ED4"/>
    <w:rsid w:val="00336667"/>
    <w:rsid w:val="003371C5"/>
    <w:rsid w:val="003402E1"/>
    <w:rsid w:val="00342080"/>
    <w:rsid w:val="00343DFC"/>
    <w:rsid w:val="003477E9"/>
    <w:rsid w:val="0035339E"/>
    <w:rsid w:val="00356C02"/>
    <w:rsid w:val="0035783A"/>
    <w:rsid w:val="00357BC8"/>
    <w:rsid w:val="003632D0"/>
    <w:rsid w:val="00363668"/>
    <w:rsid w:val="00373F6A"/>
    <w:rsid w:val="0037418F"/>
    <w:rsid w:val="003758DB"/>
    <w:rsid w:val="003760AF"/>
    <w:rsid w:val="0037725A"/>
    <w:rsid w:val="00384B0C"/>
    <w:rsid w:val="00384D2E"/>
    <w:rsid w:val="00391510"/>
    <w:rsid w:val="003958CA"/>
    <w:rsid w:val="003966EC"/>
    <w:rsid w:val="003A5077"/>
    <w:rsid w:val="003A57F4"/>
    <w:rsid w:val="003B30CF"/>
    <w:rsid w:val="003B7C69"/>
    <w:rsid w:val="003C0E25"/>
    <w:rsid w:val="003C52BA"/>
    <w:rsid w:val="003D0535"/>
    <w:rsid w:val="003D0742"/>
    <w:rsid w:val="003D0C01"/>
    <w:rsid w:val="003D2A7A"/>
    <w:rsid w:val="003D5C3A"/>
    <w:rsid w:val="003D79A2"/>
    <w:rsid w:val="003E3CB8"/>
    <w:rsid w:val="003E45E9"/>
    <w:rsid w:val="003F1131"/>
    <w:rsid w:val="003F44DA"/>
    <w:rsid w:val="003F7BC9"/>
    <w:rsid w:val="00401EFE"/>
    <w:rsid w:val="00402C09"/>
    <w:rsid w:val="00403300"/>
    <w:rsid w:val="00404D8A"/>
    <w:rsid w:val="004072F8"/>
    <w:rsid w:val="00412B77"/>
    <w:rsid w:val="0041335E"/>
    <w:rsid w:val="00416238"/>
    <w:rsid w:val="004318FE"/>
    <w:rsid w:val="0043265F"/>
    <w:rsid w:val="004358EB"/>
    <w:rsid w:val="00436C80"/>
    <w:rsid w:val="00437469"/>
    <w:rsid w:val="00437497"/>
    <w:rsid w:val="0044031E"/>
    <w:rsid w:val="00441B32"/>
    <w:rsid w:val="00443684"/>
    <w:rsid w:val="004437EA"/>
    <w:rsid w:val="00451252"/>
    <w:rsid w:val="00467E42"/>
    <w:rsid w:val="00472012"/>
    <w:rsid w:val="00483F27"/>
    <w:rsid w:val="00486716"/>
    <w:rsid w:val="00487B74"/>
    <w:rsid w:val="004914F3"/>
    <w:rsid w:val="00492CE8"/>
    <w:rsid w:val="00494415"/>
    <w:rsid w:val="004A59F3"/>
    <w:rsid w:val="004B2B01"/>
    <w:rsid w:val="004B726D"/>
    <w:rsid w:val="004C583C"/>
    <w:rsid w:val="004C5E11"/>
    <w:rsid w:val="004C7816"/>
    <w:rsid w:val="004D0A6D"/>
    <w:rsid w:val="004E5E56"/>
    <w:rsid w:val="004E7087"/>
    <w:rsid w:val="004F5925"/>
    <w:rsid w:val="004F6430"/>
    <w:rsid w:val="004F6C29"/>
    <w:rsid w:val="00501455"/>
    <w:rsid w:val="005023AC"/>
    <w:rsid w:val="005103A0"/>
    <w:rsid w:val="00512A0D"/>
    <w:rsid w:val="00513528"/>
    <w:rsid w:val="005149C3"/>
    <w:rsid w:val="0051588A"/>
    <w:rsid w:val="0052482E"/>
    <w:rsid w:val="005355D6"/>
    <w:rsid w:val="00536458"/>
    <w:rsid w:val="005432D8"/>
    <w:rsid w:val="00545206"/>
    <w:rsid w:val="00553A3D"/>
    <w:rsid w:val="00554DAC"/>
    <w:rsid w:val="00557A21"/>
    <w:rsid w:val="00561E7F"/>
    <w:rsid w:val="00562982"/>
    <w:rsid w:val="00576503"/>
    <w:rsid w:val="00577787"/>
    <w:rsid w:val="005822E0"/>
    <w:rsid w:val="00582ABE"/>
    <w:rsid w:val="005849FB"/>
    <w:rsid w:val="00586092"/>
    <w:rsid w:val="00591DBC"/>
    <w:rsid w:val="0059268C"/>
    <w:rsid w:val="005953F4"/>
    <w:rsid w:val="005A06E2"/>
    <w:rsid w:val="005A5DAA"/>
    <w:rsid w:val="005B1A9A"/>
    <w:rsid w:val="005C1CEE"/>
    <w:rsid w:val="005D0A7A"/>
    <w:rsid w:val="005D1C8A"/>
    <w:rsid w:val="005D2387"/>
    <w:rsid w:val="005E1FBD"/>
    <w:rsid w:val="005E2A3B"/>
    <w:rsid w:val="005E5C13"/>
    <w:rsid w:val="005E63A1"/>
    <w:rsid w:val="005F05CD"/>
    <w:rsid w:val="00602B0D"/>
    <w:rsid w:val="00604E9B"/>
    <w:rsid w:val="00606C64"/>
    <w:rsid w:val="0061069E"/>
    <w:rsid w:val="0061073A"/>
    <w:rsid w:val="00612916"/>
    <w:rsid w:val="00614BB6"/>
    <w:rsid w:val="006170BD"/>
    <w:rsid w:val="006216D1"/>
    <w:rsid w:val="00624AA2"/>
    <w:rsid w:val="00626E32"/>
    <w:rsid w:val="00634D26"/>
    <w:rsid w:val="006377E3"/>
    <w:rsid w:val="00641E81"/>
    <w:rsid w:val="00642AF5"/>
    <w:rsid w:val="00645B0F"/>
    <w:rsid w:val="006543B6"/>
    <w:rsid w:val="00656591"/>
    <w:rsid w:val="006716F4"/>
    <w:rsid w:val="00676466"/>
    <w:rsid w:val="00691ED2"/>
    <w:rsid w:val="006A21DD"/>
    <w:rsid w:val="006A560D"/>
    <w:rsid w:val="006B01F3"/>
    <w:rsid w:val="006B04A0"/>
    <w:rsid w:val="006B347A"/>
    <w:rsid w:val="006B726C"/>
    <w:rsid w:val="006C3049"/>
    <w:rsid w:val="006C5AA8"/>
    <w:rsid w:val="006C6AF6"/>
    <w:rsid w:val="006D296A"/>
    <w:rsid w:val="006D4C24"/>
    <w:rsid w:val="006E1C5A"/>
    <w:rsid w:val="006E3253"/>
    <w:rsid w:val="006E4102"/>
    <w:rsid w:val="006F172B"/>
    <w:rsid w:val="006F2E46"/>
    <w:rsid w:val="007003A9"/>
    <w:rsid w:val="007003F0"/>
    <w:rsid w:val="00700B96"/>
    <w:rsid w:val="00701B76"/>
    <w:rsid w:val="007046BC"/>
    <w:rsid w:val="00704C08"/>
    <w:rsid w:val="00704FF8"/>
    <w:rsid w:val="007059F9"/>
    <w:rsid w:val="00713DFB"/>
    <w:rsid w:val="00717D87"/>
    <w:rsid w:val="00722D7F"/>
    <w:rsid w:val="0072303D"/>
    <w:rsid w:val="007246F8"/>
    <w:rsid w:val="007303A0"/>
    <w:rsid w:val="00740B12"/>
    <w:rsid w:val="00741B68"/>
    <w:rsid w:val="007427B5"/>
    <w:rsid w:val="0074337B"/>
    <w:rsid w:val="00744639"/>
    <w:rsid w:val="00744F44"/>
    <w:rsid w:val="00751D81"/>
    <w:rsid w:val="00761118"/>
    <w:rsid w:val="00762A8F"/>
    <w:rsid w:val="007718F4"/>
    <w:rsid w:val="00771E01"/>
    <w:rsid w:val="007750BD"/>
    <w:rsid w:val="0077668A"/>
    <w:rsid w:val="00780F0B"/>
    <w:rsid w:val="00784126"/>
    <w:rsid w:val="007863B9"/>
    <w:rsid w:val="00786C81"/>
    <w:rsid w:val="00790540"/>
    <w:rsid w:val="00796F9A"/>
    <w:rsid w:val="007974CC"/>
    <w:rsid w:val="007A2DEE"/>
    <w:rsid w:val="007B251B"/>
    <w:rsid w:val="007C19D8"/>
    <w:rsid w:val="007C6551"/>
    <w:rsid w:val="007D407C"/>
    <w:rsid w:val="007D5648"/>
    <w:rsid w:val="007D6317"/>
    <w:rsid w:val="007D7D36"/>
    <w:rsid w:val="007E4677"/>
    <w:rsid w:val="007E629C"/>
    <w:rsid w:val="007F01E8"/>
    <w:rsid w:val="007F4C9A"/>
    <w:rsid w:val="007F6EF9"/>
    <w:rsid w:val="00800A45"/>
    <w:rsid w:val="008020BC"/>
    <w:rsid w:val="0080254C"/>
    <w:rsid w:val="00804301"/>
    <w:rsid w:val="008075A8"/>
    <w:rsid w:val="0081142B"/>
    <w:rsid w:val="00815A6E"/>
    <w:rsid w:val="00815E3E"/>
    <w:rsid w:val="00816908"/>
    <w:rsid w:val="0083012E"/>
    <w:rsid w:val="00830140"/>
    <w:rsid w:val="008526A2"/>
    <w:rsid w:val="008564F0"/>
    <w:rsid w:val="00860459"/>
    <w:rsid w:val="00860565"/>
    <w:rsid w:val="00863479"/>
    <w:rsid w:val="00872A07"/>
    <w:rsid w:val="00872EAB"/>
    <w:rsid w:val="00875D78"/>
    <w:rsid w:val="0087728C"/>
    <w:rsid w:val="00877F57"/>
    <w:rsid w:val="00882845"/>
    <w:rsid w:val="0088591A"/>
    <w:rsid w:val="00886D76"/>
    <w:rsid w:val="00891EA7"/>
    <w:rsid w:val="0089307E"/>
    <w:rsid w:val="00894C7F"/>
    <w:rsid w:val="008953D9"/>
    <w:rsid w:val="00895D28"/>
    <w:rsid w:val="00897414"/>
    <w:rsid w:val="008A0113"/>
    <w:rsid w:val="008A0E16"/>
    <w:rsid w:val="008A3E4D"/>
    <w:rsid w:val="008B2CCA"/>
    <w:rsid w:val="008B3349"/>
    <w:rsid w:val="008C1525"/>
    <w:rsid w:val="008C342D"/>
    <w:rsid w:val="008C3E49"/>
    <w:rsid w:val="008C5FF5"/>
    <w:rsid w:val="008D1C68"/>
    <w:rsid w:val="008D1EB1"/>
    <w:rsid w:val="008D30EF"/>
    <w:rsid w:val="008D7177"/>
    <w:rsid w:val="008E2E48"/>
    <w:rsid w:val="008E3A75"/>
    <w:rsid w:val="008E3C78"/>
    <w:rsid w:val="008E405A"/>
    <w:rsid w:val="008E6DF7"/>
    <w:rsid w:val="008F52B2"/>
    <w:rsid w:val="008F5F43"/>
    <w:rsid w:val="008F715A"/>
    <w:rsid w:val="0090001E"/>
    <w:rsid w:val="00912827"/>
    <w:rsid w:val="0091414C"/>
    <w:rsid w:val="00915278"/>
    <w:rsid w:val="00917104"/>
    <w:rsid w:val="00917A0D"/>
    <w:rsid w:val="009245DF"/>
    <w:rsid w:val="00926053"/>
    <w:rsid w:val="00933096"/>
    <w:rsid w:val="0093353F"/>
    <w:rsid w:val="00937676"/>
    <w:rsid w:val="00941A39"/>
    <w:rsid w:val="00941BCE"/>
    <w:rsid w:val="009455C9"/>
    <w:rsid w:val="00945CA5"/>
    <w:rsid w:val="00946F74"/>
    <w:rsid w:val="00951DA3"/>
    <w:rsid w:val="00954077"/>
    <w:rsid w:val="009546CA"/>
    <w:rsid w:val="009547AA"/>
    <w:rsid w:val="00957E08"/>
    <w:rsid w:val="00960C24"/>
    <w:rsid w:val="00965C0E"/>
    <w:rsid w:val="00966B14"/>
    <w:rsid w:val="00970E68"/>
    <w:rsid w:val="00976271"/>
    <w:rsid w:val="00981407"/>
    <w:rsid w:val="00982780"/>
    <w:rsid w:val="0098364A"/>
    <w:rsid w:val="00990EC3"/>
    <w:rsid w:val="009977A7"/>
    <w:rsid w:val="009A10DC"/>
    <w:rsid w:val="009A226E"/>
    <w:rsid w:val="009A47B3"/>
    <w:rsid w:val="009A7C19"/>
    <w:rsid w:val="009B0436"/>
    <w:rsid w:val="009B1C9C"/>
    <w:rsid w:val="009B3EC6"/>
    <w:rsid w:val="009B402C"/>
    <w:rsid w:val="009B4D13"/>
    <w:rsid w:val="009B4D67"/>
    <w:rsid w:val="009C106C"/>
    <w:rsid w:val="009C544A"/>
    <w:rsid w:val="009C66C3"/>
    <w:rsid w:val="009C78EA"/>
    <w:rsid w:val="009E16E8"/>
    <w:rsid w:val="009E5B33"/>
    <w:rsid w:val="009E5E65"/>
    <w:rsid w:val="009F4276"/>
    <w:rsid w:val="009F497A"/>
    <w:rsid w:val="009F5CC2"/>
    <w:rsid w:val="00A03374"/>
    <w:rsid w:val="00A0518F"/>
    <w:rsid w:val="00A05C8B"/>
    <w:rsid w:val="00A07066"/>
    <w:rsid w:val="00A10F75"/>
    <w:rsid w:val="00A11239"/>
    <w:rsid w:val="00A1788D"/>
    <w:rsid w:val="00A21DC3"/>
    <w:rsid w:val="00A22537"/>
    <w:rsid w:val="00A22B97"/>
    <w:rsid w:val="00A23F5D"/>
    <w:rsid w:val="00A26032"/>
    <w:rsid w:val="00A27492"/>
    <w:rsid w:val="00A32FDA"/>
    <w:rsid w:val="00A35FEE"/>
    <w:rsid w:val="00A43F3F"/>
    <w:rsid w:val="00A5573A"/>
    <w:rsid w:val="00A60C89"/>
    <w:rsid w:val="00A61F6A"/>
    <w:rsid w:val="00A62567"/>
    <w:rsid w:val="00A63366"/>
    <w:rsid w:val="00A63BFC"/>
    <w:rsid w:val="00A718FE"/>
    <w:rsid w:val="00A73067"/>
    <w:rsid w:val="00A732BB"/>
    <w:rsid w:val="00A73376"/>
    <w:rsid w:val="00A745D5"/>
    <w:rsid w:val="00A800FC"/>
    <w:rsid w:val="00A83CE0"/>
    <w:rsid w:val="00A83EF3"/>
    <w:rsid w:val="00A8630F"/>
    <w:rsid w:val="00A92159"/>
    <w:rsid w:val="00A92695"/>
    <w:rsid w:val="00A92A91"/>
    <w:rsid w:val="00A94683"/>
    <w:rsid w:val="00A9556C"/>
    <w:rsid w:val="00A97BAE"/>
    <w:rsid w:val="00AA0B73"/>
    <w:rsid w:val="00AA5503"/>
    <w:rsid w:val="00AB21DD"/>
    <w:rsid w:val="00AB2B3D"/>
    <w:rsid w:val="00AB7175"/>
    <w:rsid w:val="00AC351C"/>
    <w:rsid w:val="00AC4C04"/>
    <w:rsid w:val="00AC782D"/>
    <w:rsid w:val="00AE097F"/>
    <w:rsid w:val="00AE1DCC"/>
    <w:rsid w:val="00AE57A1"/>
    <w:rsid w:val="00AF2C76"/>
    <w:rsid w:val="00AF330F"/>
    <w:rsid w:val="00AF3829"/>
    <w:rsid w:val="00B00CCE"/>
    <w:rsid w:val="00B01012"/>
    <w:rsid w:val="00B03962"/>
    <w:rsid w:val="00B104EE"/>
    <w:rsid w:val="00B1515E"/>
    <w:rsid w:val="00B16116"/>
    <w:rsid w:val="00B17F43"/>
    <w:rsid w:val="00B22212"/>
    <w:rsid w:val="00B24E1F"/>
    <w:rsid w:val="00B3028D"/>
    <w:rsid w:val="00B303C9"/>
    <w:rsid w:val="00B319D9"/>
    <w:rsid w:val="00B3282F"/>
    <w:rsid w:val="00B32FEC"/>
    <w:rsid w:val="00B33177"/>
    <w:rsid w:val="00B36A7F"/>
    <w:rsid w:val="00B40657"/>
    <w:rsid w:val="00B40C24"/>
    <w:rsid w:val="00B41719"/>
    <w:rsid w:val="00B42DD0"/>
    <w:rsid w:val="00B51683"/>
    <w:rsid w:val="00B516CD"/>
    <w:rsid w:val="00B528DC"/>
    <w:rsid w:val="00B542D7"/>
    <w:rsid w:val="00B64087"/>
    <w:rsid w:val="00B6774A"/>
    <w:rsid w:val="00B67D25"/>
    <w:rsid w:val="00B75F3C"/>
    <w:rsid w:val="00B830C2"/>
    <w:rsid w:val="00B84B3A"/>
    <w:rsid w:val="00B87814"/>
    <w:rsid w:val="00B87F3E"/>
    <w:rsid w:val="00B90DEB"/>
    <w:rsid w:val="00B91180"/>
    <w:rsid w:val="00B927AA"/>
    <w:rsid w:val="00B93B52"/>
    <w:rsid w:val="00B949E2"/>
    <w:rsid w:val="00BA22ED"/>
    <w:rsid w:val="00BA3C2C"/>
    <w:rsid w:val="00BA61CB"/>
    <w:rsid w:val="00BA65AD"/>
    <w:rsid w:val="00BB163F"/>
    <w:rsid w:val="00BB3DCA"/>
    <w:rsid w:val="00BB65B5"/>
    <w:rsid w:val="00BC061E"/>
    <w:rsid w:val="00BC0E0C"/>
    <w:rsid w:val="00BC456B"/>
    <w:rsid w:val="00BD00FF"/>
    <w:rsid w:val="00BD086A"/>
    <w:rsid w:val="00BD0D70"/>
    <w:rsid w:val="00BD593C"/>
    <w:rsid w:val="00BD6C77"/>
    <w:rsid w:val="00BD761C"/>
    <w:rsid w:val="00BD7DD0"/>
    <w:rsid w:val="00BF47B0"/>
    <w:rsid w:val="00C00DD1"/>
    <w:rsid w:val="00C059AC"/>
    <w:rsid w:val="00C14164"/>
    <w:rsid w:val="00C250D5"/>
    <w:rsid w:val="00C25BF8"/>
    <w:rsid w:val="00C3167D"/>
    <w:rsid w:val="00C3257A"/>
    <w:rsid w:val="00C33CB6"/>
    <w:rsid w:val="00C34F81"/>
    <w:rsid w:val="00C36F7A"/>
    <w:rsid w:val="00C45F09"/>
    <w:rsid w:val="00C47332"/>
    <w:rsid w:val="00C476D1"/>
    <w:rsid w:val="00C50926"/>
    <w:rsid w:val="00C63C86"/>
    <w:rsid w:val="00C66C6F"/>
    <w:rsid w:val="00C70ECE"/>
    <w:rsid w:val="00C71C8F"/>
    <w:rsid w:val="00C74619"/>
    <w:rsid w:val="00C76E46"/>
    <w:rsid w:val="00C7708E"/>
    <w:rsid w:val="00C8079C"/>
    <w:rsid w:val="00C829C2"/>
    <w:rsid w:val="00C86FA5"/>
    <w:rsid w:val="00CA2058"/>
    <w:rsid w:val="00CA5D7E"/>
    <w:rsid w:val="00CA6576"/>
    <w:rsid w:val="00CB1E94"/>
    <w:rsid w:val="00CB40DD"/>
    <w:rsid w:val="00CB5198"/>
    <w:rsid w:val="00CB5818"/>
    <w:rsid w:val="00CB603B"/>
    <w:rsid w:val="00CC3FEF"/>
    <w:rsid w:val="00CC535A"/>
    <w:rsid w:val="00CC76E8"/>
    <w:rsid w:val="00CD2E3D"/>
    <w:rsid w:val="00CD3D4A"/>
    <w:rsid w:val="00CD7479"/>
    <w:rsid w:val="00CE08FA"/>
    <w:rsid w:val="00CE23CC"/>
    <w:rsid w:val="00CE727B"/>
    <w:rsid w:val="00CF1B67"/>
    <w:rsid w:val="00CF1D4A"/>
    <w:rsid w:val="00CF37DA"/>
    <w:rsid w:val="00CF4B9B"/>
    <w:rsid w:val="00CF500A"/>
    <w:rsid w:val="00D0399D"/>
    <w:rsid w:val="00D03B23"/>
    <w:rsid w:val="00D05429"/>
    <w:rsid w:val="00D074DC"/>
    <w:rsid w:val="00D103F3"/>
    <w:rsid w:val="00D1048C"/>
    <w:rsid w:val="00D174B0"/>
    <w:rsid w:val="00D237E6"/>
    <w:rsid w:val="00D32179"/>
    <w:rsid w:val="00D32225"/>
    <w:rsid w:val="00D32AE3"/>
    <w:rsid w:val="00D35357"/>
    <w:rsid w:val="00D37030"/>
    <w:rsid w:val="00D37B50"/>
    <w:rsid w:val="00D37F88"/>
    <w:rsid w:val="00D40317"/>
    <w:rsid w:val="00D46E68"/>
    <w:rsid w:val="00D5096F"/>
    <w:rsid w:val="00D51F28"/>
    <w:rsid w:val="00D53152"/>
    <w:rsid w:val="00D6122D"/>
    <w:rsid w:val="00D63E41"/>
    <w:rsid w:val="00D6471E"/>
    <w:rsid w:val="00D65A26"/>
    <w:rsid w:val="00D72EDC"/>
    <w:rsid w:val="00D75E39"/>
    <w:rsid w:val="00D80D57"/>
    <w:rsid w:val="00D815DC"/>
    <w:rsid w:val="00D830FB"/>
    <w:rsid w:val="00D84AC6"/>
    <w:rsid w:val="00D865F2"/>
    <w:rsid w:val="00D9284D"/>
    <w:rsid w:val="00D93160"/>
    <w:rsid w:val="00DA6884"/>
    <w:rsid w:val="00DA743B"/>
    <w:rsid w:val="00DB3B6A"/>
    <w:rsid w:val="00DB602C"/>
    <w:rsid w:val="00DC61CA"/>
    <w:rsid w:val="00DC683E"/>
    <w:rsid w:val="00DC7F56"/>
    <w:rsid w:val="00DD2659"/>
    <w:rsid w:val="00DD58AC"/>
    <w:rsid w:val="00DE394D"/>
    <w:rsid w:val="00DE395A"/>
    <w:rsid w:val="00DE697B"/>
    <w:rsid w:val="00DE6B97"/>
    <w:rsid w:val="00DE7B86"/>
    <w:rsid w:val="00DE7E45"/>
    <w:rsid w:val="00DF1913"/>
    <w:rsid w:val="00DF38D8"/>
    <w:rsid w:val="00DF7281"/>
    <w:rsid w:val="00DF7EB6"/>
    <w:rsid w:val="00E02EBA"/>
    <w:rsid w:val="00E0306F"/>
    <w:rsid w:val="00E03AA9"/>
    <w:rsid w:val="00E10C7E"/>
    <w:rsid w:val="00E13B88"/>
    <w:rsid w:val="00E1540F"/>
    <w:rsid w:val="00E16C8D"/>
    <w:rsid w:val="00E17778"/>
    <w:rsid w:val="00E2080F"/>
    <w:rsid w:val="00E214DA"/>
    <w:rsid w:val="00E249C0"/>
    <w:rsid w:val="00E262B8"/>
    <w:rsid w:val="00E30EB5"/>
    <w:rsid w:val="00E30FAC"/>
    <w:rsid w:val="00E364A1"/>
    <w:rsid w:val="00E43408"/>
    <w:rsid w:val="00E45F7C"/>
    <w:rsid w:val="00E56629"/>
    <w:rsid w:val="00E63527"/>
    <w:rsid w:val="00E65685"/>
    <w:rsid w:val="00E67A9C"/>
    <w:rsid w:val="00E718CE"/>
    <w:rsid w:val="00E74777"/>
    <w:rsid w:val="00E81ACB"/>
    <w:rsid w:val="00E81EB1"/>
    <w:rsid w:val="00E85AF7"/>
    <w:rsid w:val="00E85F0F"/>
    <w:rsid w:val="00E904B8"/>
    <w:rsid w:val="00E934E7"/>
    <w:rsid w:val="00E94BA8"/>
    <w:rsid w:val="00E96983"/>
    <w:rsid w:val="00E977DF"/>
    <w:rsid w:val="00EA2D0A"/>
    <w:rsid w:val="00EA5909"/>
    <w:rsid w:val="00EA70F0"/>
    <w:rsid w:val="00EB341C"/>
    <w:rsid w:val="00EC2417"/>
    <w:rsid w:val="00EC2D4E"/>
    <w:rsid w:val="00EC47E7"/>
    <w:rsid w:val="00EC5AA5"/>
    <w:rsid w:val="00EC72B6"/>
    <w:rsid w:val="00ED36EE"/>
    <w:rsid w:val="00ED5AA6"/>
    <w:rsid w:val="00ED6D44"/>
    <w:rsid w:val="00ED7915"/>
    <w:rsid w:val="00EE11E0"/>
    <w:rsid w:val="00EE51ED"/>
    <w:rsid w:val="00EF431F"/>
    <w:rsid w:val="00F01FD5"/>
    <w:rsid w:val="00F02E3E"/>
    <w:rsid w:val="00F04D14"/>
    <w:rsid w:val="00F05F26"/>
    <w:rsid w:val="00F07A41"/>
    <w:rsid w:val="00F15DC8"/>
    <w:rsid w:val="00F164E7"/>
    <w:rsid w:val="00F2587E"/>
    <w:rsid w:val="00F27963"/>
    <w:rsid w:val="00F37623"/>
    <w:rsid w:val="00F423AD"/>
    <w:rsid w:val="00F423B2"/>
    <w:rsid w:val="00F52F7D"/>
    <w:rsid w:val="00F53AB7"/>
    <w:rsid w:val="00F54306"/>
    <w:rsid w:val="00F5765D"/>
    <w:rsid w:val="00F57E12"/>
    <w:rsid w:val="00F710AC"/>
    <w:rsid w:val="00F71178"/>
    <w:rsid w:val="00F742F8"/>
    <w:rsid w:val="00F773F3"/>
    <w:rsid w:val="00F80036"/>
    <w:rsid w:val="00F83C95"/>
    <w:rsid w:val="00F87684"/>
    <w:rsid w:val="00F9350C"/>
    <w:rsid w:val="00F9549D"/>
    <w:rsid w:val="00FA1CCF"/>
    <w:rsid w:val="00FA2C94"/>
    <w:rsid w:val="00FA40D2"/>
    <w:rsid w:val="00FB38FF"/>
    <w:rsid w:val="00FB3A5E"/>
    <w:rsid w:val="00FB3D16"/>
    <w:rsid w:val="00FB4268"/>
    <w:rsid w:val="00FB4C3A"/>
    <w:rsid w:val="00FB7109"/>
    <w:rsid w:val="00FB7F3D"/>
    <w:rsid w:val="00FC3B98"/>
    <w:rsid w:val="00FC4ACE"/>
    <w:rsid w:val="00FC5644"/>
    <w:rsid w:val="00FD3228"/>
    <w:rsid w:val="00FD4802"/>
    <w:rsid w:val="00FD76AF"/>
    <w:rsid w:val="00FE0AB5"/>
    <w:rsid w:val="00FE0C01"/>
    <w:rsid w:val="00FE67E7"/>
    <w:rsid w:val="00FF242E"/>
    <w:rsid w:val="00FF605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48B7B"/>
  <w15:docId w15:val="{6DCF3DD0-9058-4232-B812-19E029B2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B31A5"/>
  </w:style>
  <w:style w:type="paragraph" w:styleId="Heading1">
    <w:name w:val="heading 1"/>
    <w:aliases w:val="rp_Heading 1,H1,app heading 1,h1,Header 1,II+,I"/>
    <w:basedOn w:val="Normal"/>
    <w:link w:val="Heading1Char"/>
    <w:qFormat/>
    <w:pPr>
      <w:ind w:left="965" w:hanging="853"/>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2778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6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rp_Heading 4,Heading,4,Map Title"/>
    <w:basedOn w:val="Normal"/>
    <w:next w:val="Normal"/>
    <w:link w:val="Heading4Char"/>
    <w:unhideWhenUsed/>
    <w:qFormat/>
    <w:rsid w:val="002E61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rp_Heading 5,DO NOT USE_h5,H5,Block Label"/>
    <w:basedOn w:val="Heading1"/>
    <w:next w:val="Normal"/>
    <w:link w:val="Heading5Char"/>
    <w:qFormat/>
    <w:rsid w:val="005A06E2"/>
    <w:pPr>
      <w:keepNext/>
      <w:widowControl/>
      <w:spacing w:before="240" w:after="120"/>
      <w:ind w:left="1440" w:hanging="1080"/>
      <w:outlineLvl w:val="4"/>
    </w:pPr>
    <w:rPr>
      <w:rFonts w:eastAsia="Arial Bold" w:cs="Arial"/>
      <w:bCs w:val="0"/>
      <w:kern w:val="28"/>
      <w:szCs w:val="20"/>
      <w:lang w:val="en-ZA" w:eastAsia="en-AU"/>
    </w:rPr>
  </w:style>
  <w:style w:type="paragraph" w:styleId="Heading6">
    <w:name w:val="heading 6"/>
    <w:aliases w:val="rp_Heading 6,DO NOT USE_h6,Appendix 2"/>
    <w:basedOn w:val="Heading1"/>
    <w:next w:val="Normal"/>
    <w:link w:val="Heading6Char"/>
    <w:qFormat/>
    <w:rsid w:val="005A06E2"/>
    <w:pPr>
      <w:keepNext/>
      <w:widowControl/>
      <w:spacing w:before="240" w:after="120"/>
      <w:ind w:left="1800" w:hanging="1440"/>
      <w:outlineLvl w:val="5"/>
    </w:pPr>
    <w:rPr>
      <w:rFonts w:eastAsia="Arial Bold" w:cs="Arial"/>
      <w:bCs w:val="0"/>
      <w:kern w:val="28"/>
      <w:szCs w:val="20"/>
      <w:lang w:val="en-ZA" w:eastAsia="en-AU"/>
    </w:rPr>
  </w:style>
  <w:style w:type="paragraph" w:styleId="Heading7">
    <w:name w:val="heading 7"/>
    <w:aliases w:val="rp_Heading 7,Appendix Level 1"/>
    <w:basedOn w:val="Heading1"/>
    <w:next w:val="Normal"/>
    <w:link w:val="Heading7Char"/>
    <w:qFormat/>
    <w:rsid w:val="005A06E2"/>
    <w:pPr>
      <w:keepNext/>
      <w:widowControl/>
      <w:spacing w:before="240" w:after="120"/>
      <w:ind w:left="1800" w:hanging="1440"/>
      <w:outlineLvl w:val="6"/>
    </w:pPr>
    <w:rPr>
      <w:rFonts w:eastAsia="Arial Bold" w:cs="Arial"/>
      <w:bCs w:val="0"/>
      <w:kern w:val="28"/>
      <w:szCs w:val="20"/>
      <w:lang w:val="en-ZA" w:eastAsia="en-AU"/>
    </w:rPr>
  </w:style>
  <w:style w:type="paragraph" w:styleId="Heading8">
    <w:name w:val="heading 8"/>
    <w:aliases w:val="rp_Heading 8"/>
    <w:basedOn w:val="Heading1"/>
    <w:next w:val="Normal"/>
    <w:link w:val="Heading8Char"/>
    <w:qFormat/>
    <w:rsid w:val="005A06E2"/>
    <w:pPr>
      <w:keepNext/>
      <w:widowControl/>
      <w:spacing w:before="240" w:after="120"/>
      <w:ind w:left="2160" w:hanging="1800"/>
      <w:outlineLvl w:val="7"/>
    </w:pPr>
    <w:rPr>
      <w:rFonts w:eastAsia="Arial Bold" w:cs="Arial"/>
      <w:bCs w:val="0"/>
      <w:kern w:val="28"/>
      <w:szCs w:val="20"/>
      <w:lang w:val="en-ZA" w:eastAsia="en-AU"/>
    </w:rPr>
  </w:style>
  <w:style w:type="paragraph" w:styleId="Heading9">
    <w:name w:val="heading 9"/>
    <w:aliases w:val="rp_Heading 9,Doc Ref"/>
    <w:basedOn w:val="Heading1"/>
    <w:next w:val="Normal"/>
    <w:link w:val="Heading9Char"/>
    <w:qFormat/>
    <w:rsid w:val="005A06E2"/>
    <w:pPr>
      <w:keepNext/>
      <w:widowControl/>
      <w:spacing w:before="240" w:after="120"/>
      <w:ind w:left="2520" w:hanging="2160"/>
      <w:outlineLvl w:val="8"/>
    </w:pPr>
    <w:rPr>
      <w:rFonts w:eastAsia="Arial Bold" w:cs="Arial"/>
      <w:bCs w:val="0"/>
      <w:kern w:val="28"/>
      <w:szCs w:val="20"/>
      <w:lang w:val="en-ZA"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246"/>
      <w:ind w:left="1005" w:hanging="853"/>
    </w:pPr>
    <w:rPr>
      <w:rFonts w:ascii="Arial" w:eastAsia="Arial" w:hAnsi="Arial"/>
      <w:b/>
      <w:bCs/>
    </w:rPr>
  </w:style>
  <w:style w:type="paragraph" w:styleId="BodyText">
    <w:name w:val="Body Text"/>
    <w:basedOn w:val="Normal"/>
    <w:link w:val="BodyTextChar"/>
    <w:uiPriority w:val="1"/>
    <w:qFormat/>
    <w:pPr>
      <w:ind w:left="1246" w:hanging="1134"/>
    </w:pPr>
    <w:rPr>
      <w:rFonts w:ascii="Arial" w:eastAsia="Arial" w:hAnsi="Arial"/>
    </w:rPr>
  </w:style>
  <w:style w:type="paragraph" w:styleId="ListParagraph">
    <w:name w:val="List Paragraph"/>
    <w:aliases w:val="Table of contents numbered,(bullets,main),Grey Bullet List,Grey Bullet Style,Table bullet,Bulletted,AB List 1,lp1,Chapter Numbering,Citation List,본문(내용),List Paragraph (numbered (a))"/>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648D"/>
    <w:rPr>
      <w:rFonts w:ascii="Tahoma" w:hAnsi="Tahoma" w:cs="Tahoma"/>
      <w:sz w:val="16"/>
      <w:szCs w:val="16"/>
    </w:rPr>
  </w:style>
  <w:style w:type="character" w:customStyle="1" w:styleId="BalloonTextChar">
    <w:name w:val="Balloon Text Char"/>
    <w:basedOn w:val="DefaultParagraphFont"/>
    <w:link w:val="BalloonText"/>
    <w:uiPriority w:val="99"/>
    <w:semiHidden/>
    <w:rsid w:val="0031648D"/>
    <w:rPr>
      <w:rFonts w:ascii="Tahoma" w:hAnsi="Tahoma" w:cs="Tahoma"/>
      <w:sz w:val="16"/>
      <w:szCs w:val="16"/>
    </w:rPr>
  </w:style>
  <w:style w:type="paragraph" w:styleId="Header">
    <w:name w:val="header"/>
    <w:aliases w:val="hd"/>
    <w:basedOn w:val="Normal"/>
    <w:link w:val="HeaderChar"/>
    <w:uiPriority w:val="99"/>
    <w:unhideWhenUsed/>
    <w:rsid w:val="00FB7109"/>
    <w:pPr>
      <w:tabs>
        <w:tab w:val="center" w:pos="4513"/>
        <w:tab w:val="right" w:pos="9026"/>
      </w:tabs>
    </w:pPr>
  </w:style>
  <w:style w:type="character" w:customStyle="1" w:styleId="HeaderChar">
    <w:name w:val="Header Char"/>
    <w:aliases w:val="hd Char"/>
    <w:basedOn w:val="DefaultParagraphFont"/>
    <w:link w:val="Header"/>
    <w:uiPriority w:val="99"/>
    <w:rsid w:val="00FB7109"/>
  </w:style>
  <w:style w:type="paragraph" w:styleId="Footer">
    <w:name w:val="footer"/>
    <w:basedOn w:val="Normal"/>
    <w:link w:val="FooterChar"/>
    <w:uiPriority w:val="99"/>
    <w:unhideWhenUsed/>
    <w:rsid w:val="00FB7109"/>
    <w:pPr>
      <w:tabs>
        <w:tab w:val="center" w:pos="4513"/>
        <w:tab w:val="right" w:pos="9026"/>
      </w:tabs>
    </w:pPr>
  </w:style>
  <w:style w:type="character" w:customStyle="1" w:styleId="FooterChar">
    <w:name w:val="Footer Char"/>
    <w:basedOn w:val="DefaultParagraphFont"/>
    <w:link w:val="Footer"/>
    <w:uiPriority w:val="99"/>
    <w:rsid w:val="00FB7109"/>
  </w:style>
  <w:style w:type="character" w:customStyle="1" w:styleId="BodyTextChar">
    <w:name w:val="Body Text Char"/>
    <w:basedOn w:val="DefaultParagraphFont"/>
    <w:link w:val="BodyText"/>
    <w:uiPriority w:val="1"/>
    <w:rsid w:val="00C70ECE"/>
    <w:rPr>
      <w:rFonts w:ascii="Arial" w:eastAsia="Arial" w:hAnsi="Arial"/>
    </w:rPr>
  </w:style>
  <w:style w:type="character" w:styleId="Hyperlink">
    <w:name w:val="Hyperlink"/>
    <w:basedOn w:val="DefaultParagraphFont"/>
    <w:uiPriority w:val="99"/>
    <w:unhideWhenUsed/>
    <w:rsid w:val="00277813"/>
    <w:rPr>
      <w:color w:val="0000FF" w:themeColor="hyperlink"/>
      <w:u w:val="single"/>
    </w:rPr>
  </w:style>
  <w:style w:type="character" w:customStyle="1" w:styleId="UnresolvedMention1">
    <w:name w:val="Unresolved Mention1"/>
    <w:basedOn w:val="DefaultParagraphFont"/>
    <w:uiPriority w:val="99"/>
    <w:semiHidden/>
    <w:unhideWhenUsed/>
    <w:rsid w:val="00277813"/>
    <w:rPr>
      <w:color w:val="605E5C"/>
      <w:shd w:val="clear" w:color="auto" w:fill="E1DFDD"/>
    </w:rPr>
  </w:style>
  <w:style w:type="character" w:customStyle="1" w:styleId="Heading2Char">
    <w:name w:val="Heading 2 Char"/>
    <w:basedOn w:val="DefaultParagraphFont"/>
    <w:link w:val="Heading2"/>
    <w:uiPriority w:val="9"/>
    <w:semiHidden/>
    <w:rsid w:val="0027781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unhideWhenUsed/>
    <w:rsid w:val="008A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rp_Heading 4 Char,Heading Char,4 Char,Map Title Char"/>
    <w:basedOn w:val="DefaultParagraphFont"/>
    <w:link w:val="Heading4"/>
    <w:uiPriority w:val="9"/>
    <w:semiHidden/>
    <w:rsid w:val="002E6163"/>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2E6163"/>
    <w:pPr>
      <w:tabs>
        <w:tab w:val="left" w:pos="720"/>
        <w:tab w:val="left" w:pos="1944"/>
        <w:tab w:val="left" w:pos="3384"/>
        <w:tab w:val="left" w:pos="3744"/>
        <w:tab w:val="left" w:pos="4644"/>
        <w:tab w:val="left" w:pos="5760"/>
        <w:tab w:val="left" w:pos="7920"/>
      </w:tabs>
      <w:spacing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2E6163"/>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uiPriority w:val="99"/>
    <w:semiHidden/>
    <w:unhideWhenUsed/>
    <w:rsid w:val="00A0518F"/>
    <w:pPr>
      <w:spacing w:after="120" w:line="480" w:lineRule="auto"/>
      <w:ind w:left="283"/>
    </w:pPr>
  </w:style>
  <w:style w:type="character" w:customStyle="1" w:styleId="BodyTextIndent2Char">
    <w:name w:val="Body Text Indent 2 Char"/>
    <w:basedOn w:val="DefaultParagraphFont"/>
    <w:link w:val="BodyTextIndent2"/>
    <w:uiPriority w:val="99"/>
    <w:semiHidden/>
    <w:rsid w:val="00A0518F"/>
  </w:style>
  <w:style w:type="character" w:styleId="FootnoteReference">
    <w:name w:val="footnote reference"/>
    <w:semiHidden/>
    <w:rsid w:val="00A0518F"/>
  </w:style>
  <w:style w:type="paragraph" w:styleId="FootnoteText">
    <w:name w:val="footnote text"/>
    <w:basedOn w:val="Normal"/>
    <w:link w:val="FootnoteTextChar"/>
    <w:rsid w:val="00A0518F"/>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A0518F"/>
    <w:rPr>
      <w:rFonts w:ascii="Courier New" w:eastAsia="Times New Roman" w:hAnsi="Courier New" w:cs="Times New Roman"/>
      <w:snapToGrid w:val="0"/>
      <w:sz w:val="20"/>
      <w:szCs w:val="20"/>
    </w:rPr>
  </w:style>
  <w:style w:type="character" w:styleId="PageNumber">
    <w:name w:val="page number"/>
    <w:basedOn w:val="DefaultParagraphFont"/>
    <w:rsid w:val="006A21DD"/>
  </w:style>
  <w:style w:type="character" w:customStyle="1" w:styleId="Heading3Char">
    <w:name w:val="Heading 3 Char"/>
    <w:basedOn w:val="DefaultParagraphFont"/>
    <w:link w:val="Heading3"/>
    <w:uiPriority w:val="9"/>
    <w:semiHidden/>
    <w:rsid w:val="00286679"/>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0B12C5"/>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0B12C5"/>
    <w:pPr>
      <w:spacing w:after="100"/>
      <w:ind w:left="220"/>
    </w:pPr>
  </w:style>
  <w:style w:type="paragraph" w:styleId="TOC3">
    <w:name w:val="toc 3"/>
    <w:basedOn w:val="Normal"/>
    <w:next w:val="Normal"/>
    <w:autoRedefine/>
    <w:uiPriority w:val="39"/>
    <w:unhideWhenUsed/>
    <w:rsid w:val="000B12C5"/>
    <w:pPr>
      <w:spacing w:after="100"/>
      <w:ind w:left="440"/>
    </w:pPr>
  </w:style>
  <w:style w:type="paragraph" w:styleId="TOC4">
    <w:name w:val="toc 4"/>
    <w:basedOn w:val="Normal"/>
    <w:next w:val="Normal"/>
    <w:autoRedefine/>
    <w:uiPriority w:val="39"/>
    <w:unhideWhenUsed/>
    <w:rsid w:val="000B12C5"/>
    <w:pPr>
      <w:widowControl/>
      <w:spacing w:after="100" w:line="259" w:lineRule="auto"/>
      <w:ind w:left="660"/>
    </w:pPr>
    <w:rPr>
      <w:rFonts w:eastAsiaTheme="minorEastAsia"/>
      <w:kern w:val="2"/>
      <w:lang w:val="en-ZA" w:eastAsia="en-ZA"/>
    </w:rPr>
  </w:style>
  <w:style w:type="paragraph" w:styleId="TOC5">
    <w:name w:val="toc 5"/>
    <w:basedOn w:val="Normal"/>
    <w:next w:val="Normal"/>
    <w:autoRedefine/>
    <w:uiPriority w:val="39"/>
    <w:unhideWhenUsed/>
    <w:rsid w:val="000B12C5"/>
    <w:pPr>
      <w:widowControl/>
      <w:spacing w:after="100" w:line="259" w:lineRule="auto"/>
      <w:ind w:left="880"/>
    </w:pPr>
    <w:rPr>
      <w:rFonts w:eastAsiaTheme="minorEastAsia"/>
      <w:kern w:val="2"/>
      <w:lang w:val="en-ZA" w:eastAsia="en-ZA"/>
    </w:rPr>
  </w:style>
  <w:style w:type="paragraph" w:styleId="TOC6">
    <w:name w:val="toc 6"/>
    <w:basedOn w:val="Normal"/>
    <w:next w:val="Normal"/>
    <w:autoRedefine/>
    <w:uiPriority w:val="39"/>
    <w:unhideWhenUsed/>
    <w:rsid w:val="000B12C5"/>
    <w:pPr>
      <w:widowControl/>
      <w:spacing w:after="100" w:line="259" w:lineRule="auto"/>
      <w:ind w:left="1100"/>
    </w:pPr>
    <w:rPr>
      <w:rFonts w:eastAsiaTheme="minorEastAsia"/>
      <w:kern w:val="2"/>
      <w:lang w:val="en-ZA" w:eastAsia="en-ZA"/>
    </w:rPr>
  </w:style>
  <w:style w:type="paragraph" w:styleId="TOC7">
    <w:name w:val="toc 7"/>
    <w:basedOn w:val="Normal"/>
    <w:next w:val="Normal"/>
    <w:autoRedefine/>
    <w:uiPriority w:val="39"/>
    <w:unhideWhenUsed/>
    <w:rsid w:val="000B12C5"/>
    <w:pPr>
      <w:widowControl/>
      <w:spacing w:after="100" w:line="259" w:lineRule="auto"/>
      <w:ind w:left="1320"/>
    </w:pPr>
    <w:rPr>
      <w:rFonts w:eastAsiaTheme="minorEastAsia"/>
      <w:kern w:val="2"/>
      <w:lang w:val="en-ZA" w:eastAsia="en-ZA"/>
    </w:rPr>
  </w:style>
  <w:style w:type="paragraph" w:styleId="TOC8">
    <w:name w:val="toc 8"/>
    <w:basedOn w:val="Normal"/>
    <w:next w:val="Normal"/>
    <w:autoRedefine/>
    <w:uiPriority w:val="39"/>
    <w:unhideWhenUsed/>
    <w:rsid w:val="000B12C5"/>
    <w:pPr>
      <w:widowControl/>
      <w:spacing w:after="100" w:line="259" w:lineRule="auto"/>
      <w:ind w:left="1540"/>
    </w:pPr>
    <w:rPr>
      <w:rFonts w:eastAsiaTheme="minorEastAsia"/>
      <w:kern w:val="2"/>
      <w:lang w:val="en-ZA" w:eastAsia="en-ZA"/>
    </w:rPr>
  </w:style>
  <w:style w:type="paragraph" w:styleId="TOC9">
    <w:name w:val="toc 9"/>
    <w:basedOn w:val="Normal"/>
    <w:next w:val="Normal"/>
    <w:autoRedefine/>
    <w:uiPriority w:val="39"/>
    <w:unhideWhenUsed/>
    <w:rsid w:val="000B12C5"/>
    <w:pPr>
      <w:widowControl/>
      <w:spacing w:after="100" w:line="259" w:lineRule="auto"/>
      <w:ind w:left="1760"/>
    </w:pPr>
    <w:rPr>
      <w:rFonts w:eastAsiaTheme="minorEastAsia"/>
      <w:kern w:val="2"/>
      <w:lang w:val="en-ZA" w:eastAsia="en-ZA"/>
    </w:rPr>
  </w:style>
  <w:style w:type="character" w:customStyle="1" w:styleId="Heading1Char">
    <w:name w:val="Heading 1 Char"/>
    <w:aliases w:val="rp_Heading 1 Char,H1 Char,app heading 1 Char,h1 Char,Header 1 Char,II+ Char,I Char"/>
    <w:basedOn w:val="DefaultParagraphFont"/>
    <w:link w:val="Heading1"/>
    <w:uiPriority w:val="1"/>
    <w:rsid w:val="0005653E"/>
    <w:rPr>
      <w:rFonts w:ascii="Arial" w:eastAsia="Arial" w:hAnsi="Arial"/>
      <w:b/>
      <w:bCs/>
    </w:rPr>
  </w:style>
  <w:style w:type="character" w:styleId="CommentReference">
    <w:name w:val="annotation reference"/>
    <w:basedOn w:val="DefaultParagraphFont"/>
    <w:uiPriority w:val="99"/>
    <w:semiHidden/>
    <w:unhideWhenUsed/>
    <w:rsid w:val="006D4C24"/>
    <w:rPr>
      <w:sz w:val="16"/>
      <w:szCs w:val="16"/>
    </w:rPr>
  </w:style>
  <w:style w:type="paragraph" w:styleId="CommentText">
    <w:name w:val="annotation text"/>
    <w:basedOn w:val="Normal"/>
    <w:link w:val="CommentTextChar"/>
    <w:uiPriority w:val="99"/>
    <w:unhideWhenUsed/>
    <w:rsid w:val="006D4C24"/>
    <w:rPr>
      <w:sz w:val="20"/>
      <w:szCs w:val="20"/>
    </w:rPr>
  </w:style>
  <w:style w:type="character" w:customStyle="1" w:styleId="CommentTextChar">
    <w:name w:val="Comment Text Char"/>
    <w:basedOn w:val="DefaultParagraphFont"/>
    <w:link w:val="CommentText"/>
    <w:uiPriority w:val="99"/>
    <w:rsid w:val="006D4C24"/>
    <w:rPr>
      <w:sz w:val="20"/>
      <w:szCs w:val="20"/>
    </w:rPr>
  </w:style>
  <w:style w:type="paragraph" w:styleId="CommentSubject">
    <w:name w:val="annotation subject"/>
    <w:basedOn w:val="CommentText"/>
    <w:next w:val="CommentText"/>
    <w:link w:val="CommentSubjectChar"/>
    <w:uiPriority w:val="99"/>
    <w:semiHidden/>
    <w:unhideWhenUsed/>
    <w:rsid w:val="006D4C24"/>
    <w:rPr>
      <w:b/>
      <w:bCs/>
    </w:rPr>
  </w:style>
  <w:style w:type="character" w:customStyle="1" w:styleId="CommentSubjectChar">
    <w:name w:val="Comment Subject Char"/>
    <w:basedOn w:val="CommentTextChar"/>
    <w:link w:val="CommentSubject"/>
    <w:uiPriority w:val="99"/>
    <w:semiHidden/>
    <w:rsid w:val="006D4C24"/>
    <w:rPr>
      <w:b/>
      <w:bCs/>
      <w:sz w:val="20"/>
      <w:szCs w:val="20"/>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Citation List Char,본문(내용) Char"/>
    <w:link w:val="ListParagraph"/>
    <w:uiPriority w:val="34"/>
    <w:locked/>
    <w:rsid w:val="00E67A9C"/>
  </w:style>
  <w:style w:type="paragraph" w:styleId="BlockText">
    <w:name w:val="Block Text"/>
    <w:basedOn w:val="Normal"/>
    <w:rsid w:val="00E67A9C"/>
    <w:pPr>
      <w:widowControl/>
      <w:tabs>
        <w:tab w:val="left" w:pos="10800"/>
      </w:tabs>
      <w:ind w:left="1440" w:right="-252" w:hanging="720"/>
    </w:pPr>
    <w:rPr>
      <w:rFonts w:ascii="Times New Roman" w:eastAsia="Times New Roman" w:hAnsi="Times New Roman" w:cs="Times New Roman"/>
      <w:sz w:val="24"/>
      <w:szCs w:val="24"/>
    </w:rPr>
  </w:style>
  <w:style w:type="paragraph" w:styleId="EndnoteText">
    <w:name w:val="endnote text"/>
    <w:basedOn w:val="Normal"/>
    <w:link w:val="EndnoteTextChar"/>
    <w:semiHidden/>
    <w:rsid w:val="00E67A9C"/>
    <w:rPr>
      <w:rFonts w:ascii="Courier New" w:eastAsia="Times New Roman" w:hAnsi="Courier New" w:cs="Times New Roman"/>
      <w:snapToGrid w:val="0"/>
      <w:sz w:val="24"/>
      <w:szCs w:val="20"/>
      <w:lang w:val="en-ZA"/>
    </w:rPr>
  </w:style>
  <w:style w:type="character" w:customStyle="1" w:styleId="EndnoteTextChar">
    <w:name w:val="Endnote Text Char"/>
    <w:basedOn w:val="DefaultParagraphFont"/>
    <w:link w:val="EndnoteText"/>
    <w:semiHidden/>
    <w:rsid w:val="00E67A9C"/>
    <w:rPr>
      <w:rFonts w:ascii="Courier New" w:eastAsia="Times New Roman" w:hAnsi="Courier New" w:cs="Times New Roman"/>
      <w:snapToGrid w:val="0"/>
      <w:sz w:val="24"/>
      <w:szCs w:val="20"/>
      <w:lang w:val="en-ZA"/>
    </w:rPr>
  </w:style>
  <w:style w:type="character" w:customStyle="1" w:styleId="UnresolvedMention2">
    <w:name w:val="Unresolved Mention2"/>
    <w:basedOn w:val="DefaultParagraphFont"/>
    <w:uiPriority w:val="99"/>
    <w:semiHidden/>
    <w:unhideWhenUsed/>
    <w:rsid w:val="00437497"/>
    <w:rPr>
      <w:color w:val="605E5C"/>
      <w:shd w:val="clear" w:color="auto" w:fill="E1DFDD"/>
    </w:rPr>
  </w:style>
  <w:style w:type="character" w:customStyle="1" w:styleId="Heading5Char">
    <w:name w:val="Heading 5 Char"/>
    <w:aliases w:val="rp_Heading 5 Char,DO NOT USE_h5 Char,H5 Char,Block Label Char"/>
    <w:basedOn w:val="DefaultParagraphFont"/>
    <w:link w:val="Heading5"/>
    <w:rsid w:val="005A06E2"/>
    <w:rPr>
      <w:rFonts w:ascii="Arial" w:eastAsia="Arial Bold" w:hAnsi="Arial" w:cs="Arial"/>
      <w:b/>
      <w:kern w:val="28"/>
      <w:szCs w:val="20"/>
      <w:lang w:val="en-ZA" w:eastAsia="en-AU"/>
    </w:rPr>
  </w:style>
  <w:style w:type="character" w:customStyle="1" w:styleId="Heading6Char">
    <w:name w:val="Heading 6 Char"/>
    <w:aliases w:val="rp_Heading 6 Char,DO NOT USE_h6 Char,Appendix 2 Char"/>
    <w:basedOn w:val="DefaultParagraphFont"/>
    <w:link w:val="Heading6"/>
    <w:rsid w:val="005A06E2"/>
    <w:rPr>
      <w:rFonts w:ascii="Arial" w:eastAsia="Arial Bold" w:hAnsi="Arial" w:cs="Arial"/>
      <w:b/>
      <w:kern w:val="28"/>
      <w:szCs w:val="20"/>
      <w:lang w:val="en-ZA" w:eastAsia="en-AU"/>
    </w:rPr>
  </w:style>
  <w:style w:type="character" w:customStyle="1" w:styleId="Heading7Char">
    <w:name w:val="Heading 7 Char"/>
    <w:aliases w:val="rp_Heading 7 Char,Appendix Level 1 Char"/>
    <w:basedOn w:val="DefaultParagraphFont"/>
    <w:link w:val="Heading7"/>
    <w:rsid w:val="005A06E2"/>
    <w:rPr>
      <w:rFonts w:ascii="Arial" w:eastAsia="Arial Bold" w:hAnsi="Arial" w:cs="Arial"/>
      <w:b/>
      <w:kern w:val="28"/>
      <w:szCs w:val="20"/>
      <w:lang w:val="en-ZA" w:eastAsia="en-AU"/>
    </w:rPr>
  </w:style>
  <w:style w:type="character" w:customStyle="1" w:styleId="Heading8Char">
    <w:name w:val="Heading 8 Char"/>
    <w:aliases w:val="rp_Heading 8 Char"/>
    <w:basedOn w:val="DefaultParagraphFont"/>
    <w:link w:val="Heading8"/>
    <w:rsid w:val="005A06E2"/>
    <w:rPr>
      <w:rFonts w:ascii="Arial" w:eastAsia="Arial Bold" w:hAnsi="Arial" w:cs="Arial"/>
      <w:b/>
      <w:kern w:val="28"/>
      <w:szCs w:val="20"/>
      <w:lang w:val="en-ZA" w:eastAsia="en-AU"/>
    </w:rPr>
  </w:style>
  <w:style w:type="character" w:customStyle="1" w:styleId="Heading9Char">
    <w:name w:val="Heading 9 Char"/>
    <w:aliases w:val="rp_Heading 9 Char,Doc Ref Char"/>
    <w:basedOn w:val="DefaultParagraphFont"/>
    <w:link w:val="Heading9"/>
    <w:rsid w:val="005A06E2"/>
    <w:rPr>
      <w:rFonts w:ascii="Arial" w:eastAsia="Arial Bold" w:hAnsi="Arial" w:cs="Arial"/>
      <w:b/>
      <w:kern w:val="28"/>
      <w:szCs w:val="20"/>
      <w:lang w:val="en-ZA" w:eastAsia="en-AU"/>
    </w:rPr>
  </w:style>
  <w:style w:type="table" w:styleId="PlainTable2">
    <w:name w:val="Plain Table 2"/>
    <w:basedOn w:val="TableNormal"/>
    <w:uiPriority w:val="42"/>
    <w:rsid w:val="005A06E2"/>
    <w:pPr>
      <w:widowControl/>
    </w:pPr>
    <w:rPr>
      <w:lang w:val="en-Z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11">
    <w:name w:val="Grid Table 1 Light - Accent 11"/>
    <w:basedOn w:val="TableNormal"/>
    <w:uiPriority w:val="46"/>
    <w:rsid w:val="005A06E2"/>
    <w:pPr>
      <w:widowControl/>
      <w:spacing w:before="100"/>
    </w:pPr>
    <w:rPr>
      <w:rFonts w:eastAsiaTheme="minorEastAsia"/>
      <w:sz w:val="20"/>
      <w:szCs w:val="20"/>
      <w:lang w:val="en-Z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1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494EE-D252-4965-8D9D-CB1416E22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dc:description/>
  <cp:lastModifiedBy>Louisa Khumalo</cp:lastModifiedBy>
  <cp:revision>2</cp:revision>
  <cp:lastPrinted>2023-08-04T07:08:00Z</cp:lastPrinted>
  <dcterms:created xsi:type="dcterms:W3CDTF">2025-10-15T13:51:00Z</dcterms:created>
  <dcterms:modified xsi:type="dcterms:W3CDTF">2025-10-15T13:51:00Z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y fmtid="{D5CDD505-2E9C-101B-9397-08002B2CF9AE}" pid="4" name="GrammarlyDocumentId">
    <vt:lpwstr>db3ffa20-a700-4ebe-b587-dbccb27c763e</vt:lpwstr>
  </property>
</Properties>
</file>