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279" w:rsidRPr="00330583" w:rsidRDefault="00AF1139" w:rsidP="002748BD">
      <w:pPr>
        <w:tabs>
          <w:tab w:val="left" w:pos="3532"/>
        </w:tabs>
        <w:rPr>
          <w:rFonts w:cstheme="minorHAnsi"/>
          <w:noProof/>
          <w:sz w:val="18"/>
          <w:szCs w:val="18"/>
        </w:rPr>
      </w:pPr>
      <w:r w:rsidRPr="00330583">
        <w:rPr>
          <w:rFonts w:cstheme="minorHAnsi"/>
          <w:noProof/>
          <w:sz w:val="18"/>
          <w:szCs w:val="18"/>
          <w:lang w:eastAsia="en-ZA"/>
        </w:rPr>
        <w:drawing>
          <wp:anchor distT="0" distB="0" distL="114300" distR="114300" simplePos="0" relativeHeight="251658240" behindDoc="1" locked="0" layoutInCell="1" allowOverlap="1" wp14:anchorId="08019F20" wp14:editId="41423F8E">
            <wp:simplePos x="0" y="0"/>
            <wp:positionH relativeFrom="page">
              <wp:align>right</wp:align>
            </wp:positionH>
            <wp:positionV relativeFrom="page">
              <wp:align>top</wp:align>
            </wp:positionV>
            <wp:extent cx="7538085" cy="1070991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38085" cy="10709910"/>
                    </a:xfrm>
                    <a:prstGeom prst="rect">
                      <a:avLst/>
                    </a:prstGeom>
                    <a:noFill/>
                    <a:ln>
                      <a:noFill/>
                    </a:ln>
                  </pic:spPr>
                </pic:pic>
              </a:graphicData>
            </a:graphic>
            <wp14:sizeRelV relativeFrom="margin">
              <wp14:pctHeight>0</wp14:pctHeight>
            </wp14:sizeRelV>
          </wp:anchor>
        </w:drawing>
      </w:r>
      <w:r w:rsidR="002218F0" w:rsidRPr="00330583">
        <w:rPr>
          <w:rFonts w:cstheme="minorHAnsi"/>
          <w:noProof/>
          <w:sz w:val="18"/>
          <w:szCs w:val="18"/>
          <w:lang w:eastAsia="en-ZA"/>
        </w:rPr>
        <w:drawing>
          <wp:anchor distT="0" distB="0" distL="114300" distR="114300" simplePos="0" relativeHeight="251659264" behindDoc="0" locked="0" layoutInCell="1" allowOverlap="1" wp14:anchorId="532DBBBA" wp14:editId="1C87C21D">
            <wp:simplePos x="0" y="0"/>
            <wp:positionH relativeFrom="page">
              <wp:align>left</wp:align>
            </wp:positionH>
            <wp:positionV relativeFrom="page">
              <wp:align>top</wp:align>
            </wp:positionV>
            <wp:extent cx="1504950" cy="1657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4950"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C0A9E" w:rsidRPr="00330583" w:rsidRDefault="000C0A9E" w:rsidP="002748BD">
      <w:pPr>
        <w:tabs>
          <w:tab w:val="left" w:pos="3532"/>
        </w:tabs>
        <w:rPr>
          <w:rFonts w:cstheme="minorHAnsi"/>
          <w:noProof/>
          <w:sz w:val="18"/>
          <w:szCs w:val="18"/>
          <w:lang w:eastAsia="en-ZA"/>
        </w:rPr>
      </w:pPr>
    </w:p>
    <w:p w:rsidR="00AB25EE" w:rsidRPr="00330583" w:rsidRDefault="002748BD" w:rsidP="002748BD">
      <w:pPr>
        <w:tabs>
          <w:tab w:val="left" w:pos="3532"/>
        </w:tabs>
        <w:rPr>
          <w:rFonts w:cstheme="minorHAnsi"/>
          <w:noProof/>
          <w:sz w:val="18"/>
          <w:szCs w:val="18"/>
        </w:rPr>
      </w:pPr>
      <w:r w:rsidRPr="00330583">
        <w:rPr>
          <w:rFonts w:cstheme="minorHAnsi"/>
          <w:noProof/>
          <w:sz w:val="18"/>
          <w:szCs w:val="18"/>
        </w:rPr>
        <w:tab/>
      </w:r>
    </w:p>
    <w:p w:rsidR="00AB25EE" w:rsidRPr="00330583" w:rsidRDefault="000D5C48" w:rsidP="000D5C48">
      <w:pPr>
        <w:tabs>
          <w:tab w:val="left" w:pos="3080"/>
        </w:tabs>
        <w:rPr>
          <w:rFonts w:cstheme="minorHAnsi"/>
          <w:noProof/>
          <w:sz w:val="18"/>
          <w:szCs w:val="18"/>
        </w:rPr>
      </w:pPr>
      <w:r w:rsidRPr="00330583">
        <w:rPr>
          <w:rFonts w:cstheme="minorHAnsi"/>
          <w:noProof/>
          <w:sz w:val="18"/>
          <w:szCs w:val="18"/>
        </w:rPr>
        <w:tab/>
      </w:r>
    </w:p>
    <w:p w:rsidR="005B5B89" w:rsidRPr="00330583" w:rsidRDefault="00C62195" w:rsidP="000C0A9E">
      <w:pPr>
        <w:jc w:val="center"/>
        <w:rPr>
          <w:rFonts w:cstheme="minorHAnsi"/>
          <w:b/>
          <w:noProof/>
          <w:sz w:val="18"/>
          <w:szCs w:val="18"/>
        </w:rPr>
      </w:pPr>
      <w:r w:rsidRPr="00330583">
        <w:rPr>
          <w:rFonts w:cstheme="minorHAnsi"/>
          <w:noProof/>
          <w:sz w:val="18"/>
          <w:szCs w:val="18"/>
        </w:rPr>
        <w:br w:type="textWrapping" w:clear="all"/>
      </w:r>
    </w:p>
    <w:p w:rsidR="00C109DC" w:rsidRPr="00330583" w:rsidRDefault="00BF657A" w:rsidP="000C0A9E">
      <w:pPr>
        <w:jc w:val="center"/>
        <w:rPr>
          <w:rFonts w:cstheme="minorHAnsi"/>
          <w:noProof/>
          <w:sz w:val="20"/>
          <w:szCs w:val="20"/>
        </w:rPr>
      </w:pPr>
      <w:r w:rsidRPr="00330583">
        <w:rPr>
          <w:rFonts w:cstheme="minorHAnsi"/>
          <w:b/>
          <w:noProof/>
          <w:sz w:val="20"/>
          <w:szCs w:val="20"/>
        </w:rPr>
        <w:t xml:space="preserve"> </w:t>
      </w:r>
      <w:r w:rsidR="00C109DC" w:rsidRPr="00330583">
        <w:rPr>
          <w:rFonts w:eastAsia="Times New Roman" w:cstheme="minorHAnsi"/>
          <w:b/>
          <w:sz w:val="20"/>
          <w:szCs w:val="20"/>
          <w:lang w:val="en-US"/>
        </w:rPr>
        <w:t>TENDER NOTICE AND INVITATION TO TENDER</w:t>
      </w:r>
    </w:p>
    <w:p w:rsidR="000C0A9E" w:rsidRPr="00330583" w:rsidRDefault="000C0A9E" w:rsidP="000C0A9E">
      <w:pPr>
        <w:spacing w:after="0" w:line="240" w:lineRule="auto"/>
        <w:rPr>
          <w:rFonts w:eastAsia="Times New Roman" w:cstheme="minorHAnsi"/>
          <w:bCs/>
          <w:iCs/>
          <w:sz w:val="20"/>
          <w:szCs w:val="20"/>
          <w:lang w:val="en-GB"/>
        </w:rPr>
      </w:pPr>
      <w:r w:rsidRPr="00330583">
        <w:rPr>
          <w:rFonts w:eastAsia="Times New Roman" w:cstheme="minorHAnsi"/>
          <w:bCs/>
          <w:iCs/>
          <w:sz w:val="20"/>
          <w:szCs w:val="20"/>
          <w:lang w:val="en-GB"/>
        </w:rPr>
        <w:t>The Elundini Local Municipality invites tenders from three (3) to Five (5) experienced and competent contractors for the framework co</w:t>
      </w:r>
      <w:r w:rsidR="00D6574D" w:rsidRPr="00330583">
        <w:rPr>
          <w:rFonts w:eastAsia="Times New Roman" w:cstheme="minorHAnsi"/>
          <w:bCs/>
          <w:iCs/>
          <w:sz w:val="20"/>
          <w:szCs w:val="20"/>
          <w:lang w:val="en-GB"/>
        </w:rPr>
        <w:t>ntracts</w:t>
      </w:r>
      <w:r w:rsidR="00B83E94" w:rsidRPr="00330583">
        <w:rPr>
          <w:rFonts w:eastAsia="Times New Roman" w:cstheme="minorHAnsi"/>
          <w:bCs/>
          <w:iCs/>
          <w:sz w:val="20"/>
          <w:szCs w:val="20"/>
          <w:lang w:val="en-GB"/>
        </w:rPr>
        <w:t xml:space="preserve"> </w:t>
      </w:r>
      <w:r w:rsidR="00E42E02" w:rsidRPr="00330583">
        <w:rPr>
          <w:rFonts w:eastAsia="Times New Roman" w:cstheme="minorHAnsi"/>
          <w:bCs/>
          <w:iCs/>
          <w:sz w:val="20"/>
          <w:szCs w:val="20"/>
          <w:lang w:val="en-GB"/>
        </w:rPr>
        <w:t xml:space="preserve">within Elundini Local Municipality </w:t>
      </w:r>
      <w:r w:rsidR="00B83E94" w:rsidRPr="00330583">
        <w:rPr>
          <w:rFonts w:eastAsia="Times New Roman" w:cstheme="minorHAnsi"/>
          <w:bCs/>
          <w:iCs/>
          <w:sz w:val="20"/>
          <w:szCs w:val="20"/>
          <w:lang w:val="en-GB"/>
        </w:rPr>
        <w:t>of</w:t>
      </w:r>
      <w:r w:rsidR="00E42E02" w:rsidRPr="00330583">
        <w:rPr>
          <w:rFonts w:eastAsia="Times New Roman" w:cstheme="minorHAnsi"/>
          <w:bCs/>
          <w:iCs/>
          <w:sz w:val="20"/>
          <w:szCs w:val="20"/>
          <w:lang w:val="en-GB"/>
        </w:rPr>
        <w:t xml:space="preserve"> three (03)</w:t>
      </w:r>
      <w:r w:rsidRPr="00330583">
        <w:rPr>
          <w:rFonts w:eastAsia="Times New Roman" w:cstheme="minorHAnsi"/>
          <w:bCs/>
          <w:iCs/>
          <w:sz w:val="20"/>
          <w:szCs w:val="20"/>
          <w:lang w:val="en-GB"/>
        </w:rPr>
        <w:t xml:space="preserve"> Years on and as when instructed without a g</w:t>
      </w:r>
      <w:r w:rsidR="00D6574D" w:rsidRPr="00330583">
        <w:rPr>
          <w:rFonts w:eastAsia="Times New Roman" w:cstheme="minorHAnsi"/>
          <w:bCs/>
          <w:iCs/>
          <w:sz w:val="20"/>
          <w:szCs w:val="20"/>
          <w:lang w:val="en-GB"/>
        </w:rPr>
        <w:t>uarantee to any quantum of work</w:t>
      </w:r>
      <w:r w:rsidRPr="00330583">
        <w:rPr>
          <w:rFonts w:eastAsia="Times New Roman" w:cstheme="minorHAnsi"/>
          <w:bCs/>
          <w:iCs/>
          <w:sz w:val="20"/>
          <w:szCs w:val="20"/>
          <w:lang w:val="en-GB"/>
        </w:rPr>
        <w:t xml:space="preserve"> </w:t>
      </w:r>
      <w:r w:rsidR="00D6574D" w:rsidRPr="00330583">
        <w:rPr>
          <w:rFonts w:eastAsia="Times New Roman" w:cstheme="minorHAnsi"/>
          <w:bCs/>
          <w:iCs/>
          <w:sz w:val="20"/>
          <w:szCs w:val="20"/>
          <w:lang w:val="en-GB"/>
        </w:rPr>
        <w:t>on the following construction:</w:t>
      </w:r>
    </w:p>
    <w:p w:rsidR="00D6574D" w:rsidRPr="00330583" w:rsidRDefault="00D6574D" w:rsidP="000C0A9E">
      <w:pPr>
        <w:spacing w:after="0" w:line="240" w:lineRule="auto"/>
        <w:rPr>
          <w:rFonts w:eastAsia="Times New Roman" w:cstheme="minorHAnsi"/>
          <w:bCs/>
          <w:iCs/>
          <w:sz w:val="20"/>
          <w:szCs w:val="20"/>
          <w:lang w:val="en-GB"/>
        </w:rPr>
      </w:pPr>
    </w:p>
    <w:tbl>
      <w:tblPr>
        <w:tblW w:w="7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843"/>
        <w:gridCol w:w="2268"/>
      </w:tblGrid>
      <w:tr w:rsidR="00D6574D" w:rsidRPr="00330583" w:rsidTr="00E42E02">
        <w:tc>
          <w:tcPr>
            <w:tcW w:w="3402" w:type="dxa"/>
            <w:shd w:val="clear" w:color="auto" w:fill="E7E6E6"/>
          </w:tcPr>
          <w:p w:rsidR="00D6574D" w:rsidRPr="00330583" w:rsidRDefault="00D6574D" w:rsidP="00D66D78">
            <w:pPr>
              <w:spacing w:after="0" w:line="240" w:lineRule="auto"/>
              <w:rPr>
                <w:rFonts w:eastAsia="Calibri" w:cstheme="minorHAnsi"/>
                <w:b/>
                <w:sz w:val="20"/>
                <w:szCs w:val="20"/>
              </w:rPr>
            </w:pPr>
          </w:p>
          <w:p w:rsidR="00D6574D" w:rsidRPr="00330583" w:rsidRDefault="00D6574D" w:rsidP="00D66D78">
            <w:pPr>
              <w:spacing w:after="0" w:line="240" w:lineRule="auto"/>
              <w:rPr>
                <w:rFonts w:eastAsia="Calibri" w:cstheme="minorHAnsi"/>
                <w:b/>
                <w:sz w:val="20"/>
                <w:szCs w:val="20"/>
              </w:rPr>
            </w:pPr>
            <w:r w:rsidRPr="00330583">
              <w:rPr>
                <w:rFonts w:eastAsia="Calibri" w:cstheme="minorHAnsi"/>
                <w:b/>
                <w:sz w:val="20"/>
                <w:szCs w:val="20"/>
              </w:rPr>
              <w:t>PROJECT NAME</w:t>
            </w:r>
          </w:p>
        </w:tc>
        <w:tc>
          <w:tcPr>
            <w:tcW w:w="1843" w:type="dxa"/>
            <w:shd w:val="clear" w:color="auto" w:fill="E7E6E6"/>
          </w:tcPr>
          <w:p w:rsidR="00D6574D" w:rsidRPr="00330583" w:rsidRDefault="00D6574D" w:rsidP="00D66D78">
            <w:pPr>
              <w:spacing w:after="0" w:line="240" w:lineRule="auto"/>
              <w:rPr>
                <w:rFonts w:eastAsia="Calibri" w:cstheme="minorHAnsi"/>
                <w:b/>
                <w:sz w:val="20"/>
                <w:szCs w:val="20"/>
              </w:rPr>
            </w:pPr>
            <w:r w:rsidRPr="00330583">
              <w:rPr>
                <w:rFonts w:eastAsia="Calibri" w:cstheme="minorHAnsi"/>
                <w:b/>
                <w:sz w:val="20"/>
                <w:szCs w:val="20"/>
              </w:rPr>
              <w:t xml:space="preserve">                                                                          </w:t>
            </w:r>
          </w:p>
          <w:p w:rsidR="00D6574D" w:rsidRPr="00330583" w:rsidRDefault="00D6574D" w:rsidP="00D66D78">
            <w:pPr>
              <w:spacing w:after="0" w:line="240" w:lineRule="auto"/>
              <w:rPr>
                <w:rFonts w:eastAsia="Calibri" w:cstheme="minorHAnsi"/>
                <w:b/>
                <w:sz w:val="20"/>
                <w:szCs w:val="20"/>
              </w:rPr>
            </w:pPr>
            <w:r w:rsidRPr="00330583">
              <w:rPr>
                <w:rFonts w:eastAsia="Calibri" w:cstheme="minorHAnsi"/>
                <w:b/>
                <w:sz w:val="20"/>
                <w:szCs w:val="20"/>
              </w:rPr>
              <w:t>Contract Number</w:t>
            </w:r>
          </w:p>
        </w:tc>
        <w:tc>
          <w:tcPr>
            <w:tcW w:w="2268" w:type="dxa"/>
            <w:tcBorders>
              <w:top w:val="single" w:sz="4" w:space="0" w:color="auto"/>
              <w:left w:val="single" w:sz="4" w:space="0" w:color="auto"/>
              <w:bottom w:val="single" w:sz="4" w:space="0" w:color="auto"/>
              <w:right w:val="single" w:sz="4" w:space="0" w:color="auto"/>
            </w:tcBorders>
            <w:shd w:val="clear" w:color="auto" w:fill="E7E6E6"/>
          </w:tcPr>
          <w:p w:rsidR="00D6574D" w:rsidRPr="00330583" w:rsidRDefault="00D6574D" w:rsidP="00D66D78">
            <w:pPr>
              <w:spacing w:after="0" w:line="240" w:lineRule="auto"/>
              <w:rPr>
                <w:rFonts w:eastAsia="Calibri" w:cstheme="minorHAnsi"/>
                <w:b/>
                <w:bCs/>
                <w:sz w:val="20"/>
                <w:szCs w:val="20"/>
                <w:lang w:val="en-GB"/>
              </w:rPr>
            </w:pPr>
          </w:p>
          <w:p w:rsidR="00D6574D" w:rsidRPr="00330583" w:rsidRDefault="00D6574D" w:rsidP="00D66D78">
            <w:pPr>
              <w:spacing w:after="0" w:line="240" w:lineRule="auto"/>
              <w:rPr>
                <w:rFonts w:eastAsia="Calibri" w:cstheme="minorHAnsi"/>
                <w:b/>
                <w:bCs/>
                <w:sz w:val="20"/>
                <w:szCs w:val="20"/>
                <w:lang w:val="en-GB"/>
              </w:rPr>
            </w:pPr>
            <w:r w:rsidRPr="00330583">
              <w:rPr>
                <w:rFonts w:eastAsia="Calibri" w:cstheme="minorHAnsi"/>
                <w:b/>
                <w:bCs/>
                <w:sz w:val="20"/>
                <w:szCs w:val="20"/>
                <w:lang w:val="en-GB"/>
              </w:rPr>
              <w:t>CIDB Grading</w:t>
            </w:r>
          </w:p>
        </w:tc>
      </w:tr>
      <w:tr w:rsidR="00D6574D" w:rsidRPr="00330583" w:rsidTr="00E42E02">
        <w:tc>
          <w:tcPr>
            <w:tcW w:w="3402" w:type="dxa"/>
            <w:shd w:val="clear" w:color="auto" w:fill="FFFFFF" w:themeFill="background1"/>
          </w:tcPr>
          <w:p w:rsidR="00D6574D" w:rsidRPr="00330583" w:rsidRDefault="00B83E94" w:rsidP="00D66D78">
            <w:pPr>
              <w:spacing w:after="0" w:line="240" w:lineRule="auto"/>
              <w:rPr>
                <w:rFonts w:eastAsia="Calibri" w:cstheme="minorHAnsi"/>
                <w:sz w:val="20"/>
                <w:szCs w:val="20"/>
              </w:rPr>
            </w:pPr>
            <w:r w:rsidRPr="00330583">
              <w:rPr>
                <w:rFonts w:eastAsia="Calibri" w:cstheme="minorHAnsi"/>
                <w:sz w:val="20"/>
                <w:szCs w:val="20"/>
              </w:rPr>
              <w:t>Electrical Network Upgrades</w:t>
            </w:r>
            <w:r w:rsidR="00E42E02" w:rsidRPr="00330583">
              <w:rPr>
                <w:rFonts w:eastAsia="Calibri" w:cstheme="minorHAnsi"/>
                <w:sz w:val="20"/>
                <w:szCs w:val="20"/>
              </w:rPr>
              <w:t xml:space="preserve"> and Maintenance </w:t>
            </w:r>
          </w:p>
        </w:tc>
        <w:tc>
          <w:tcPr>
            <w:tcW w:w="1843" w:type="dxa"/>
            <w:shd w:val="clear" w:color="auto" w:fill="FFFFFF" w:themeFill="background1"/>
          </w:tcPr>
          <w:p w:rsidR="00D6574D" w:rsidRPr="00330583" w:rsidRDefault="00B83E94" w:rsidP="00D66D78">
            <w:pPr>
              <w:spacing w:after="0" w:line="240" w:lineRule="auto"/>
              <w:rPr>
                <w:rFonts w:eastAsia="Calibri" w:cstheme="minorHAnsi"/>
                <w:sz w:val="20"/>
                <w:szCs w:val="20"/>
              </w:rPr>
            </w:pPr>
            <w:r w:rsidRPr="00330583">
              <w:rPr>
                <w:rFonts w:eastAsia="Calibri" w:cstheme="minorHAnsi"/>
                <w:sz w:val="20"/>
                <w:szCs w:val="20"/>
              </w:rPr>
              <w:t>ELM-3/010/2023-2024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D6574D" w:rsidRPr="00330583" w:rsidRDefault="00B83E94" w:rsidP="00D66D78">
            <w:pPr>
              <w:spacing w:after="0" w:line="240" w:lineRule="auto"/>
              <w:rPr>
                <w:rFonts w:eastAsia="Calibri" w:cstheme="minorHAnsi"/>
                <w:bCs/>
                <w:sz w:val="20"/>
                <w:szCs w:val="20"/>
                <w:lang w:val="en-GB"/>
              </w:rPr>
            </w:pPr>
            <w:r w:rsidRPr="00330583">
              <w:rPr>
                <w:rFonts w:eastAsia="Calibri" w:cstheme="minorHAnsi"/>
                <w:bCs/>
                <w:sz w:val="20"/>
                <w:szCs w:val="20"/>
                <w:lang w:val="en-GB"/>
              </w:rPr>
              <w:t>Valid Grade 4EP</w:t>
            </w:r>
            <w:r w:rsidR="00D6574D" w:rsidRPr="00330583">
              <w:rPr>
                <w:rFonts w:eastAsia="Calibri" w:cstheme="minorHAnsi"/>
                <w:bCs/>
                <w:sz w:val="20"/>
                <w:szCs w:val="20"/>
                <w:lang w:val="en-GB"/>
              </w:rPr>
              <w:t xml:space="preserve"> and above</w:t>
            </w:r>
          </w:p>
        </w:tc>
      </w:tr>
      <w:tr w:rsidR="00B83E94" w:rsidRPr="00330583" w:rsidTr="00E42E02">
        <w:tc>
          <w:tcPr>
            <w:tcW w:w="3402" w:type="dxa"/>
            <w:shd w:val="clear" w:color="auto" w:fill="FFFFFF" w:themeFill="background1"/>
          </w:tcPr>
          <w:p w:rsidR="00B83E94" w:rsidRPr="00330583" w:rsidRDefault="00E42E02" w:rsidP="00D66D78">
            <w:pPr>
              <w:spacing w:after="0" w:line="240" w:lineRule="auto"/>
              <w:rPr>
                <w:rFonts w:eastAsia="Calibri" w:cstheme="minorHAnsi"/>
                <w:sz w:val="20"/>
                <w:szCs w:val="20"/>
              </w:rPr>
            </w:pPr>
            <w:r w:rsidRPr="00330583">
              <w:rPr>
                <w:rFonts w:eastAsia="Calibri" w:cstheme="minorHAnsi"/>
                <w:sz w:val="20"/>
                <w:szCs w:val="20"/>
              </w:rPr>
              <w:t xml:space="preserve">Public Lighting </w:t>
            </w:r>
          </w:p>
        </w:tc>
        <w:tc>
          <w:tcPr>
            <w:tcW w:w="1843" w:type="dxa"/>
            <w:shd w:val="clear" w:color="auto" w:fill="FFFFFF" w:themeFill="background1"/>
          </w:tcPr>
          <w:p w:rsidR="00B83E94" w:rsidRPr="00330583" w:rsidRDefault="00B83E94" w:rsidP="00D66D78">
            <w:pPr>
              <w:spacing w:after="0" w:line="240" w:lineRule="auto"/>
              <w:rPr>
                <w:rFonts w:eastAsia="Calibri" w:cstheme="minorHAnsi"/>
                <w:sz w:val="20"/>
                <w:szCs w:val="20"/>
              </w:rPr>
            </w:pPr>
            <w:r w:rsidRPr="00330583">
              <w:rPr>
                <w:rFonts w:eastAsia="Calibri" w:cstheme="minorHAnsi"/>
                <w:sz w:val="20"/>
                <w:szCs w:val="20"/>
              </w:rPr>
              <w:t>ELM-3/011/2023-2024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B83E94" w:rsidRPr="00330583" w:rsidRDefault="00B83E94" w:rsidP="00D66D78">
            <w:pPr>
              <w:spacing w:after="0" w:line="240" w:lineRule="auto"/>
              <w:rPr>
                <w:rFonts w:eastAsia="Calibri" w:cstheme="minorHAnsi"/>
                <w:bCs/>
                <w:sz w:val="20"/>
                <w:szCs w:val="20"/>
                <w:lang w:val="en-GB"/>
              </w:rPr>
            </w:pPr>
            <w:r w:rsidRPr="00330583">
              <w:rPr>
                <w:rFonts w:eastAsia="Calibri" w:cstheme="minorHAnsi"/>
                <w:bCs/>
                <w:sz w:val="20"/>
                <w:szCs w:val="20"/>
                <w:lang w:val="en-GB"/>
              </w:rPr>
              <w:t>Valid Grade 4EP and above</w:t>
            </w:r>
          </w:p>
        </w:tc>
      </w:tr>
    </w:tbl>
    <w:p w:rsidR="000C0A9E" w:rsidRPr="00330583" w:rsidRDefault="000C0A9E" w:rsidP="000C0A9E">
      <w:pPr>
        <w:spacing w:after="0" w:line="240" w:lineRule="auto"/>
        <w:rPr>
          <w:rFonts w:eastAsia="Times New Roman" w:cstheme="minorHAnsi"/>
          <w:bCs/>
          <w:iCs/>
          <w:sz w:val="20"/>
          <w:szCs w:val="20"/>
          <w:lang w:val="en-GB"/>
        </w:rPr>
      </w:pPr>
    </w:p>
    <w:p w:rsidR="000C0A9E" w:rsidRPr="00330583" w:rsidRDefault="000C0A9E" w:rsidP="000C0A9E">
      <w:pPr>
        <w:spacing w:after="0" w:line="240" w:lineRule="auto"/>
        <w:rPr>
          <w:rFonts w:eastAsia="Times New Roman" w:cstheme="minorHAnsi"/>
          <w:bCs/>
          <w:iCs/>
          <w:sz w:val="20"/>
          <w:szCs w:val="20"/>
          <w:lang w:val="en-GB"/>
        </w:rPr>
      </w:pPr>
      <w:r w:rsidRPr="00330583">
        <w:rPr>
          <w:rFonts w:eastAsia="Times New Roman" w:cstheme="minorHAnsi"/>
          <w:bCs/>
          <w:iCs/>
          <w:sz w:val="20"/>
          <w:szCs w:val="20"/>
          <w:lang w:val="en-GB"/>
        </w:rPr>
        <w:t>Contracts will be based on the NEC3 Engineering and Constructi</w:t>
      </w:r>
      <w:r w:rsidR="00954E87" w:rsidRPr="00330583">
        <w:rPr>
          <w:rFonts w:eastAsia="Times New Roman" w:cstheme="minorHAnsi"/>
          <w:bCs/>
          <w:iCs/>
          <w:sz w:val="20"/>
          <w:szCs w:val="20"/>
          <w:lang w:val="en-GB"/>
        </w:rPr>
        <w:t>on Contract (Option B Priced contract with Bill of Quantities</w:t>
      </w:r>
      <w:r w:rsidR="00417820" w:rsidRPr="00330583">
        <w:rPr>
          <w:rFonts w:eastAsia="Times New Roman" w:cstheme="minorHAnsi"/>
          <w:bCs/>
          <w:iCs/>
          <w:sz w:val="20"/>
          <w:szCs w:val="20"/>
          <w:lang w:val="en-GB"/>
        </w:rPr>
        <w:t>)</w:t>
      </w:r>
      <w:r w:rsidRPr="00330583">
        <w:rPr>
          <w:rFonts w:eastAsia="Times New Roman" w:cstheme="minorHAnsi"/>
          <w:bCs/>
          <w:iCs/>
          <w:sz w:val="20"/>
          <w:szCs w:val="20"/>
          <w:lang w:val="en-GB"/>
        </w:rPr>
        <w:t>.</w:t>
      </w:r>
    </w:p>
    <w:p w:rsidR="000C0A9E" w:rsidRPr="00330583" w:rsidRDefault="000C0A9E" w:rsidP="000C0A9E">
      <w:pPr>
        <w:spacing w:after="0" w:line="240" w:lineRule="auto"/>
        <w:rPr>
          <w:rFonts w:eastAsia="Times New Roman" w:cstheme="minorHAnsi"/>
          <w:bCs/>
          <w:iCs/>
          <w:sz w:val="20"/>
          <w:szCs w:val="20"/>
          <w:lang w:val="en-GB"/>
        </w:rPr>
      </w:pPr>
      <w:r w:rsidRPr="00330583">
        <w:rPr>
          <w:rFonts w:eastAsia="Times New Roman" w:cstheme="minorHAnsi"/>
          <w:bCs/>
          <w:iCs/>
          <w:sz w:val="20"/>
          <w:szCs w:val="20"/>
          <w:lang w:val="en-GB"/>
        </w:rPr>
        <w:t>Only those te</w:t>
      </w:r>
      <w:r w:rsidR="00417820" w:rsidRPr="00330583">
        <w:rPr>
          <w:rFonts w:eastAsia="Times New Roman" w:cstheme="minorHAnsi"/>
          <w:bCs/>
          <w:iCs/>
          <w:sz w:val="20"/>
          <w:szCs w:val="20"/>
          <w:lang w:val="en-GB"/>
        </w:rPr>
        <w:t xml:space="preserve">nderers who are registered with </w:t>
      </w:r>
      <w:r w:rsidRPr="00330583">
        <w:rPr>
          <w:rFonts w:eastAsia="Times New Roman" w:cstheme="minorHAnsi"/>
          <w:bCs/>
          <w:iCs/>
          <w:sz w:val="20"/>
          <w:szCs w:val="20"/>
          <w:lang w:val="en-GB"/>
        </w:rPr>
        <w:t>the</w:t>
      </w:r>
      <w:r w:rsidR="00077C93" w:rsidRPr="00330583">
        <w:rPr>
          <w:rFonts w:eastAsia="Times New Roman" w:cstheme="minorHAnsi"/>
          <w:bCs/>
          <w:iCs/>
          <w:sz w:val="20"/>
          <w:szCs w:val="20"/>
          <w:lang w:val="en-GB"/>
        </w:rPr>
        <w:t xml:space="preserve"> above CIDB </w:t>
      </w:r>
      <w:r w:rsidRPr="00330583">
        <w:rPr>
          <w:rFonts w:eastAsia="Times New Roman" w:cstheme="minorHAnsi"/>
          <w:bCs/>
          <w:iCs/>
          <w:sz w:val="20"/>
          <w:szCs w:val="20"/>
          <w:lang w:val="en-GB"/>
        </w:rPr>
        <w:t xml:space="preserve">are eligible to tender. </w:t>
      </w:r>
    </w:p>
    <w:p w:rsidR="000C0A9E" w:rsidRPr="00330583" w:rsidRDefault="000C0A9E" w:rsidP="000C0A9E">
      <w:pPr>
        <w:spacing w:after="0" w:line="240" w:lineRule="auto"/>
        <w:rPr>
          <w:rFonts w:eastAsia="Times New Roman" w:cstheme="minorHAnsi"/>
          <w:bCs/>
          <w:iCs/>
          <w:sz w:val="20"/>
          <w:szCs w:val="20"/>
          <w:lang w:val="en-GB"/>
        </w:rPr>
      </w:pPr>
      <w:r w:rsidRPr="00330583">
        <w:rPr>
          <w:rFonts w:eastAsia="Times New Roman" w:cstheme="minorHAnsi"/>
          <w:bCs/>
          <w:iCs/>
          <w:sz w:val="20"/>
          <w:szCs w:val="20"/>
          <w:lang w:val="en-GB"/>
        </w:rPr>
        <w:t>Stage 1: Test for responsiveness and eligibility Criteria (Compliance, responsiveness to the bid rules and conditions, thereafter (if applicable).</w:t>
      </w:r>
    </w:p>
    <w:p w:rsidR="000C0A9E" w:rsidRPr="00330583" w:rsidRDefault="000C0A9E" w:rsidP="000C0A9E">
      <w:pPr>
        <w:spacing w:after="0" w:line="240" w:lineRule="auto"/>
        <w:rPr>
          <w:rFonts w:eastAsia="Times New Roman" w:cstheme="minorHAnsi"/>
          <w:bCs/>
          <w:iCs/>
          <w:sz w:val="20"/>
          <w:szCs w:val="20"/>
          <w:lang w:val="en-GB"/>
        </w:rPr>
      </w:pPr>
      <w:r w:rsidRPr="00330583">
        <w:rPr>
          <w:rFonts w:eastAsia="Times New Roman" w:cstheme="minorHAnsi"/>
          <w:bCs/>
          <w:iCs/>
          <w:sz w:val="20"/>
          <w:szCs w:val="20"/>
          <w:lang w:val="en-GB"/>
        </w:rPr>
        <w:t>Stage 2: of Evaluation – Quality</w:t>
      </w:r>
    </w:p>
    <w:p w:rsidR="000C0A9E" w:rsidRPr="00330583" w:rsidRDefault="000C0A9E" w:rsidP="000C0A9E">
      <w:pPr>
        <w:spacing w:after="0" w:line="240" w:lineRule="auto"/>
        <w:rPr>
          <w:rFonts w:eastAsia="Times New Roman" w:cstheme="minorHAnsi"/>
          <w:bCs/>
          <w:iCs/>
          <w:sz w:val="20"/>
          <w:szCs w:val="20"/>
          <w:lang w:val="en-GB"/>
        </w:rPr>
      </w:pPr>
      <w:r w:rsidRPr="00330583">
        <w:rPr>
          <w:rFonts w:eastAsia="Times New Roman" w:cstheme="minorHAnsi"/>
          <w:bCs/>
          <w:iCs/>
          <w:sz w:val="20"/>
          <w:szCs w:val="20"/>
          <w:lang w:val="en-GB"/>
        </w:rPr>
        <w:t xml:space="preserve">Stage 3: Price and Preference </w:t>
      </w:r>
    </w:p>
    <w:p w:rsidR="000C0A9E" w:rsidRPr="00330583" w:rsidRDefault="000C0A9E" w:rsidP="000C0A9E">
      <w:pPr>
        <w:spacing w:after="0" w:line="240" w:lineRule="auto"/>
        <w:rPr>
          <w:rFonts w:eastAsia="Times New Roman" w:cstheme="minorHAnsi"/>
          <w:bCs/>
          <w:iCs/>
          <w:sz w:val="20"/>
          <w:szCs w:val="20"/>
          <w:lang w:val="en-GB"/>
        </w:rPr>
      </w:pPr>
    </w:p>
    <w:p w:rsidR="000C0A9E" w:rsidRPr="00330583" w:rsidRDefault="000C0A9E" w:rsidP="000C0A9E">
      <w:pPr>
        <w:spacing w:after="0" w:line="240" w:lineRule="auto"/>
        <w:rPr>
          <w:rFonts w:eastAsia="Times New Roman" w:cstheme="minorHAnsi"/>
          <w:bCs/>
          <w:iCs/>
          <w:sz w:val="20"/>
          <w:szCs w:val="20"/>
          <w:lang w:val="en-GB"/>
        </w:rPr>
      </w:pPr>
      <w:r w:rsidRPr="00330583">
        <w:rPr>
          <w:rFonts w:eastAsia="Times New Roman" w:cstheme="minorHAnsi"/>
          <w:bCs/>
          <w:iCs/>
          <w:sz w:val="20"/>
          <w:szCs w:val="20"/>
          <w:lang w:val="en-GB"/>
        </w:rPr>
        <w:t xml:space="preserve">PREFERENTIAL PROCUREMENT POLICY FRAMEWORK ACT (PPPFA) POINTS WILL BE AWARDED AS FOLLOWS: </w:t>
      </w:r>
    </w:p>
    <w:p w:rsidR="000C0A9E" w:rsidRPr="00330583" w:rsidRDefault="000C0A9E" w:rsidP="000C0A9E">
      <w:pPr>
        <w:spacing w:after="0" w:line="240" w:lineRule="auto"/>
        <w:rPr>
          <w:rFonts w:eastAsia="Times New Roman" w:cstheme="minorHAnsi"/>
          <w:bCs/>
          <w:iCs/>
          <w:sz w:val="20"/>
          <w:szCs w:val="20"/>
          <w:lang w:val="en-GB"/>
        </w:rPr>
      </w:pPr>
      <w:r w:rsidRPr="00330583">
        <w:rPr>
          <w:rFonts w:eastAsia="Times New Roman" w:cstheme="minorHAnsi"/>
          <w:bCs/>
          <w:iCs/>
          <w:sz w:val="20"/>
          <w:szCs w:val="20"/>
          <w:lang w:val="en-GB"/>
        </w:rPr>
        <w:t xml:space="preserve">Maximum points on price                       -   80 points </w:t>
      </w:r>
    </w:p>
    <w:p w:rsidR="000C0A9E" w:rsidRPr="00330583" w:rsidRDefault="000C0A9E" w:rsidP="000C0A9E">
      <w:pPr>
        <w:spacing w:after="0" w:line="240" w:lineRule="auto"/>
        <w:rPr>
          <w:rFonts w:eastAsia="Times New Roman" w:cstheme="minorHAnsi"/>
          <w:bCs/>
          <w:iCs/>
          <w:sz w:val="20"/>
          <w:szCs w:val="20"/>
          <w:lang w:val="en-GB"/>
        </w:rPr>
      </w:pPr>
      <w:r w:rsidRPr="00330583">
        <w:rPr>
          <w:rFonts w:eastAsia="Times New Roman" w:cstheme="minorHAnsi"/>
          <w:bCs/>
          <w:iCs/>
          <w:sz w:val="20"/>
          <w:szCs w:val="20"/>
          <w:lang w:val="en-GB"/>
        </w:rPr>
        <w:t xml:space="preserve">Maximum points for Specific Goals       -   20 points </w:t>
      </w:r>
    </w:p>
    <w:p w:rsidR="000C0A9E" w:rsidRPr="00330583" w:rsidRDefault="000C0A9E" w:rsidP="000C0A9E">
      <w:pPr>
        <w:spacing w:after="0" w:line="240" w:lineRule="auto"/>
        <w:rPr>
          <w:rFonts w:eastAsia="Times New Roman" w:cstheme="minorHAnsi"/>
          <w:bCs/>
          <w:iCs/>
          <w:sz w:val="20"/>
          <w:szCs w:val="20"/>
          <w:lang w:val="en-GB"/>
        </w:rPr>
      </w:pPr>
      <w:r w:rsidRPr="00330583">
        <w:rPr>
          <w:rFonts w:eastAsia="Times New Roman" w:cstheme="minorHAnsi"/>
          <w:bCs/>
          <w:iCs/>
          <w:sz w:val="20"/>
          <w:szCs w:val="20"/>
          <w:lang w:val="en-GB"/>
        </w:rPr>
        <w:t xml:space="preserve">Maximum points                                  </w:t>
      </w:r>
      <w:r w:rsidR="00AF1139" w:rsidRPr="00330583">
        <w:rPr>
          <w:rFonts w:eastAsia="Times New Roman" w:cstheme="minorHAnsi"/>
          <w:bCs/>
          <w:iCs/>
          <w:sz w:val="20"/>
          <w:szCs w:val="20"/>
          <w:lang w:val="en-GB"/>
        </w:rPr>
        <w:t xml:space="preserve">   </w:t>
      </w:r>
      <w:r w:rsidRPr="00330583">
        <w:rPr>
          <w:rFonts w:eastAsia="Times New Roman" w:cstheme="minorHAnsi"/>
          <w:bCs/>
          <w:iCs/>
          <w:sz w:val="20"/>
          <w:szCs w:val="20"/>
          <w:lang w:val="en-GB"/>
        </w:rPr>
        <w:t xml:space="preserve">  -   100 points</w:t>
      </w:r>
    </w:p>
    <w:p w:rsidR="000C0A9E" w:rsidRPr="00330583" w:rsidRDefault="000C0A9E" w:rsidP="000C0A9E">
      <w:pPr>
        <w:spacing w:after="0" w:line="240" w:lineRule="auto"/>
        <w:rPr>
          <w:rFonts w:eastAsia="Times New Roman" w:cstheme="minorHAnsi"/>
          <w:bCs/>
          <w:iCs/>
          <w:sz w:val="20"/>
          <w:szCs w:val="20"/>
          <w:lang w:val="en-GB"/>
        </w:rPr>
      </w:pPr>
    </w:p>
    <w:p w:rsidR="000C0A9E" w:rsidRPr="00330583" w:rsidRDefault="000C0A9E" w:rsidP="000C0A9E">
      <w:pPr>
        <w:spacing w:after="0" w:line="240" w:lineRule="auto"/>
        <w:rPr>
          <w:rFonts w:eastAsia="Times New Roman" w:cstheme="minorHAnsi"/>
          <w:bCs/>
          <w:iCs/>
          <w:sz w:val="20"/>
          <w:szCs w:val="20"/>
          <w:lang w:val="en-GB"/>
        </w:rPr>
      </w:pPr>
      <w:r w:rsidRPr="00330583">
        <w:rPr>
          <w:rFonts w:eastAsia="Times New Roman" w:cstheme="minorHAnsi"/>
          <w:bCs/>
          <w:iCs/>
          <w:sz w:val="20"/>
          <w:szCs w:val="20"/>
          <w:lang w:val="en-GB"/>
        </w:rPr>
        <w:t>NB: Specifications on evaluation criteria will be made available on municipal website and e-tender portal for bidders to test whether they qualify or not. However, it must be noted that the tender document to be submitted as the final offer will be sold as Paragraph 8 of this tender notice and invitation to tender under Purchasing and S</w:t>
      </w:r>
      <w:r w:rsidR="00EC1748" w:rsidRPr="00330583">
        <w:rPr>
          <w:rFonts w:eastAsia="Times New Roman" w:cstheme="minorHAnsi"/>
          <w:bCs/>
          <w:iCs/>
          <w:sz w:val="20"/>
          <w:szCs w:val="20"/>
          <w:lang w:val="en-GB"/>
        </w:rPr>
        <w:t>ubmission of Tender Documents and</w:t>
      </w:r>
      <w:r w:rsidRPr="00330583">
        <w:rPr>
          <w:rFonts w:eastAsia="Times New Roman" w:cstheme="minorHAnsi"/>
          <w:bCs/>
          <w:iCs/>
          <w:sz w:val="20"/>
          <w:szCs w:val="20"/>
          <w:lang w:val="en-GB"/>
        </w:rPr>
        <w:t xml:space="preserve"> ELM website: www.elundini.gov.za  </w:t>
      </w:r>
    </w:p>
    <w:p w:rsidR="00EC1748" w:rsidRPr="00330583" w:rsidRDefault="00EC1748" w:rsidP="000C0A9E">
      <w:pPr>
        <w:spacing w:after="0" w:line="240" w:lineRule="auto"/>
        <w:rPr>
          <w:rFonts w:eastAsia="Times New Roman" w:cstheme="minorHAnsi"/>
          <w:bCs/>
          <w:iCs/>
          <w:sz w:val="20"/>
          <w:szCs w:val="20"/>
          <w:lang w:val="en-GB"/>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62" w:type="dxa"/>
          <w:bottom w:w="23" w:type="dxa"/>
          <w:right w:w="62" w:type="dxa"/>
        </w:tblCellMar>
        <w:tblLook w:val="0000" w:firstRow="0" w:lastRow="0" w:firstColumn="0" w:lastColumn="0" w:noHBand="0" w:noVBand="0"/>
      </w:tblPr>
      <w:tblGrid>
        <w:gridCol w:w="3539"/>
        <w:gridCol w:w="3686"/>
        <w:gridCol w:w="2835"/>
      </w:tblGrid>
      <w:tr w:rsidR="00AF1139" w:rsidRPr="00330583" w:rsidTr="00330583">
        <w:tc>
          <w:tcPr>
            <w:tcW w:w="3539" w:type="dxa"/>
            <w:shd w:val="clear" w:color="auto" w:fill="auto"/>
          </w:tcPr>
          <w:p w:rsidR="00AF1139" w:rsidRPr="00330583" w:rsidRDefault="00AF1139" w:rsidP="00EC1748">
            <w:pPr>
              <w:tabs>
                <w:tab w:val="left" w:pos="357"/>
                <w:tab w:val="left" w:pos="6600"/>
              </w:tabs>
              <w:spacing w:after="0" w:line="240" w:lineRule="auto"/>
              <w:jc w:val="both"/>
              <w:rPr>
                <w:rFonts w:eastAsia="Times New Roman" w:cstheme="minorHAnsi"/>
                <w:b/>
                <w:sz w:val="20"/>
                <w:szCs w:val="20"/>
                <w:lang w:val="en-GB"/>
              </w:rPr>
            </w:pPr>
            <w:r w:rsidRPr="00330583">
              <w:rPr>
                <w:rFonts w:eastAsia="Times New Roman" w:cstheme="minorHAnsi"/>
                <w:b/>
                <w:sz w:val="20"/>
                <w:szCs w:val="20"/>
                <w:lang w:val="en-GB"/>
              </w:rPr>
              <w:t>Quality criteria</w:t>
            </w:r>
          </w:p>
        </w:tc>
        <w:tc>
          <w:tcPr>
            <w:tcW w:w="3686" w:type="dxa"/>
            <w:shd w:val="clear" w:color="auto" w:fill="auto"/>
          </w:tcPr>
          <w:p w:rsidR="00AF1139" w:rsidRPr="00330583" w:rsidRDefault="00AF1139" w:rsidP="00EC1748">
            <w:pPr>
              <w:tabs>
                <w:tab w:val="left" w:pos="357"/>
              </w:tabs>
              <w:spacing w:after="0" w:line="240" w:lineRule="auto"/>
              <w:jc w:val="both"/>
              <w:rPr>
                <w:rFonts w:eastAsia="Times New Roman" w:cstheme="minorHAnsi"/>
                <w:b/>
                <w:bCs/>
                <w:sz w:val="20"/>
                <w:szCs w:val="20"/>
                <w:lang w:val="en-GB"/>
              </w:rPr>
            </w:pPr>
            <w:r w:rsidRPr="00330583">
              <w:rPr>
                <w:rFonts w:eastAsia="Times New Roman" w:cstheme="minorHAnsi"/>
                <w:b/>
                <w:bCs/>
                <w:sz w:val="20"/>
                <w:szCs w:val="20"/>
                <w:lang w:val="en-GB"/>
              </w:rPr>
              <w:t>Maximum number of points:                              ELM-3/010/2022</w:t>
            </w:r>
          </w:p>
        </w:tc>
        <w:tc>
          <w:tcPr>
            <w:tcW w:w="2835" w:type="dxa"/>
            <w:shd w:val="clear" w:color="auto" w:fill="auto"/>
          </w:tcPr>
          <w:p w:rsidR="00AF1139" w:rsidRPr="00330583" w:rsidRDefault="00AF1139" w:rsidP="00EC1748">
            <w:pPr>
              <w:tabs>
                <w:tab w:val="left" w:pos="357"/>
              </w:tabs>
              <w:spacing w:after="0" w:line="240" w:lineRule="auto"/>
              <w:jc w:val="both"/>
              <w:rPr>
                <w:rFonts w:eastAsia="Times New Roman" w:cstheme="minorHAnsi"/>
                <w:b/>
                <w:bCs/>
                <w:sz w:val="20"/>
                <w:szCs w:val="20"/>
                <w:lang w:val="en-GB"/>
              </w:rPr>
            </w:pPr>
            <w:r w:rsidRPr="00330583">
              <w:rPr>
                <w:rFonts w:eastAsia="Times New Roman" w:cstheme="minorHAnsi"/>
                <w:b/>
                <w:bCs/>
                <w:sz w:val="20"/>
                <w:szCs w:val="20"/>
                <w:lang w:val="en-GB"/>
              </w:rPr>
              <w:t>Maximum number of points:                                 ELM-3/011/2023-2024</w:t>
            </w:r>
          </w:p>
        </w:tc>
      </w:tr>
      <w:tr w:rsidR="00AF1139" w:rsidRPr="00330583" w:rsidTr="00330583">
        <w:trPr>
          <w:trHeight w:val="308"/>
        </w:trPr>
        <w:tc>
          <w:tcPr>
            <w:tcW w:w="3539" w:type="dxa"/>
            <w:shd w:val="clear" w:color="auto" w:fill="auto"/>
          </w:tcPr>
          <w:p w:rsidR="00AF1139" w:rsidRPr="00330583" w:rsidRDefault="00AF1139" w:rsidP="00EC1748">
            <w:pPr>
              <w:tabs>
                <w:tab w:val="left" w:pos="357"/>
                <w:tab w:val="left" w:pos="6600"/>
              </w:tabs>
              <w:spacing w:after="0" w:line="240" w:lineRule="auto"/>
              <w:jc w:val="both"/>
              <w:rPr>
                <w:rFonts w:eastAsia="Times New Roman" w:cstheme="minorHAnsi"/>
                <w:sz w:val="20"/>
                <w:szCs w:val="20"/>
                <w:lang w:val="en-GB"/>
              </w:rPr>
            </w:pPr>
            <w:r w:rsidRPr="00330583">
              <w:rPr>
                <w:rFonts w:eastAsia="Times New Roman" w:cstheme="minorHAnsi"/>
                <w:sz w:val="20"/>
                <w:szCs w:val="20"/>
                <w:lang w:val="en-GB"/>
              </w:rPr>
              <w:t>Experience of the tenderer in related scope of works</w:t>
            </w:r>
          </w:p>
        </w:tc>
        <w:tc>
          <w:tcPr>
            <w:tcW w:w="3686" w:type="dxa"/>
            <w:shd w:val="clear" w:color="auto" w:fill="auto"/>
          </w:tcPr>
          <w:p w:rsidR="00AF1139" w:rsidRPr="00330583" w:rsidRDefault="00AF1139" w:rsidP="00AF1139">
            <w:pPr>
              <w:tabs>
                <w:tab w:val="left" w:pos="357"/>
                <w:tab w:val="left" w:pos="6600"/>
              </w:tabs>
              <w:spacing w:after="0" w:line="240" w:lineRule="auto"/>
              <w:jc w:val="center"/>
              <w:rPr>
                <w:rFonts w:eastAsia="Times New Roman" w:cstheme="minorHAnsi"/>
                <w:sz w:val="20"/>
                <w:szCs w:val="20"/>
                <w:lang w:val="en-GB"/>
              </w:rPr>
            </w:pPr>
            <w:r w:rsidRPr="00330583">
              <w:rPr>
                <w:rFonts w:eastAsia="Times New Roman" w:cstheme="minorHAnsi"/>
                <w:sz w:val="20"/>
                <w:szCs w:val="20"/>
                <w:lang w:val="en-GB"/>
              </w:rPr>
              <w:t>20</w:t>
            </w:r>
          </w:p>
        </w:tc>
        <w:tc>
          <w:tcPr>
            <w:tcW w:w="2835" w:type="dxa"/>
            <w:shd w:val="clear" w:color="auto" w:fill="auto"/>
          </w:tcPr>
          <w:p w:rsidR="00AF1139" w:rsidRPr="00330583" w:rsidRDefault="00AF1139" w:rsidP="00AF1139">
            <w:pPr>
              <w:tabs>
                <w:tab w:val="left" w:pos="357"/>
                <w:tab w:val="left" w:pos="6600"/>
              </w:tabs>
              <w:spacing w:after="0" w:line="240" w:lineRule="auto"/>
              <w:jc w:val="center"/>
              <w:rPr>
                <w:rFonts w:eastAsia="Times New Roman" w:cstheme="minorHAnsi"/>
                <w:sz w:val="20"/>
                <w:szCs w:val="20"/>
                <w:lang w:val="en-GB"/>
              </w:rPr>
            </w:pPr>
            <w:r w:rsidRPr="00330583">
              <w:rPr>
                <w:rFonts w:eastAsia="Times New Roman" w:cstheme="minorHAnsi"/>
                <w:sz w:val="20"/>
                <w:szCs w:val="20"/>
                <w:lang w:val="en-GB"/>
              </w:rPr>
              <w:t>30</w:t>
            </w:r>
          </w:p>
        </w:tc>
      </w:tr>
      <w:tr w:rsidR="00AF1139" w:rsidRPr="00330583" w:rsidTr="00330583">
        <w:trPr>
          <w:trHeight w:val="276"/>
        </w:trPr>
        <w:tc>
          <w:tcPr>
            <w:tcW w:w="3539" w:type="dxa"/>
            <w:shd w:val="clear" w:color="auto" w:fill="FFFFFF"/>
          </w:tcPr>
          <w:p w:rsidR="00AF1139" w:rsidRPr="00330583" w:rsidRDefault="00AF1139" w:rsidP="00EC1748">
            <w:pPr>
              <w:tabs>
                <w:tab w:val="left" w:pos="357"/>
                <w:tab w:val="left" w:pos="6600"/>
              </w:tabs>
              <w:spacing w:after="0" w:line="240" w:lineRule="auto"/>
              <w:jc w:val="both"/>
              <w:rPr>
                <w:rFonts w:eastAsia="Times New Roman" w:cstheme="minorHAnsi"/>
                <w:sz w:val="20"/>
                <w:szCs w:val="20"/>
                <w:lang w:val="en-GB"/>
              </w:rPr>
            </w:pPr>
            <w:r w:rsidRPr="00330583">
              <w:rPr>
                <w:rFonts w:eastAsia="Times New Roman" w:cstheme="minorHAnsi"/>
                <w:sz w:val="20"/>
                <w:szCs w:val="20"/>
                <w:lang w:val="en-GB"/>
              </w:rPr>
              <w:t>Key Persons</w:t>
            </w:r>
          </w:p>
        </w:tc>
        <w:tc>
          <w:tcPr>
            <w:tcW w:w="3686" w:type="dxa"/>
            <w:shd w:val="clear" w:color="auto" w:fill="auto"/>
          </w:tcPr>
          <w:p w:rsidR="00AF1139" w:rsidRPr="00330583" w:rsidRDefault="00AF1139" w:rsidP="00AF1139">
            <w:pPr>
              <w:tabs>
                <w:tab w:val="left" w:pos="357"/>
                <w:tab w:val="center" w:pos="2135"/>
                <w:tab w:val="left" w:pos="6600"/>
              </w:tabs>
              <w:spacing w:after="0" w:line="240" w:lineRule="auto"/>
              <w:jc w:val="center"/>
              <w:rPr>
                <w:rFonts w:eastAsia="Times New Roman" w:cstheme="minorHAnsi"/>
                <w:sz w:val="20"/>
                <w:szCs w:val="20"/>
                <w:lang w:val="en-GB"/>
              </w:rPr>
            </w:pPr>
            <w:r w:rsidRPr="00330583">
              <w:rPr>
                <w:rFonts w:eastAsia="Times New Roman" w:cstheme="minorHAnsi"/>
                <w:sz w:val="20"/>
                <w:szCs w:val="20"/>
                <w:lang w:val="en-GB"/>
              </w:rPr>
              <w:t>65</w:t>
            </w:r>
          </w:p>
        </w:tc>
        <w:tc>
          <w:tcPr>
            <w:tcW w:w="2835" w:type="dxa"/>
            <w:shd w:val="clear" w:color="auto" w:fill="auto"/>
          </w:tcPr>
          <w:p w:rsidR="00AF1139" w:rsidRPr="00330583" w:rsidRDefault="00AF1139" w:rsidP="00AF1139">
            <w:pPr>
              <w:tabs>
                <w:tab w:val="left" w:pos="357"/>
                <w:tab w:val="center" w:pos="2135"/>
                <w:tab w:val="left" w:pos="6600"/>
              </w:tabs>
              <w:spacing w:after="0" w:line="240" w:lineRule="auto"/>
              <w:jc w:val="center"/>
              <w:rPr>
                <w:rFonts w:eastAsia="Times New Roman" w:cstheme="minorHAnsi"/>
                <w:sz w:val="20"/>
                <w:szCs w:val="20"/>
                <w:lang w:val="en-GB"/>
              </w:rPr>
            </w:pPr>
            <w:r w:rsidRPr="00330583">
              <w:rPr>
                <w:rFonts w:eastAsia="Times New Roman" w:cstheme="minorHAnsi"/>
                <w:sz w:val="20"/>
                <w:szCs w:val="20"/>
                <w:lang w:val="en-GB"/>
              </w:rPr>
              <w:t>40</w:t>
            </w:r>
          </w:p>
        </w:tc>
      </w:tr>
      <w:tr w:rsidR="00AF1139" w:rsidRPr="00330583" w:rsidTr="00330583">
        <w:tc>
          <w:tcPr>
            <w:tcW w:w="3539" w:type="dxa"/>
            <w:shd w:val="clear" w:color="auto" w:fill="auto"/>
          </w:tcPr>
          <w:p w:rsidR="00AF1139" w:rsidRPr="00330583" w:rsidRDefault="00AF1139" w:rsidP="00EC1748">
            <w:pPr>
              <w:tabs>
                <w:tab w:val="left" w:pos="357"/>
                <w:tab w:val="left" w:pos="6600"/>
              </w:tabs>
              <w:spacing w:after="0" w:line="240" w:lineRule="auto"/>
              <w:jc w:val="both"/>
              <w:rPr>
                <w:rFonts w:eastAsia="Times New Roman" w:cstheme="minorHAnsi"/>
                <w:sz w:val="20"/>
                <w:szCs w:val="20"/>
                <w:lang w:val="en-GB"/>
              </w:rPr>
            </w:pPr>
            <w:r w:rsidRPr="00330583">
              <w:rPr>
                <w:rFonts w:eastAsia="Times New Roman" w:cstheme="minorHAnsi"/>
                <w:sz w:val="20"/>
                <w:szCs w:val="20"/>
                <w:lang w:val="en-GB"/>
              </w:rPr>
              <w:t>Approach paper</w:t>
            </w:r>
          </w:p>
        </w:tc>
        <w:tc>
          <w:tcPr>
            <w:tcW w:w="3686" w:type="dxa"/>
            <w:shd w:val="clear" w:color="auto" w:fill="auto"/>
          </w:tcPr>
          <w:p w:rsidR="00AF1139" w:rsidRPr="00330583" w:rsidRDefault="00AF1139" w:rsidP="00AF1139">
            <w:pPr>
              <w:tabs>
                <w:tab w:val="left" w:pos="357"/>
                <w:tab w:val="left" w:pos="6600"/>
              </w:tabs>
              <w:spacing w:after="0" w:line="240" w:lineRule="auto"/>
              <w:jc w:val="center"/>
              <w:rPr>
                <w:rFonts w:eastAsia="Times New Roman" w:cstheme="minorHAnsi"/>
                <w:sz w:val="20"/>
                <w:szCs w:val="20"/>
                <w:lang w:val="en-GB"/>
              </w:rPr>
            </w:pPr>
            <w:r w:rsidRPr="00330583">
              <w:rPr>
                <w:rFonts w:eastAsia="Times New Roman" w:cstheme="minorHAnsi"/>
                <w:sz w:val="20"/>
                <w:szCs w:val="20"/>
                <w:lang w:val="en-GB"/>
              </w:rPr>
              <w:t>15</w:t>
            </w:r>
          </w:p>
        </w:tc>
        <w:tc>
          <w:tcPr>
            <w:tcW w:w="2835" w:type="dxa"/>
            <w:shd w:val="clear" w:color="auto" w:fill="auto"/>
          </w:tcPr>
          <w:p w:rsidR="00AF1139" w:rsidRPr="00330583" w:rsidRDefault="00AF1139" w:rsidP="00AF1139">
            <w:pPr>
              <w:tabs>
                <w:tab w:val="left" w:pos="357"/>
                <w:tab w:val="left" w:pos="6600"/>
              </w:tabs>
              <w:spacing w:after="0" w:line="240" w:lineRule="auto"/>
              <w:jc w:val="center"/>
              <w:rPr>
                <w:rFonts w:eastAsia="Times New Roman" w:cstheme="minorHAnsi"/>
                <w:sz w:val="20"/>
                <w:szCs w:val="20"/>
                <w:lang w:val="en-GB"/>
              </w:rPr>
            </w:pPr>
            <w:r w:rsidRPr="00330583">
              <w:rPr>
                <w:rFonts w:eastAsia="Times New Roman" w:cstheme="minorHAnsi"/>
                <w:sz w:val="20"/>
                <w:szCs w:val="20"/>
                <w:lang w:val="en-GB"/>
              </w:rPr>
              <w:t>30</w:t>
            </w:r>
          </w:p>
        </w:tc>
      </w:tr>
      <w:tr w:rsidR="00AF1139" w:rsidRPr="00330583" w:rsidTr="00330583">
        <w:tc>
          <w:tcPr>
            <w:tcW w:w="3539" w:type="dxa"/>
            <w:tcBorders>
              <w:bottom w:val="single" w:sz="4" w:space="0" w:color="auto"/>
            </w:tcBorders>
            <w:shd w:val="clear" w:color="auto" w:fill="auto"/>
          </w:tcPr>
          <w:p w:rsidR="00AF1139" w:rsidRPr="00330583" w:rsidRDefault="00AF1139" w:rsidP="00EC1748">
            <w:pPr>
              <w:tabs>
                <w:tab w:val="left" w:pos="357"/>
              </w:tabs>
              <w:spacing w:after="0" w:line="240" w:lineRule="auto"/>
              <w:jc w:val="both"/>
              <w:rPr>
                <w:rFonts w:eastAsia="Times New Roman" w:cstheme="minorHAnsi"/>
                <w:b/>
                <w:sz w:val="20"/>
                <w:szCs w:val="20"/>
                <w:lang w:val="en-GB"/>
              </w:rPr>
            </w:pPr>
            <w:r w:rsidRPr="00330583">
              <w:rPr>
                <w:rFonts w:eastAsia="Times New Roman" w:cstheme="minorHAnsi"/>
                <w:b/>
                <w:sz w:val="20"/>
                <w:szCs w:val="20"/>
                <w:lang w:val="en-GB"/>
              </w:rPr>
              <w:t>Maximum possible score for quality (M</w:t>
            </w:r>
            <w:r w:rsidRPr="00330583">
              <w:rPr>
                <w:rFonts w:eastAsia="Times New Roman" w:cstheme="minorHAnsi"/>
                <w:b/>
                <w:sz w:val="20"/>
                <w:szCs w:val="20"/>
                <w:vertAlign w:val="subscript"/>
                <w:lang w:val="en-GB"/>
              </w:rPr>
              <w:t>s</w:t>
            </w:r>
            <w:r w:rsidRPr="00330583">
              <w:rPr>
                <w:rFonts w:eastAsia="Times New Roman" w:cstheme="minorHAnsi"/>
                <w:b/>
                <w:sz w:val="20"/>
                <w:szCs w:val="20"/>
                <w:lang w:val="en-GB"/>
              </w:rPr>
              <w:t>)</w:t>
            </w:r>
          </w:p>
        </w:tc>
        <w:tc>
          <w:tcPr>
            <w:tcW w:w="3686" w:type="dxa"/>
            <w:tcBorders>
              <w:bottom w:val="single" w:sz="4" w:space="0" w:color="auto"/>
            </w:tcBorders>
            <w:shd w:val="clear" w:color="auto" w:fill="auto"/>
          </w:tcPr>
          <w:p w:rsidR="00AF1139" w:rsidRPr="00330583" w:rsidRDefault="00AF1139" w:rsidP="00AF1139">
            <w:pPr>
              <w:tabs>
                <w:tab w:val="left" w:pos="357"/>
                <w:tab w:val="left" w:pos="6600"/>
              </w:tabs>
              <w:spacing w:after="0" w:line="240" w:lineRule="auto"/>
              <w:jc w:val="center"/>
              <w:rPr>
                <w:rFonts w:eastAsia="Times New Roman" w:cstheme="minorHAnsi"/>
                <w:b/>
                <w:sz w:val="20"/>
                <w:szCs w:val="20"/>
                <w:lang w:val="en-GB"/>
              </w:rPr>
            </w:pPr>
            <w:r w:rsidRPr="00330583">
              <w:rPr>
                <w:rFonts w:eastAsia="Times New Roman" w:cstheme="minorHAnsi"/>
                <w:b/>
                <w:sz w:val="20"/>
                <w:szCs w:val="20"/>
                <w:lang w:val="en-GB"/>
              </w:rPr>
              <w:t>100</w:t>
            </w:r>
          </w:p>
        </w:tc>
        <w:tc>
          <w:tcPr>
            <w:tcW w:w="2835" w:type="dxa"/>
            <w:tcBorders>
              <w:bottom w:val="single" w:sz="4" w:space="0" w:color="auto"/>
            </w:tcBorders>
          </w:tcPr>
          <w:p w:rsidR="00AF1139" w:rsidRPr="00330583" w:rsidRDefault="00AF1139" w:rsidP="00AF1139">
            <w:pPr>
              <w:tabs>
                <w:tab w:val="left" w:pos="357"/>
                <w:tab w:val="left" w:pos="6600"/>
              </w:tabs>
              <w:spacing w:after="0" w:line="240" w:lineRule="auto"/>
              <w:jc w:val="center"/>
              <w:rPr>
                <w:rFonts w:eastAsia="Times New Roman" w:cstheme="minorHAnsi"/>
                <w:b/>
                <w:sz w:val="20"/>
                <w:szCs w:val="20"/>
                <w:lang w:val="en-GB"/>
              </w:rPr>
            </w:pPr>
            <w:r w:rsidRPr="00330583">
              <w:rPr>
                <w:rFonts w:eastAsia="Times New Roman" w:cstheme="minorHAnsi"/>
                <w:b/>
                <w:sz w:val="20"/>
                <w:szCs w:val="20"/>
                <w:lang w:val="en-GB"/>
              </w:rPr>
              <w:t>100</w:t>
            </w:r>
          </w:p>
        </w:tc>
      </w:tr>
    </w:tbl>
    <w:p w:rsidR="0085591B" w:rsidRPr="00330583" w:rsidRDefault="0085591B" w:rsidP="00C065AF">
      <w:pPr>
        <w:spacing w:after="0" w:line="240" w:lineRule="auto"/>
        <w:rPr>
          <w:rFonts w:eastAsia="Times New Roman" w:cstheme="minorHAnsi"/>
          <w:bCs/>
          <w:iCs/>
          <w:sz w:val="20"/>
          <w:szCs w:val="20"/>
          <w:lang w:val="en-GB"/>
        </w:rPr>
      </w:pPr>
    </w:p>
    <w:p w:rsidR="00C065AF" w:rsidRPr="00330583" w:rsidRDefault="00C065AF" w:rsidP="00C065AF">
      <w:pPr>
        <w:spacing w:after="0" w:line="240" w:lineRule="auto"/>
        <w:rPr>
          <w:rFonts w:eastAsia="Times New Roman" w:cstheme="minorHAnsi"/>
          <w:bCs/>
          <w:iCs/>
          <w:sz w:val="20"/>
          <w:szCs w:val="20"/>
          <w:lang w:val="en-GB"/>
        </w:rPr>
      </w:pPr>
      <w:r w:rsidRPr="00330583">
        <w:rPr>
          <w:rFonts w:eastAsia="Times New Roman" w:cstheme="minorHAnsi"/>
          <w:bCs/>
          <w:iCs/>
          <w:sz w:val="20"/>
          <w:szCs w:val="20"/>
          <w:lang w:val="en-GB"/>
        </w:rPr>
        <w:t>The minimum number of evaluation points for quality will be 70 points</w:t>
      </w:r>
    </w:p>
    <w:p w:rsidR="00C065AF" w:rsidRPr="00330583" w:rsidRDefault="00C065AF" w:rsidP="00C065AF">
      <w:pPr>
        <w:spacing w:after="0" w:line="240" w:lineRule="auto"/>
        <w:rPr>
          <w:rFonts w:eastAsia="Times New Roman" w:cstheme="minorHAnsi"/>
          <w:bCs/>
          <w:iCs/>
          <w:sz w:val="20"/>
          <w:szCs w:val="20"/>
          <w:lang w:val="en-GB"/>
        </w:rPr>
      </w:pPr>
      <w:r w:rsidRPr="00330583">
        <w:rPr>
          <w:rFonts w:eastAsia="Times New Roman" w:cstheme="minorHAnsi"/>
          <w:bCs/>
          <w:iCs/>
          <w:sz w:val="20"/>
          <w:szCs w:val="20"/>
          <w:lang w:val="en-GB"/>
        </w:rPr>
        <w:t>The provisions of Preferential Procurement Regulations 2022 will apply.</w:t>
      </w:r>
    </w:p>
    <w:p w:rsidR="000C0A9E" w:rsidRPr="00330583" w:rsidRDefault="00C065AF" w:rsidP="00C065AF">
      <w:pPr>
        <w:spacing w:after="0" w:line="240" w:lineRule="auto"/>
        <w:rPr>
          <w:rFonts w:eastAsia="Times New Roman" w:cstheme="minorHAnsi"/>
          <w:bCs/>
          <w:iCs/>
          <w:sz w:val="20"/>
          <w:szCs w:val="20"/>
          <w:lang w:val="en-GB"/>
        </w:rPr>
      </w:pPr>
      <w:r w:rsidRPr="00330583">
        <w:rPr>
          <w:rFonts w:eastAsia="Times New Roman" w:cstheme="minorHAnsi"/>
          <w:bCs/>
          <w:iCs/>
          <w:sz w:val="20"/>
          <w:szCs w:val="20"/>
          <w:lang w:val="en-GB"/>
        </w:rPr>
        <w:t>The procedure for the evaluation of the responsive tenders will be Method 4</w:t>
      </w:r>
    </w:p>
    <w:p w:rsidR="000C0A9E" w:rsidRPr="00330583" w:rsidRDefault="000C0A9E" w:rsidP="000C0A9E">
      <w:pPr>
        <w:spacing w:after="0" w:line="240" w:lineRule="auto"/>
        <w:rPr>
          <w:rFonts w:eastAsia="Times New Roman" w:cstheme="minorHAnsi"/>
          <w:sz w:val="20"/>
          <w:szCs w:val="20"/>
          <w:lang w:val="en-GB"/>
        </w:rPr>
      </w:pPr>
    </w:p>
    <w:p w:rsidR="00EA2403" w:rsidRPr="00330583" w:rsidRDefault="00C065AF" w:rsidP="00C065AF">
      <w:pPr>
        <w:tabs>
          <w:tab w:val="right" w:leader="dot" w:pos="2552"/>
        </w:tabs>
        <w:rPr>
          <w:rFonts w:eastAsia="Times New Roman" w:cstheme="minorHAnsi"/>
          <w:bCs/>
          <w:iCs/>
          <w:sz w:val="20"/>
          <w:szCs w:val="20"/>
        </w:rPr>
      </w:pPr>
      <w:r w:rsidRPr="00330583">
        <w:rPr>
          <w:rFonts w:eastAsia="Times New Roman" w:cstheme="minorHAnsi"/>
          <w:bCs/>
          <w:iCs/>
          <w:sz w:val="20"/>
          <w:szCs w:val="20"/>
        </w:rPr>
        <w:t xml:space="preserve">Note to tenderers: The tenderer must </w:t>
      </w:r>
      <w:r w:rsidR="00B851FC" w:rsidRPr="00330583">
        <w:rPr>
          <w:rFonts w:eastAsia="Times New Roman" w:cstheme="minorHAnsi"/>
          <w:bCs/>
          <w:iCs/>
          <w:sz w:val="20"/>
          <w:szCs w:val="20"/>
        </w:rPr>
        <w:t xml:space="preserve">attach proof for validating points </w:t>
      </w:r>
      <w:r w:rsidR="00025E12" w:rsidRPr="00330583">
        <w:rPr>
          <w:rFonts w:eastAsia="Times New Roman" w:cstheme="minorHAnsi"/>
          <w:bCs/>
          <w:iCs/>
          <w:sz w:val="20"/>
          <w:szCs w:val="20"/>
        </w:rPr>
        <w:t xml:space="preserve">for each preference point system </w:t>
      </w:r>
      <w:r w:rsidR="00B851FC" w:rsidRPr="00330583">
        <w:rPr>
          <w:rFonts w:eastAsia="Times New Roman" w:cstheme="minorHAnsi"/>
          <w:bCs/>
          <w:iCs/>
          <w:sz w:val="20"/>
          <w:szCs w:val="20"/>
        </w:rPr>
        <w:t>indicated</w:t>
      </w:r>
      <w:r w:rsidR="00025E12" w:rsidRPr="00330583">
        <w:rPr>
          <w:rFonts w:eastAsia="Times New Roman" w:cstheme="minorHAnsi"/>
          <w:bCs/>
          <w:iCs/>
          <w:sz w:val="20"/>
          <w:szCs w:val="20"/>
        </w:rPr>
        <w:t xml:space="preserve"> below</w:t>
      </w:r>
      <w:r w:rsidRPr="00330583">
        <w:rPr>
          <w:rFonts w:eastAsia="Times New Roman" w:cstheme="minorHAnsi"/>
          <w:bCs/>
          <w:iCs/>
          <w:sz w:val="20"/>
          <w:szCs w:val="20"/>
        </w:rPr>
        <w:t>.</w:t>
      </w:r>
    </w:p>
    <w:p w:rsidR="00C065AF" w:rsidRPr="00330583" w:rsidRDefault="00C065AF" w:rsidP="00C065AF">
      <w:pPr>
        <w:tabs>
          <w:tab w:val="right" w:pos="10466"/>
        </w:tabs>
        <w:spacing w:after="0" w:line="240" w:lineRule="auto"/>
        <w:rPr>
          <w:rFonts w:eastAsia="Calibri" w:cstheme="minorHAnsi"/>
          <w:b/>
          <w:sz w:val="20"/>
          <w:szCs w:val="20"/>
        </w:rPr>
      </w:pPr>
      <w:r w:rsidRPr="00330583">
        <w:rPr>
          <w:rFonts w:eastAsia="Calibri" w:cstheme="minorHAnsi"/>
          <w:b/>
          <w:sz w:val="20"/>
          <w:szCs w:val="20"/>
        </w:rPr>
        <w:t>Bidder that fail to submit proof of specific goal as stipulated below will not be allocated points</w:t>
      </w:r>
    </w:p>
    <w:tbl>
      <w:tblPr>
        <w:tblStyle w:val="TableGrid1"/>
        <w:tblW w:w="10569" w:type="dxa"/>
        <w:tblLook w:val="04A0" w:firstRow="1" w:lastRow="0" w:firstColumn="1" w:lastColumn="0" w:noHBand="0" w:noVBand="1"/>
      </w:tblPr>
      <w:tblGrid>
        <w:gridCol w:w="3114"/>
        <w:gridCol w:w="3260"/>
        <w:gridCol w:w="4195"/>
      </w:tblGrid>
      <w:tr w:rsidR="00EA2403" w:rsidRPr="00330583" w:rsidTr="00EA2403">
        <w:tc>
          <w:tcPr>
            <w:tcW w:w="3114" w:type="dxa"/>
          </w:tcPr>
          <w:p w:rsidR="00EA2403" w:rsidRPr="00330583" w:rsidRDefault="00EA2403" w:rsidP="00C065AF">
            <w:pPr>
              <w:spacing w:after="160" w:line="259" w:lineRule="auto"/>
              <w:rPr>
                <w:rFonts w:eastAsia="Calibri" w:cstheme="minorHAnsi"/>
                <w:b/>
                <w:sz w:val="20"/>
                <w:szCs w:val="20"/>
              </w:rPr>
            </w:pPr>
            <w:r w:rsidRPr="00330583">
              <w:rPr>
                <w:rFonts w:eastAsia="Calibri" w:cstheme="minorHAnsi"/>
                <w:b/>
                <w:sz w:val="20"/>
                <w:szCs w:val="20"/>
              </w:rPr>
              <w:t>The Specific Goals allocated points ELM-3/010/2023-2024</w:t>
            </w:r>
          </w:p>
        </w:tc>
        <w:tc>
          <w:tcPr>
            <w:tcW w:w="3260" w:type="dxa"/>
          </w:tcPr>
          <w:p w:rsidR="00EA2403" w:rsidRPr="00330583" w:rsidRDefault="00EA2403" w:rsidP="00C065AF">
            <w:pPr>
              <w:spacing w:after="160" w:line="259" w:lineRule="auto"/>
              <w:rPr>
                <w:rFonts w:cstheme="minorHAnsi"/>
                <w:sz w:val="20"/>
                <w:szCs w:val="20"/>
              </w:rPr>
            </w:pPr>
            <w:r w:rsidRPr="00330583">
              <w:rPr>
                <w:rFonts w:eastAsia="Calibri" w:cstheme="minorHAnsi"/>
                <w:b/>
                <w:sz w:val="20"/>
                <w:szCs w:val="20"/>
              </w:rPr>
              <w:t>The Specific Goals allocated points   ELM-3/011/2023-2024</w:t>
            </w:r>
          </w:p>
        </w:tc>
        <w:tc>
          <w:tcPr>
            <w:tcW w:w="4195" w:type="dxa"/>
          </w:tcPr>
          <w:p w:rsidR="00EA2403" w:rsidRPr="00330583" w:rsidRDefault="00EA2403" w:rsidP="00C065AF">
            <w:pPr>
              <w:spacing w:after="160" w:line="259" w:lineRule="auto"/>
              <w:rPr>
                <w:rFonts w:eastAsia="Calibri" w:cstheme="minorHAnsi"/>
                <w:b/>
                <w:sz w:val="20"/>
                <w:szCs w:val="20"/>
              </w:rPr>
            </w:pPr>
            <w:r w:rsidRPr="00330583">
              <w:rPr>
                <w:rFonts w:eastAsia="Calibri" w:cstheme="minorHAnsi"/>
                <w:b/>
                <w:sz w:val="20"/>
                <w:szCs w:val="20"/>
              </w:rPr>
              <w:t>Proof to claim points for specific goal</w:t>
            </w:r>
          </w:p>
        </w:tc>
      </w:tr>
      <w:tr w:rsidR="00915DA6" w:rsidRPr="00330583" w:rsidTr="00EA2403">
        <w:tc>
          <w:tcPr>
            <w:tcW w:w="3114" w:type="dxa"/>
          </w:tcPr>
          <w:p w:rsidR="00915DA6" w:rsidRPr="00330583" w:rsidRDefault="00915DA6" w:rsidP="00915DA6">
            <w:pPr>
              <w:spacing w:after="160" w:line="259" w:lineRule="auto"/>
              <w:rPr>
                <w:rFonts w:cstheme="minorHAnsi"/>
                <w:sz w:val="20"/>
                <w:szCs w:val="20"/>
              </w:rPr>
            </w:pPr>
            <w:r w:rsidRPr="00330583">
              <w:rPr>
                <w:rFonts w:cstheme="minorHAnsi"/>
                <w:sz w:val="20"/>
                <w:szCs w:val="20"/>
              </w:rPr>
              <w:t xml:space="preserve"> EME or QSE which is at least 51% Enterprise owned by Black people  </w:t>
            </w:r>
          </w:p>
          <w:p w:rsidR="00330583" w:rsidRDefault="00330583" w:rsidP="00915DA6">
            <w:pPr>
              <w:spacing w:after="160" w:line="259" w:lineRule="auto"/>
              <w:rPr>
                <w:rFonts w:cstheme="minorHAnsi"/>
                <w:sz w:val="20"/>
                <w:szCs w:val="20"/>
              </w:rPr>
            </w:pPr>
          </w:p>
          <w:p w:rsidR="00915DA6" w:rsidRPr="00330583" w:rsidRDefault="00915DA6" w:rsidP="00915DA6">
            <w:pPr>
              <w:spacing w:after="160" w:line="259" w:lineRule="auto"/>
              <w:rPr>
                <w:rFonts w:cstheme="minorHAnsi"/>
                <w:sz w:val="20"/>
                <w:szCs w:val="20"/>
              </w:rPr>
            </w:pPr>
            <w:r w:rsidRPr="00330583">
              <w:rPr>
                <w:rFonts w:cstheme="minorHAnsi"/>
                <w:sz w:val="20"/>
                <w:szCs w:val="20"/>
              </w:rPr>
              <w:lastRenderedPageBreak/>
              <w:t xml:space="preserve">Points = 15  </w:t>
            </w:r>
          </w:p>
        </w:tc>
        <w:tc>
          <w:tcPr>
            <w:tcW w:w="3260" w:type="dxa"/>
          </w:tcPr>
          <w:p w:rsidR="00330583" w:rsidRPr="00330583" w:rsidRDefault="00915DA6" w:rsidP="00915DA6">
            <w:pPr>
              <w:spacing w:after="160" w:line="259" w:lineRule="auto"/>
              <w:rPr>
                <w:rFonts w:cstheme="minorHAnsi"/>
                <w:sz w:val="20"/>
                <w:szCs w:val="20"/>
              </w:rPr>
            </w:pPr>
            <w:r w:rsidRPr="00330583">
              <w:rPr>
                <w:rFonts w:cstheme="minorHAnsi"/>
                <w:sz w:val="20"/>
                <w:szCs w:val="20"/>
              </w:rPr>
              <w:lastRenderedPageBreak/>
              <w:t xml:space="preserve"> EME or QSE which is at least 51% Enterprise owned by Black people  </w:t>
            </w:r>
          </w:p>
          <w:p w:rsidR="00330583" w:rsidRDefault="00330583" w:rsidP="00915DA6">
            <w:pPr>
              <w:spacing w:after="160" w:line="259" w:lineRule="auto"/>
              <w:rPr>
                <w:rFonts w:cstheme="minorHAnsi"/>
                <w:sz w:val="20"/>
                <w:szCs w:val="20"/>
              </w:rPr>
            </w:pPr>
          </w:p>
          <w:p w:rsidR="00915DA6" w:rsidRPr="00330583" w:rsidRDefault="00915DA6" w:rsidP="00915DA6">
            <w:pPr>
              <w:spacing w:after="160" w:line="259" w:lineRule="auto"/>
              <w:rPr>
                <w:rFonts w:cstheme="minorHAnsi"/>
                <w:sz w:val="20"/>
                <w:szCs w:val="20"/>
              </w:rPr>
            </w:pPr>
            <w:r w:rsidRPr="00330583">
              <w:rPr>
                <w:rFonts w:cstheme="minorHAnsi"/>
                <w:sz w:val="20"/>
                <w:szCs w:val="20"/>
              </w:rPr>
              <w:lastRenderedPageBreak/>
              <w:t xml:space="preserve">Points = 15  </w:t>
            </w:r>
          </w:p>
        </w:tc>
        <w:tc>
          <w:tcPr>
            <w:tcW w:w="4195" w:type="dxa"/>
          </w:tcPr>
          <w:p w:rsidR="00330583" w:rsidRDefault="00915DA6" w:rsidP="00915DA6">
            <w:pPr>
              <w:spacing w:after="160" w:line="259" w:lineRule="auto"/>
              <w:rPr>
                <w:rFonts w:cstheme="minorHAnsi"/>
                <w:sz w:val="20"/>
                <w:szCs w:val="20"/>
              </w:rPr>
            </w:pPr>
            <w:r w:rsidRPr="00330583">
              <w:rPr>
                <w:rFonts w:cstheme="minorHAnsi"/>
                <w:sz w:val="20"/>
                <w:szCs w:val="20"/>
              </w:rPr>
              <w:lastRenderedPageBreak/>
              <w:t>Company Registration Document and Certified BBBEE Certificate or Original Sworn Affidavit and CSD Report</w:t>
            </w:r>
          </w:p>
          <w:p w:rsidR="00915DA6" w:rsidRPr="00330583" w:rsidRDefault="00915DA6" w:rsidP="00915DA6">
            <w:pPr>
              <w:spacing w:after="160" w:line="259" w:lineRule="auto"/>
              <w:rPr>
                <w:rFonts w:cstheme="minorHAnsi"/>
                <w:sz w:val="20"/>
                <w:szCs w:val="20"/>
              </w:rPr>
            </w:pPr>
            <w:r w:rsidRPr="00330583">
              <w:rPr>
                <w:rFonts w:cstheme="minorHAnsi"/>
                <w:sz w:val="20"/>
                <w:szCs w:val="20"/>
              </w:rPr>
              <w:lastRenderedPageBreak/>
              <w:t xml:space="preserve"> </w:t>
            </w:r>
          </w:p>
        </w:tc>
      </w:tr>
      <w:tr w:rsidR="00915DA6" w:rsidRPr="00330583" w:rsidTr="00EA2403">
        <w:tc>
          <w:tcPr>
            <w:tcW w:w="3114" w:type="dxa"/>
          </w:tcPr>
          <w:p w:rsidR="00915DA6" w:rsidRPr="00F4336C" w:rsidRDefault="00025E12" w:rsidP="00915DA6">
            <w:pPr>
              <w:spacing w:after="160" w:line="259" w:lineRule="auto"/>
              <w:rPr>
                <w:rFonts w:cstheme="minorHAnsi"/>
                <w:sz w:val="20"/>
                <w:szCs w:val="20"/>
              </w:rPr>
            </w:pPr>
            <w:r w:rsidRPr="00F4336C">
              <w:rPr>
                <w:rFonts w:cstheme="minorHAnsi"/>
                <w:sz w:val="20"/>
                <w:szCs w:val="20"/>
              </w:rPr>
              <w:lastRenderedPageBreak/>
              <w:t xml:space="preserve"> Local Enterprise</w:t>
            </w:r>
            <w:r w:rsidR="00DD4404" w:rsidRPr="00F4336C">
              <w:rPr>
                <w:rFonts w:cstheme="minorHAnsi"/>
                <w:sz w:val="20"/>
                <w:szCs w:val="20"/>
              </w:rPr>
              <w:t xml:space="preserve"> </w:t>
            </w:r>
          </w:p>
          <w:p w:rsidR="00915DA6" w:rsidRPr="00F4336C" w:rsidRDefault="00DD4404" w:rsidP="00915DA6">
            <w:pPr>
              <w:spacing w:after="160" w:line="259" w:lineRule="auto"/>
              <w:rPr>
                <w:rFonts w:cstheme="minorHAnsi"/>
                <w:sz w:val="20"/>
                <w:szCs w:val="20"/>
              </w:rPr>
            </w:pPr>
            <w:r w:rsidRPr="00F4336C">
              <w:rPr>
                <w:rFonts w:cstheme="minorHAnsi"/>
                <w:sz w:val="20"/>
                <w:szCs w:val="20"/>
              </w:rPr>
              <w:t xml:space="preserve">Within </w:t>
            </w:r>
            <w:r w:rsidR="00915DA6" w:rsidRPr="00F4336C">
              <w:rPr>
                <w:rFonts w:cstheme="minorHAnsi"/>
                <w:sz w:val="20"/>
                <w:szCs w:val="20"/>
              </w:rPr>
              <w:t>E</w:t>
            </w:r>
            <w:r w:rsidR="000A2A0C" w:rsidRPr="00F4336C">
              <w:rPr>
                <w:rFonts w:cstheme="minorHAnsi"/>
                <w:sz w:val="20"/>
                <w:szCs w:val="20"/>
              </w:rPr>
              <w:t xml:space="preserve">lundini </w:t>
            </w:r>
            <w:r w:rsidR="00915DA6" w:rsidRPr="00F4336C">
              <w:rPr>
                <w:rFonts w:cstheme="minorHAnsi"/>
                <w:sz w:val="20"/>
                <w:szCs w:val="20"/>
              </w:rPr>
              <w:t>L</w:t>
            </w:r>
            <w:r w:rsidR="000A2A0C" w:rsidRPr="00F4336C">
              <w:rPr>
                <w:rFonts w:cstheme="minorHAnsi"/>
                <w:sz w:val="20"/>
                <w:szCs w:val="20"/>
              </w:rPr>
              <w:t xml:space="preserve">ocal </w:t>
            </w:r>
            <w:r w:rsidR="00915DA6" w:rsidRPr="00F4336C">
              <w:rPr>
                <w:rFonts w:cstheme="minorHAnsi"/>
                <w:sz w:val="20"/>
                <w:szCs w:val="20"/>
              </w:rPr>
              <w:t>M</w:t>
            </w:r>
            <w:r w:rsidR="000A2A0C" w:rsidRPr="00F4336C">
              <w:rPr>
                <w:rFonts w:cstheme="minorHAnsi"/>
                <w:sz w:val="20"/>
                <w:szCs w:val="20"/>
              </w:rPr>
              <w:t>unicipality</w:t>
            </w:r>
            <w:r w:rsidR="00915DA6" w:rsidRPr="00F4336C">
              <w:rPr>
                <w:rFonts w:cstheme="minorHAnsi"/>
                <w:sz w:val="20"/>
                <w:szCs w:val="20"/>
              </w:rPr>
              <w:t xml:space="preserve">    = </w:t>
            </w:r>
            <w:r w:rsidR="000A2A0C" w:rsidRPr="00F4336C">
              <w:rPr>
                <w:rFonts w:cstheme="minorHAnsi"/>
                <w:sz w:val="20"/>
                <w:szCs w:val="20"/>
              </w:rPr>
              <w:t xml:space="preserve">  5 Points</w:t>
            </w:r>
          </w:p>
          <w:p w:rsidR="00915DA6" w:rsidRPr="00F4336C" w:rsidRDefault="00DD4404" w:rsidP="00915DA6">
            <w:pPr>
              <w:spacing w:after="160" w:line="259" w:lineRule="auto"/>
              <w:rPr>
                <w:rFonts w:cstheme="minorHAnsi"/>
                <w:sz w:val="20"/>
                <w:szCs w:val="20"/>
              </w:rPr>
            </w:pPr>
            <w:r w:rsidRPr="00F4336C">
              <w:rPr>
                <w:rFonts w:cstheme="minorHAnsi"/>
                <w:sz w:val="20"/>
                <w:szCs w:val="20"/>
              </w:rPr>
              <w:t xml:space="preserve">Within </w:t>
            </w:r>
            <w:r w:rsidR="00915DA6" w:rsidRPr="00F4336C">
              <w:rPr>
                <w:rFonts w:cstheme="minorHAnsi"/>
                <w:sz w:val="20"/>
                <w:szCs w:val="20"/>
              </w:rPr>
              <w:t xml:space="preserve">Joe </w:t>
            </w:r>
            <w:proofErr w:type="spellStart"/>
            <w:r w:rsidR="00915DA6" w:rsidRPr="00F4336C">
              <w:rPr>
                <w:rFonts w:cstheme="minorHAnsi"/>
                <w:sz w:val="20"/>
                <w:szCs w:val="20"/>
              </w:rPr>
              <w:t>Qgabi</w:t>
            </w:r>
            <w:proofErr w:type="spellEnd"/>
            <w:r w:rsidR="00915DA6" w:rsidRPr="00F4336C">
              <w:rPr>
                <w:rFonts w:cstheme="minorHAnsi"/>
                <w:sz w:val="20"/>
                <w:szCs w:val="20"/>
              </w:rPr>
              <w:t xml:space="preserve"> District         </w:t>
            </w:r>
            <w:r w:rsidR="000A2A0C" w:rsidRPr="00F4336C">
              <w:rPr>
                <w:rFonts w:cstheme="minorHAnsi"/>
                <w:sz w:val="20"/>
                <w:szCs w:val="20"/>
              </w:rPr>
              <w:t xml:space="preserve">          </w:t>
            </w:r>
            <w:r w:rsidR="00915DA6" w:rsidRPr="00F4336C">
              <w:rPr>
                <w:rFonts w:cstheme="minorHAnsi"/>
                <w:sz w:val="20"/>
                <w:szCs w:val="20"/>
              </w:rPr>
              <w:t xml:space="preserve"> = </w:t>
            </w:r>
            <w:r w:rsidR="000A2A0C" w:rsidRPr="00F4336C">
              <w:rPr>
                <w:rFonts w:cstheme="minorHAnsi"/>
                <w:sz w:val="20"/>
                <w:szCs w:val="20"/>
              </w:rPr>
              <w:t xml:space="preserve">  3 Points</w:t>
            </w:r>
          </w:p>
          <w:p w:rsidR="00915DA6" w:rsidRPr="00F4336C" w:rsidRDefault="00915DA6" w:rsidP="00915DA6">
            <w:pPr>
              <w:spacing w:after="160" w:line="259" w:lineRule="auto"/>
              <w:rPr>
                <w:rFonts w:cstheme="minorHAnsi"/>
                <w:sz w:val="20"/>
                <w:szCs w:val="20"/>
              </w:rPr>
            </w:pPr>
            <w:r w:rsidRPr="00F4336C">
              <w:rPr>
                <w:rFonts w:cstheme="minorHAnsi"/>
                <w:sz w:val="20"/>
                <w:szCs w:val="20"/>
              </w:rPr>
              <w:t xml:space="preserve">Outside region             </w:t>
            </w:r>
            <w:r w:rsidR="000A2A0C" w:rsidRPr="00F4336C">
              <w:rPr>
                <w:rFonts w:cstheme="minorHAnsi"/>
                <w:sz w:val="20"/>
                <w:szCs w:val="20"/>
              </w:rPr>
              <w:t xml:space="preserve">           </w:t>
            </w:r>
            <w:r w:rsidR="00DD4404" w:rsidRPr="00F4336C">
              <w:rPr>
                <w:rFonts w:cstheme="minorHAnsi"/>
                <w:sz w:val="20"/>
                <w:szCs w:val="20"/>
              </w:rPr>
              <w:t xml:space="preserve">        </w:t>
            </w:r>
            <w:r w:rsidR="00330583" w:rsidRPr="00F4336C">
              <w:rPr>
                <w:rFonts w:cstheme="minorHAnsi"/>
                <w:sz w:val="20"/>
                <w:szCs w:val="20"/>
              </w:rPr>
              <w:t xml:space="preserve">  </w:t>
            </w:r>
            <w:r w:rsidR="00DD4404" w:rsidRPr="00F4336C">
              <w:rPr>
                <w:rFonts w:cstheme="minorHAnsi"/>
                <w:sz w:val="20"/>
                <w:szCs w:val="20"/>
              </w:rPr>
              <w:t xml:space="preserve"> </w:t>
            </w:r>
            <w:r w:rsidRPr="00F4336C">
              <w:rPr>
                <w:rFonts w:cstheme="minorHAnsi"/>
                <w:sz w:val="20"/>
                <w:szCs w:val="20"/>
              </w:rPr>
              <w:t xml:space="preserve"> = </w:t>
            </w:r>
            <w:r w:rsidR="000A2A0C" w:rsidRPr="00F4336C">
              <w:rPr>
                <w:rFonts w:cstheme="minorHAnsi"/>
                <w:sz w:val="20"/>
                <w:szCs w:val="20"/>
              </w:rPr>
              <w:t xml:space="preserve"> </w:t>
            </w:r>
            <w:r w:rsidRPr="00F4336C">
              <w:rPr>
                <w:rFonts w:cstheme="minorHAnsi"/>
                <w:sz w:val="20"/>
                <w:szCs w:val="20"/>
              </w:rPr>
              <w:t>1</w:t>
            </w:r>
            <w:r w:rsidR="000A2A0C" w:rsidRPr="00F4336C">
              <w:rPr>
                <w:rFonts w:cstheme="minorHAnsi"/>
                <w:sz w:val="20"/>
                <w:szCs w:val="20"/>
              </w:rPr>
              <w:t xml:space="preserve"> </w:t>
            </w:r>
            <w:r w:rsidRPr="00F4336C">
              <w:rPr>
                <w:rFonts w:cstheme="minorHAnsi"/>
                <w:sz w:val="20"/>
                <w:szCs w:val="20"/>
              </w:rPr>
              <w:t xml:space="preserve"> Points</w:t>
            </w:r>
          </w:p>
        </w:tc>
        <w:tc>
          <w:tcPr>
            <w:tcW w:w="3260" w:type="dxa"/>
          </w:tcPr>
          <w:p w:rsidR="000A2A0C" w:rsidRPr="00F4336C" w:rsidRDefault="00915DA6" w:rsidP="000A2A0C">
            <w:pPr>
              <w:spacing w:after="160" w:line="259" w:lineRule="auto"/>
              <w:rPr>
                <w:rFonts w:cstheme="minorHAnsi"/>
                <w:sz w:val="20"/>
                <w:szCs w:val="20"/>
              </w:rPr>
            </w:pPr>
            <w:r w:rsidRPr="00F4336C">
              <w:rPr>
                <w:rFonts w:cstheme="minorHAnsi"/>
                <w:sz w:val="20"/>
                <w:szCs w:val="20"/>
              </w:rPr>
              <w:t xml:space="preserve"> </w:t>
            </w:r>
            <w:r w:rsidR="000A2A0C" w:rsidRPr="00F4336C">
              <w:rPr>
                <w:rFonts w:cstheme="minorHAnsi"/>
                <w:sz w:val="20"/>
                <w:szCs w:val="20"/>
              </w:rPr>
              <w:t>Local Enterprise</w:t>
            </w:r>
            <w:r w:rsidR="00F4336C">
              <w:rPr>
                <w:rFonts w:cstheme="minorHAnsi"/>
                <w:sz w:val="20"/>
                <w:szCs w:val="20"/>
              </w:rPr>
              <w:t xml:space="preserve"> </w:t>
            </w:r>
            <w:bookmarkStart w:id="0" w:name="_GoBack"/>
            <w:bookmarkEnd w:id="0"/>
          </w:p>
          <w:p w:rsidR="000A2A0C" w:rsidRPr="00F4336C" w:rsidRDefault="00DD4404" w:rsidP="000A2A0C">
            <w:pPr>
              <w:spacing w:after="160" w:line="259" w:lineRule="auto"/>
              <w:rPr>
                <w:rFonts w:cstheme="minorHAnsi"/>
                <w:sz w:val="20"/>
                <w:szCs w:val="20"/>
              </w:rPr>
            </w:pPr>
            <w:r w:rsidRPr="00F4336C">
              <w:rPr>
                <w:rFonts w:cstheme="minorHAnsi"/>
                <w:sz w:val="20"/>
                <w:szCs w:val="20"/>
              </w:rPr>
              <w:t xml:space="preserve">Within </w:t>
            </w:r>
            <w:r w:rsidR="000A2A0C" w:rsidRPr="00F4336C">
              <w:rPr>
                <w:rFonts w:cstheme="minorHAnsi"/>
                <w:sz w:val="20"/>
                <w:szCs w:val="20"/>
              </w:rPr>
              <w:t xml:space="preserve">Elundini Local Municipality    </w:t>
            </w:r>
            <w:r w:rsidR="00330583" w:rsidRPr="00F4336C">
              <w:rPr>
                <w:rFonts w:cstheme="minorHAnsi"/>
                <w:sz w:val="20"/>
                <w:szCs w:val="20"/>
              </w:rPr>
              <w:t xml:space="preserve"> </w:t>
            </w:r>
            <w:r w:rsidR="000A2A0C" w:rsidRPr="00F4336C">
              <w:rPr>
                <w:rFonts w:cstheme="minorHAnsi"/>
                <w:sz w:val="20"/>
                <w:szCs w:val="20"/>
              </w:rPr>
              <w:t>=   5 Points</w:t>
            </w:r>
          </w:p>
          <w:p w:rsidR="000A2A0C" w:rsidRPr="00F4336C" w:rsidRDefault="00DD4404" w:rsidP="000A2A0C">
            <w:pPr>
              <w:spacing w:after="160" w:line="259" w:lineRule="auto"/>
              <w:rPr>
                <w:rFonts w:cstheme="minorHAnsi"/>
                <w:sz w:val="20"/>
                <w:szCs w:val="20"/>
              </w:rPr>
            </w:pPr>
            <w:r w:rsidRPr="00F4336C">
              <w:rPr>
                <w:rFonts w:cstheme="minorHAnsi"/>
                <w:sz w:val="20"/>
                <w:szCs w:val="20"/>
              </w:rPr>
              <w:t xml:space="preserve">Within </w:t>
            </w:r>
            <w:r w:rsidR="000A2A0C" w:rsidRPr="00F4336C">
              <w:rPr>
                <w:rFonts w:cstheme="minorHAnsi"/>
                <w:sz w:val="20"/>
                <w:szCs w:val="20"/>
              </w:rPr>
              <w:t xml:space="preserve">Joe </w:t>
            </w:r>
            <w:proofErr w:type="spellStart"/>
            <w:r w:rsidR="000A2A0C" w:rsidRPr="00F4336C">
              <w:rPr>
                <w:rFonts w:cstheme="minorHAnsi"/>
                <w:sz w:val="20"/>
                <w:szCs w:val="20"/>
              </w:rPr>
              <w:t>Qgabi</w:t>
            </w:r>
            <w:proofErr w:type="spellEnd"/>
            <w:r w:rsidR="000A2A0C" w:rsidRPr="00F4336C">
              <w:rPr>
                <w:rFonts w:cstheme="minorHAnsi"/>
                <w:sz w:val="20"/>
                <w:szCs w:val="20"/>
              </w:rPr>
              <w:t xml:space="preserve"> District                 </w:t>
            </w:r>
            <w:r w:rsidR="00330583" w:rsidRPr="00F4336C">
              <w:rPr>
                <w:rFonts w:cstheme="minorHAnsi"/>
                <w:sz w:val="20"/>
                <w:szCs w:val="20"/>
              </w:rPr>
              <w:t xml:space="preserve"> </w:t>
            </w:r>
            <w:r w:rsidR="000A2A0C" w:rsidRPr="00F4336C">
              <w:rPr>
                <w:rFonts w:cstheme="minorHAnsi"/>
                <w:sz w:val="20"/>
                <w:szCs w:val="20"/>
              </w:rPr>
              <w:t xml:space="preserve">   =   3 Points</w:t>
            </w:r>
          </w:p>
          <w:p w:rsidR="000A2A0C" w:rsidRPr="00F4336C" w:rsidRDefault="000A2A0C" w:rsidP="000A2A0C">
            <w:pPr>
              <w:rPr>
                <w:rFonts w:cstheme="minorHAnsi"/>
                <w:sz w:val="20"/>
                <w:szCs w:val="20"/>
              </w:rPr>
            </w:pPr>
            <w:r w:rsidRPr="00F4336C">
              <w:rPr>
                <w:rFonts w:cstheme="minorHAnsi"/>
                <w:sz w:val="20"/>
                <w:szCs w:val="20"/>
              </w:rPr>
              <w:t xml:space="preserve">Outside region                         </w:t>
            </w:r>
            <w:r w:rsidR="00DD4404" w:rsidRPr="00F4336C">
              <w:rPr>
                <w:rFonts w:cstheme="minorHAnsi"/>
                <w:sz w:val="20"/>
                <w:szCs w:val="20"/>
              </w:rPr>
              <w:t xml:space="preserve">           </w:t>
            </w:r>
            <w:r w:rsidR="00330583" w:rsidRPr="00F4336C">
              <w:rPr>
                <w:rFonts w:cstheme="minorHAnsi"/>
                <w:sz w:val="20"/>
                <w:szCs w:val="20"/>
              </w:rPr>
              <w:t xml:space="preserve">  </w:t>
            </w:r>
            <w:r w:rsidR="00DD4404" w:rsidRPr="00F4336C">
              <w:rPr>
                <w:rFonts w:cstheme="minorHAnsi"/>
                <w:sz w:val="20"/>
                <w:szCs w:val="20"/>
              </w:rPr>
              <w:t xml:space="preserve"> = 1 Points</w:t>
            </w:r>
          </w:p>
          <w:p w:rsidR="00915DA6" w:rsidRPr="00F4336C" w:rsidRDefault="00915DA6" w:rsidP="00915DA6">
            <w:pPr>
              <w:spacing w:after="160" w:line="259" w:lineRule="auto"/>
              <w:rPr>
                <w:rFonts w:cstheme="minorHAnsi"/>
                <w:sz w:val="20"/>
                <w:szCs w:val="20"/>
              </w:rPr>
            </w:pPr>
          </w:p>
        </w:tc>
        <w:tc>
          <w:tcPr>
            <w:tcW w:w="4195" w:type="dxa"/>
          </w:tcPr>
          <w:p w:rsidR="00915DA6" w:rsidRPr="00330583" w:rsidRDefault="00915DA6" w:rsidP="00915DA6">
            <w:pPr>
              <w:spacing w:after="160" w:line="259" w:lineRule="auto"/>
              <w:rPr>
                <w:rFonts w:cstheme="minorHAnsi"/>
                <w:sz w:val="20"/>
                <w:szCs w:val="20"/>
              </w:rPr>
            </w:pPr>
            <w:r w:rsidRPr="00330583">
              <w:rPr>
                <w:rFonts w:cstheme="minorHAnsi"/>
                <w:sz w:val="20"/>
                <w:szCs w:val="20"/>
              </w:rPr>
              <w:t xml:space="preserve">Proof of business operation within the Elundini municipal Jurisdiction or within JOE </w:t>
            </w:r>
            <w:proofErr w:type="spellStart"/>
            <w:r w:rsidRPr="00330583">
              <w:rPr>
                <w:rFonts w:cstheme="minorHAnsi"/>
                <w:sz w:val="20"/>
                <w:szCs w:val="20"/>
              </w:rPr>
              <w:t>Qgabi</w:t>
            </w:r>
            <w:proofErr w:type="spellEnd"/>
            <w:r w:rsidRPr="00330583">
              <w:rPr>
                <w:rFonts w:cstheme="minorHAnsi"/>
                <w:sz w:val="20"/>
                <w:szCs w:val="20"/>
              </w:rPr>
              <w:t xml:space="preserve"> District or outside region along with CSD Report</w:t>
            </w:r>
          </w:p>
        </w:tc>
      </w:tr>
      <w:tr w:rsidR="00EA2403" w:rsidRPr="00330583" w:rsidTr="00EA2403">
        <w:tc>
          <w:tcPr>
            <w:tcW w:w="3114" w:type="dxa"/>
          </w:tcPr>
          <w:p w:rsidR="00EA2403" w:rsidRPr="00330583" w:rsidRDefault="00EA2403" w:rsidP="00C065AF">
            <w:pPr>
              <w:spacing w:after="160" w:line="259" w:lineRule="auto"/>
              <w:rPr>
                <w:rFonts w:cstheme="minorHAnsi"/>
                <w:sz w:val="20"/>
                <w:szCs w:val="20"/>
              </w:rPr>
            </w:pPr>
            <w:r w:rsidRPr="00330583">
              <w:rPr>
                <w:rFonts w:cstheme="minorHAnsi"/>
                <w:sz w:val="20"/>
                <w:szCs w:val="20"/>
              </w:rPr>
              <w:t>Total Specific Goals = 20 Points</w:t>
            </w:r>
          </w:p>
        </w:tc>
        <w:tc>
          <w:tcPr>
            <w:tcW w:w="3260" w:type="dxa"/>
          </w:tcPr>
          <w:p w:rsidR="00EA2403" w:rsidRPr="00330583" w:rsidRDefault="00EA2403" w:rsidP="00C065AF">
            <w:pPr>
              <w:spacing w:after="160" w:line="259" w:lineRule="auto"/>
              <w:rPr>
                <w:rFonts w:cstheme="minorHAnsi"/>
                <w:sz w:val="20"/>
                <w:szCs w:val="20"/>
              </w:rPr>
            </w:pPr>
            <w:r w:rsidRPr="00330583">
              <w:rPr>
                <w:rFonts w:cstheme="minorHAnsi"/>
                <w:sz w:val="20"/>
                <w:szCs w:val="20"/>
              </w:rPr>
              <w:t>Total Specific Goals = 20 Points</w:t>
            </w:r>
          </w:p>
        </w:tc>
        <w:tc>
          <w:tcPr>
            <w:tcW w:w="4195" w:type="dxa"/>
          </w:tcPr>
          <w:p w:rsidR="00EA2403" w:rsidRPr="00330583" w:rsidRDefault="00EA2403" w:rsidP="00C065AF">
            <w:pPr>
              <w:spacing w:after="160" w:line="259" w:lineRule="auto"/>
              <w:rPr>
                <w:rFonts w:cstheme="minorHAnsi"/>
                <w:sz w:val="20"/>
                <w:szCs w:val="20"/>
              </w:rPr>
            </w:pPr>
          </w:p>
        </w:tc>
      </w:tr>
    </w:tbl>
    <w:p w:rsidR="00EC1748" w:rsidRPr="00330583" w:rsidRDefault="00EC1748" w:rsidP="00AB19C3">
      <w:pPr>
        <w:tabs>
          <w:tab w:val="right" w:leader="dot" w:pos="2552"/>
        </w:tabs>
        <w:rPr>
          <w:rFonts w:eastAsia="Times New Roman" w:cstheme="minorHAnsi"/>
          <w:bCs/>
          <w:iCs/>
          <w:sz w:val="20"/>
          <w:szCs w:val="20"/>
        </w:rPr>
      </w:pPr>
    </w:p>
    <w:p w:rsidR="000221C3" w:rsidRPr="00330583" w:rsidRDefault="0019335C" w:rsidP="0019335C">
      <w:pPr>
        <w:tabs>
          <w:tab w:val="right" w:leader="dot" w:pos="2552"/>
        </w:tabs>
        <w:rPr>
          <w:rFonts w:eastAsia="Times New Roman" w:cstheme="minorHAnsi"/>
          <w:bCs/>
          <w:iCs/>
          <w:sz w:val="20"/>
          <w:szCs w:val="20"/>
        </w:rPr>
      </w:pPr>
      <w:r w:rsidRPr="00330583">
        <w:rPr>
          <w:rFonts w:eastAsia="Times New Roman" w:cstheme="minorHAnsi"/>
          <w:b/>
          <w:bCs/>
          <w:iCs/>
          <w:sz w:val="20"/>
          <w:szCs w:val="20"/>
        </w:rPr>
        <w:t>PURCHASING AND SUBMISSION OF TENDER DOCUMENTS</w:t>
      </w:r>
      <w:r w:rsidR="00915DA6" w:rsidRPr="00330583">
        <w:rPr>
          <w:rFonts w:eastAsia="Times New Roman" w:cstheme="minorHAnsi"/>
          <w:bCs/>
          <w:iCs/>
          <w:sz w:val="20"/>
          <w:szCs w:val="20"/>
        </w:rPr>
        <w:t>.</w:t>
      </w:r>
    </w:p>
    <w:p w:rsidR="0019335C" w:rsidRPr="00330583" w:rsidRDefault="0019335C" w:rsidP="0019335C">
      <w:pPr>
        <w:tabs>
          <w:tab w:val="right" w:leader="dot" w:pos="2552"/>
        </w:tabs>
        <w:rPr>
          <w:rFonts w:eastAsia="Times New Roman" w:cstheme="minorHAnsi"/>
          <w:bCs/>
          <w:iCs/>
          <w:sz w:val="20"/>
          <w:szCs w:val="20"/>
        </w:rPr>
      </w:pPr>
      <w:r w:rsidRPr="00330583">
        <w:rPr>
          <w:rFonts w:eastAsia="Times New Roman" w:cstheme="minorHAnsi"/>
          <w:bCs/>
          <w:iCs/>
          <w:sz w:val="20"/>
          <w:szCs w:val="20"/>
        </w:rPr>
        <w:t xml:space="preserve">Tender documents may be obtained from the Elundini Local Municipality SCM Unit or emailed to a bidder upon payment of a non-refundable amount of R250 (two hundred and fifty Rand). Payment for tender document can be made either paid in cash or by means of electronic funds transfer (EFT) to the Elundini Local Municipality (Where EFT is used proof of payment must be sent to </w:t>
      </w:r>
      <w:proofErr w:type="gramStart"/>
      <w:r w:rsidRPr="00330583">
        <w:rPr>
          <w:rFonts w:eastAsia="Times New Roman" w:cstheme="minorHAnsi"/>
          <w:bCs/>
          <w:iCs/>
          <w:sz w:val="20"/>
          <w:szCs w:val="20"/>
        </w:rPr>
        <w:t>kwaneles@elundini.gov.za )</w:t>
      </w:r>
      <w:proofErr w:type="gramEnd"/>
      <w:r w:rsidRPr="00330583">
        <w:rPr>
          <w:rFonts w:eastAsia="Times New Roman" w:cstheme="minorHAnsi"/>
          <w:bCs/>
          <w:iCs/>
          <w:sz w:val="20"/>
          <w:szCs w:val="20"/>
        </w:rPr>
        <w:t>. The cash amount is to be paid at the cashier’s office between the hours of 08:00 and 16:00, prior to the collection of the tend</w:t>
      </w:r>
      <w:r w:rsidR="000221C3" w:rsidRPr="00330583">
        <w:rPr>
          <w:rFonts w:eastAsia="Times New Roman" w:cstheme="minorHAnsi"/>
          <w:bCs/>
          <w:iCs/>
          <w:sz w:val="20"/>
          <w:szCs w:val="20"/>
        </w:rPr>
        <w:t>er documents from the SCM unit.</w:t>
      </w:r>
    </w:p>
    <w:p w:rsidR="0019335C" w:rsidRPr="00330583" w:rsidRDefault="0019335C" w:rsidP="0019335C">
      <w:pPr>
        <w:tabs>
          <w:tab w:val="right" w:leader="dot" w:pos="2552"/>
        </w:tabs>
        <w:rPr>
          <w:rFonts w:eastAsia="Times New Roman" w:cstheme="minorHAnsi"/>
          <w:bCs/>
          <w:iCs/>
          <w:sz w:val="20"/>
          <w:szCs w:val="20"/>
        </w:rPr>
      </w:pPr>
      <w:r w:rsidRPr="00330583">
        <w:rPr>
          <w:rFonts w:eastAsia="Times New Roman" w:cstheme="minorHAnsi"/>
          <w:bCs/>
          <w:iCs/>
          <w:sz w:val="20"/>
          <w:szCs w:val="20"/>
        </w:rPr>
        <w:t xml:space="preserve">NB: For EFT payment bidders must pay using this account: First National Bank (FNB) cheque account No: 62159933772, Ref No. 020114350000. </w:t>
      </w:r>
    </w:p>
    <w:p w:rsidR="0019335C" w:rsidRPr="00330583" w:rsidRDefault="0019335C" w:rsidP="0019335C">
      <w:pPr>
        <w:tabs>
          <w:tab w:val="right" w:leader="dot" w:pos="2552"/>
        </w:tabs>
        <w:rPr>
          <w:rFonts w:eastAsia="Times New Roman" w:cstheme="minorHAnsi"/>
          <w:bCs/>
          <w:iCs/>
          <w:sz w:val="20"/>
          <w:szCs w:val="20"/>
        </w:rPr>
      </w:pPr>
      <w:r w:rsidRPr="00330583">
        <w:rPr>
          <w:rFonts w:eastAsia="Times New Roman" w:cstheme="minorHAnsi"/>
          <w:bCs/>
          <w:iCs/>
          <w:sz w:val="20"/>
          <w:szCs w:val="20"/>
        </w:rPr>
        <w:t xml:space="preserve">ELM Cashier’s office is situated at Elundini Traffic </w:t>
      </w:r>
      <w:r w:rsidR="0049558B" w:rsidRPr="00330583">
        <w:rPr>
          <w:rFonts w:eastAsia="Times New Roman" w:cstheme="minorHAnsi"/>
          <w:bCs/>
          <w:iCs/>
          <w:sz w:val="20"/>
          <w:szCs w:val="20"/>
        </w:rPr>
        <w:t>Department,</w:t>
      </w:r>
      <w:r w:rsidRPr="00330583">
        <w:rPr>
          <w:rFonts w:eastAsia="Times New Roman" w:cstheme="minorHAnsi"/>
          <w:bCs/>
          <w:iCs/>
          <w:sz w:val="20"/>
          <w:szCs w:val="20"/>
        </w:rPr>
        <w:t xml:space="preserve"> ERF 3503 Sta</w:t>
      </w:r>
      <w:r w:rsidR="000221C3" w:rsidRPr="00330583">
        <w:rPr>
          <w:rFonts w:eastAsia="Times New Roman" w:cstheme="minorHAnsi"/>
          <w:bCs/>
          <w:iCs/>
          <w:sz w:val="20"/>
          <w:szCs w:val="20"/>
        </w:rPr>
        <w:t xml:space="preserve">tion </w:t>
      </w:r>
      <w:r w:rsidR="0049558B" w:rsidRPr="00330583">
        <w:rPr>
          <w:rFonts w:eastAsia="Times New Roman" w:cstheme="minorHAnsi"/>
          <w:bCs/>
          <w:iCs/>
          <w:sz w:val="20"/>
          <w:szCs w:val="20"/>
        </w:rPr>
        <w:t>Street,</w:t>
      </w:r>
      <w:r w:rsidR="000221C3" w:rsidRPr="00330583">
        <w:rPr>
          <w:rFonts w:eastAsia="Times New Roman" w:cstheme="minorHAnsi"/>
          <w:bCs/>
          <w:iCs/>
          <w:sz w:val="20"/>
          <w:szCs w:val="20"/>
        </w:rPr>
        <w:t xml:space="preserve"> </w:t>
      </w:r>
      <w:proofErr w:type="spellStart"/>
      <w:r w:rsidR="000221C3" w:rsidRPr="00330583">
        <w:rPr>
          <w:rFonts w:eastAsia="Times New Roman" w:cstheme="minorHAnsi"/>
          <w:bCs/>
          <w:iCs/>
          <w:sz w:val="20"/>
          <w:szCs w:val="20"/>
        </w:rPr>
        <w:t>Nqanqarhu</w:t>
      </w:r>
      <w:proofErr w:type="spellEnd"/>
      <w:r w:rsidR="000221C3" w:rsidRPr="00330583">
        <w:rPr>
          <w:rFonts w:eastAsia="Times New Roman" w:cstheme="minorHAnsi"/>
          <w:bCs/>
          <w:iCs/>
          <w:sz w:val="20"/>
          <w:szCs w:val="20"/>
        </w:rPr>
        <w:t xml:space="preserve">, 5480. </w:t>
      </w:r>
    </w:p>
    <w:p w:rsidR="0019335C" w:rsidRPr="00330583" w:rsidRDefault="0019335C" w:rsidP="0019335C">
      <w:pPr>
        <w:tabs>
          <w:tab w:val="right" w:leader="dot" w:pos="2552"/>
        </w:tabs>
        <w:rPr>
          <w:rFonts w:eastAsia="Times New Roman" w:cstheme="minorHAnsi"/>
          <w:bCs/>
          <w:iCs/>
          <w:sz w:val="20"/>
          <w:szCs w:val="20"/>
        </w:rPr>
      </w:pPr>
      <w:r w:rsidRPr="00330583">
        <w:rPr>
          <w:rFonts w:eastAsia="Times New Roman" w:cstheme="minorHAnsi"/>
          <w:bCs/>
          <w:iCs/>
          <w:sz w:val="20"/>
          <w:szCs w:val="20"/>
        </w:rPr>
        <w:t>The tender documents will be availa</w:t>
      </w:r>
      <w:r w:rsidR="00FC5ECA" w:rsidRPr="00330583">
        <w:rPr>
          <w:rFonts w:eastAsia="Times New Roman" w:cstheme="minorHAnsi"/>
          <w:bCs/>
          <w:iCs/>
          <w:sz w:val="20"/>
          <w:szCs w:val="20"/>
        </w:rPr>
        <w:t>ble on Mon</w:t>
      </w:r>
      <w:r w:rsidR="0049558B" w:rsidRPr="00330583">
        <w:rPr>
          <w:rFonts w:eastAsia="Times New Roman" w:cstheme="minorHAnsi"/>
          <w:bCs/>
          <w:iCs/>
          <w:sz w:val="20"/>
          <w:szCs w:val="20"/>
        </w:rPr>
        <w:t xml:space="preserve">day, </w:t>
      </w:r>
      <w:r w:rsidR="000221C3" w:rsidRPr="00330583">
        <w:rPr>
          <w:rFonts w:eastAsia="Times New Roman" w:cstheme="minorHAnsi"/>
          <w:bCs/>
          <w:iCs/>
          <w:sz w:val="20"/>
          <w:szCs w:val="20"/>
        </w:rPr>
        <w:t>0</w:t>
      </w:r>
      <w:r w:rsidR="00FC5ECA" w:rsidRPr="00330583">
        <w:rPr>
          <w:rFonts w:eastAsia="Times New Roman" w:cstheme="minorHAnsi"/>
          <w:bCs/>
          <w:iCs/>
          <w:sz w:val="20"/>
          <w:szCs w:val="20"/>
        </w:rPr>
        <w:t>4</w:t>
      </w:r>
      <w:r w:rsidR="0049558B" w:rsidRPr="00330583">
        <w:rPr>
          <w:rFonts w:eastAsia="Times New Roman" w:cstheme="minorHAnsi"/>
          <w:bCs/>
          <w:iCs/>
          <w:sz w:val="20"/>
          <w:szCs w:val="20"/>
        </w:rPr>
        <w:t xml:space="preserve"> September 2023</w:t>
      </w:r>
    </w:p>
    <w:p w:rsidR="0019335C" w:rsidRPr="00330583" w:rsidRDefault="0019335C" w:rsidP="0019335C">
      <w:pPr>
        <w:tabs>
          <w:tab w:val="right" w:leader="dot" w:pos="2552"/>
        </w:tabs>
        <w:rPr>
          <w:rFonts w:eastAsia="Times New Roman" w:cstheme="minorHAnsi"/>
          <w:bCs/>
          <w:iCs/>
          <w:sz w:val="20"/>
          <w:szCs w:val="20"/>
        </w:rPr>
      </w:pPr>
      <w:r w:rsidRPr="00330583">
        <w:rPr>
          <w:rFonts w:eastAsia="Times New Roman" w:cstheme="minorHAnsi"/>
          <w:bCs/>
          <w:iCs/>
          <w:sz w:val="20"/>
          <w:szCs w:val="20"/>
        </w:rPr>
        <w:t xml:space="preserve">Completed bid documents and supporting documentation are to be placed in a sealed envelope endorsed with Project Name and Bid Number. At the back of the envelope bidders must write the bidder’s name and address. Bid submissions must be delivered to the Elundini Local Municipality, at No. 1 Seller Street, </w:t>
      </w:r>
      <w:proofErr w:type="spellStart"/>
      <w:r w:rsidRPr="00330583">
        <w:rPr>
          <w:rFonts w:eastAsia="Times New Roman" w:cstheme="minorHAnsi"/>
          <w:bCs/>
          <w:iCs/>
          <w:sz w:val="20"/>
          <w:szCs w:val="20"/>
        </w:rPr>
        <w:t>Nqanqarhu</w:t>
      </w:r>
      <w:proofErr w:type="spellEnd"/>
      <w:r w:rsidRPr="00330583">
        <w:rPr>
          <w:rFonts w:eastAsia="Times New Roman" w:cstheme="minorHAnsi"/>
          <w:bCs/>
          <w:iCs/>
          <w:sz w:val="20"/>
          <w:szCs w:val="20"/>
        </w:rPr>
        <w:t>, Finance Department.  The tender document must be placed in the Tender Box not later than</w:t>
      </w:r>
      <w:r w:rsidR="0049558B" w:rsidRPr="00330583">
        <w:rPr>
          <w:rFonts w:eastAsia="Times New Roman" w:cstheme="minorHAnsi"/>
          <w:bCs/>
          <w:iCs/>
          <w:sz w:val="20"/>
          <w:szCs w:val="20"/>
        </w:rPr>
        <w:t xml:space="preserve"> 1</w:t>
      </w:r>
      <w:r w:rsidR="00FC5ECA" w:rsidRPr="00330583">
        <w:rPr>
          <w:rFonts w:eastAsia="Times New Roman" w:cstheme="minorHAnsi"/>
          <w:bCs/>
          <w:iCs/>
          <w:sz w:val="20"/>
          <w:szCs w:val="20"/>
        </w:rPr>
        <w:t xml:space="preserve">2H00 Noon on </w:t>
      </w:r>
      <w:r w:rsidR="00D074EB" w:rsidRPr="00330583">
        <w:rPr>
          <w:rFonts w:eastAsia="Times New Roman" w:cstheme="minorHAnsi"/>
          <w:bCs/>
          <w:iCs/>
          <w:sz w:val="20"/>
          <w:szCs w:val="20"/>
        </w:rPr>
        <w:t>Thursday</w:t>
      </w:r>
      <w:r w:rsidR="0049558B" w:rsidRPr="00330583">
        <w:rPr>
          <w:rFonts w:eastAsia="Times New Roman" w:cstheme="minorHAnsi"/>
          <w:bCs/>
          <w:iCs/>
          <w:sz w:val="20"/>
          <w:szCs w:val="20"/>
        </w:rPr>
        <w:t>, 0</w:t>
      </w:r>
      <w:r w:rsidR="00FC5ECA" w:rsidRPr="00330583">
        <w:rPr>
          <w:rFonts w:eastAsia="Times New Roman" w:cstheme="minorHAnsi"/>
          <w:bCs/>
          <w:iCs/>
          <w:sz w:val="20"/>
          <w:szCs w:val="20"/>
        </w:rPr>
        <w:t>5</w:t>
      </w:r>
      <w:r w:rsidR="0049558B" w:rsidRPr="00330583">
        <w:rPr>
          <w:rFonts w:eastAsia="Times New Roman" w:cstheme="minorHAnsi"/>
          <w:bCs/>
          <w:iCs/>
          <w:sz w:val="20"/>
          <w:szCs w:val="20"/>
        </w:rPr>
        <w:t xml:space="preserve"> Octo</w:t>
      </w:r>
      <w:r w:rsidR="00CD1E1C" w:rsidRPr="00330583">
        <w:rPr>
          <w:rFonts w:eastAsia="Times New Roman" w:cstheme="minorHAnsi"/>
          <w:bCs/>
          <w:iCs/>
          <w:sz w:val="20"/>
          <w:szCs w:val="20"/>
        </w:rPr>
        <w:t>ber 2023</w:t>
      </w:r>
      <w:r w:rsidRPr="00330583">
        <w:rPr>
          <w:rFonts w:eastAsia="Times New Roman" w:cstheme="minorHAnsi"/>
          <w:bCs/>
          <w:iCs/>
          <w:sz w:val="20"/>
          <w:szCs w:val="20"/>
        </w:rPr>
        <w:t xml:space="preserve"> at which time the tenders will be opened in public.</w:t>
      </w:r>
    </w:p>
    <w:p w:rsidR="0019335C" w:rsidRPr="00330583" w:rsidRDefault="0019335C" w:rsidP="0019335C">
      <w:pPr>
        <w:tabs>
          <w:tab w:val="right" w:leader="dot" w:pos="2552"/>
        </w:tabs>
        <w:rPr>
          <w:rFonts w:eastAsia="Times New Roman" w:cstheme="minorHAnsi"/>
          <w:bCs/>
          <w:iCs/>
          <w:sz w:val="20"/>
          <w:szCs w:val="20"/>
        </w:rPr>
      </w:pPr>
      <w:r w:rsidRPr="00330583">
        <w:rPr>
          <w:rFonts w:eastAsia="Times New Roman" w:cstheme="minorHAnsi"/>
          <w:bCs/>
          <w:iCs/>
          <w:sz w:val="20"/>
          <w:szCs w:val="20"/>
        </w:rPr>
        <w:t xml:space="preserve">Bidders are encouraged to make electronic copies of the bid submission in a form of USB / CD as a precautionary backup. This is not compulsory. </w:t>
      </w:r>
    </w:p>
    <w:p w:rsidR="0019335C" w:rsidRPr="00330583" w:rsidRDefault="0019335C" w:rsidP="0019335C">
      <w:pPr>
        <w:tabs>
          <w:tab w:val="right" w:leader="dot" w:pos="2552"/>
        </w:tabs>
        <w:rPr>
          <w:rFonts w:eastAsia="Times New Roman" w:cstheme="minorHAnsi"/>
          <w:bCs/>
          <w:iCs/>
          <w:sz w:val="20"/>
          <w:szCs w:val="20"/>
        </w:rPr>
      </w:pPr>
      <w:r w:rsidRPr="00330583">
        <w:rPr>
          <w:rFonts w:eastAsia="Times New Roman" w:cstheme="minorHAnsi"/>
          <w:bCs/>
          <w:iCs/>
          <w:sz w:val="20"/>
          <w:szCs w:val="20"/>
        </w:rPr>
        <w:t xml:space="preserve">Enquiries relating to </w:t>
      </w:r>
      <w:r w:rsidR="0049558B" w:rsidRPr="00330583">
        <w:rPr>
          <w:rFonts w:eastAsia="Times New Roman" w:cstheme="minorHAnsi"/>
          <w:bCs/>
          <w:iCs/>
          <w:sz w:val="20"/>
          <w:szCs w:val="20"/>
        </w:rPr>
        <w:t>SCM may</w:t>
      </w:r>
      <w:r w:rsidRPr="00330583">
        <w:rPr>
          <w:rFonts w:eastAsia="Times New Roman" w:cstheme="minorHAnsi"/>
          <w:bCs/>
          <w:iCs/>
          <w:sz w:val="20"/>
          <w:szCs w:val="20"/>
        </w:rPr>
        <w:t xml:space="preserve"> be addressed to Ms. H Mduzulwana, Tel No. 045 932 8125 or email: hlubikazi@elundini.gov.za. Technical inquiries may be addressed to Mr. K Matubatuba on email: kanum@elundini.gov.za Tel No. 045 932 8218</w:t>
      </w:r>
    </w:p>
    <w:p w:rsidR="0019335C" w:rsidRPr="00330583" w:rsidRDefault="0019335C" w:rsidP="0019335C">
      <w:pPr>
        <w:tabs>
          <w:tab w:val="right" w:leader="dot" w:pos="2552"/>
        </w:tabs>
        <w:rPr>
          <w:rFonts w:eastAsia="Times New Roman" w:cstheme="minorHAnsi"/>
          <w:bCs/>
          <w:iCs/>
          <w:sz w:val="20"/>
          <w:szCs w:val="20"/>
        </w:rPr>
      </w:pPr>
      <w:r w:rsidRPr="00330583">
        <w:rPr>
          <w:rFonts w:eastAsia="Times New Roman" w:cstheme="minorHAnsi"/>
          <w:bCs/>
          <w:iCs/>
          <w:sz w:val="20"/>
          <w:szCs w:val="20"/>
        </w:rPr>
        <w:t>Telegraphic, telephonic, telex, facsimile, e-mail and lat</w:t>
      </w:r>
      <w:r w:rsidR="000221C3" w:rsidRPr="00330583">
        <w:rPr>
          <w:rFonts w:eastAsia="Times New Roman" w:cstheme="minorHAnsi"/>
          <w:bCs/>
          <w:iCs/>
          <w:sz w:val="20"/>
          <w:szCs w:val="20"/>
        </w:rPr>
        <w:t>e tenders will not be accepted.</w:t>
      </w:r>
    </w:p>
    <w:p w:rsidR="0019335C" w:rsidRPr="00330583" w:rsidRDefault="0019335C" w:rsidP="0019335C">
      <w:pPr>
        <w:tabs>
          <w:tab w:val="right" w:leader="dot" w:pos="2552"/>
        </w:tabs>
        <w:rPr>
          <w:rFonts w:eastAsia="Times New Roman" w:cstheme="minorHAnsi"/>
          <w:bCs/>
          <w:iCs/>
          <w:sz w:val="20"/>
          <w:szCs w:val="20"/>
        </w:rPr>
      </w:pPr>
      <w:r w:rsidRPr="00330583">
        <w:rPr>
          <w:rFonts w:eastAsia="Times New Roman" w:cstheme="minorHAnsi"/>
          <w:bCs/>
          <w:iCs/>
          <w:sz w:val="20"/>
          <w:szCs w:val="20"/>
        </w:rPr>
        <w:t>Tenders may only be submitted on the tender documentation that is issued. Requirements for sealing, addressing, delivery, opening and assessment of tenders are stated in the t</w:t>
      </w:r>
      <w:r w:rsidR="000221C3" w:rsidRPr="00330583">
        <w:rPr>
          <w:rFonts w:eastAsia="Times New Roman" w:cstheme="minorHAnsi"/>
          <w:bCs/>
          <w:iCs/>
          <w:sz w:val="20"/>
          <w:szCs w:val="20"/>
        </w:rPr>
        <w:t>ender data and tender documents</w:t>
      </w:r>
    </w:p>
    <w:p w:rsidR="0019335C" w:rsidRPr="00330583" w:rsidRDefault="0019335C" w:rsidP="0019335C">
      <w:pPr>
        <w:tabs>
          <w:tab w:val="right" w:leader="dot" w:pos="2552"/>
        </w:tabs>
        <w:rPr>
          <w:rFonts w:eastAsia="Times New Roman" w:cstheme="minorHAnsi"/>
          <w:bCs/>
          <w:iCs/>
          <w:sz w:val="20"/>
          <w:szCs w:val="20"/>
        </w:rPr>
      </w:pPr>
      <w:r w:rsidRPr="00330583">
        <w:rPr>
          <w:rFonts w:eastAsia="Times New Roman" w:cstheme="minorHAnsi"/>
          <w:bCs/>
          <w:iCs/>
          <w:sz w:val="20"/>
          <w:szCs w:val="20"/>
        </w:rPr>
        <w:t>The minimum specifications, other bid conditions and rules are detailed in the bid document under Tender Data. The Elundini Local Municipality SCM policy applies. Ten</w:t>
      </w:r>
      <w:r w:rsidR="000221C3" w:rsidRPr="00330583">
        <w:rPr>
          <w:rFonts w:eastAsia="Times New Roman" w:cstheme="minorHAnsi"/>
          <w:bCs/>
          <w:iCs/>
          <w:sz w:val="20"/>
          <w:szCs w:val="20"/>
        </w:rPr>
        <w:t>der validity period is 12 Weeks</w:t>
      </w:r>
    </w:p>
    <w:p w:rsidR="0019335C" w:rsidRPr="00330583" w:rsidRDefault="0019335C" w:rsidP="0019335C">
      <w:pPr>
        <w:tabs>
          <w:tab w:val="right" w:leader="dot" w:pos="2552"/>
        </w:tabs>
        <w:rPr>
          <w:rFonts w:eastAsia="Times New Roman" w:cstheme="minorHAnsi"/>
          <w:bCs/>
          <w:iCs/>
          <w:sz w:val="20"/>
          <w:szCs w:val="20"/>
        </w:rPr>
      </w:pPr>
      <w:r w:rsidRPr="00330583">
        <w:rPr>
          <w:rFonts w:eastAsia="Times New Roman" w:cstheme="minorHAnsi"/>
          <w:bCs/>
          <w:iCs/>
          <w:sz w:val="20"/>
          <w:szCs w:val="20"/>
        </w:rPr>
        <w:t>Tenderers must request clarification on the tender documents, if necessary, by notifying the employer at least 5 (Five) working days before the closing time stated in the tender data. No clarifications that will require issue of an addendum will b</w:t>
      </w:r>
      <w:r w:rsidR="000221C3" w:rsidRPr="00330583">
        <w:rPr>
          <w:rFonts w:eastAsia="Times New Roman" w:cstheme="minorHAnsi"/>
          <w:bCs/>
          <w:iCs/>
          <w:sz w:val="20"/>
          <w:szCs w:val="20"/>
        </w:rPr>
        <w:t>e entertained after this period</w:t>
      </w:r>
    </w:p>
    <w:p w:rsidR="00EC1748" w:rsidRPr="00330583" w:rsidRDefault="0019335C" w:rsidP="00172E6C">
      <w:pPr>
        <w:tabs>
          <w:tab w:val="right" w:leader="dot" w:pos="2552"/>
          <w:tab w:val="center" w:pos="5233"/>
        </w:tabs>
        <w:rPr>
          <w:rFonts w:eastAsia="Times New Roman" w:cstheme="minorHAnsi"/>
          <w:bCs/>
          <w:iCs/>
          <w:sz w:val="20"/>
          <w:szCs w:val="20"/>
        </w:rPr>
      </w:pPr>
      <w:r w:rsidRPr="00330583">
        <w:rPr>
          <w:rFonts w:eastAsia="Times New Roman" w:cstheme="minorHAnsi"/>
          <w:bCs/>
          <w:iCs/>
          <w:sz w:val="20"/>
          <w:szCs w:val="20"/>
        </w:rPr>
        <w:t>FOR COMPLAINTS, FRAUD, &amp; TENDER ABUSE:  Call: 080 070 1701</w:t>
      </w:r>
    </w:p>
    <w:p w:rsidR="00330583" w:rsidRDefault="00330583" w:rsidP="00C109DC">
      <w:pPr>
        <w:spacing w:after="0" w:line="276" w:lineRule="auto"/>
        <w:rPr>
          <w:rFonts w:eastAsia="Calibri" w:cstheme="minorHAnsi"/>
          <w:b/>
          <w:color w:val="000000"/>
          <w:sz w:val="20"/>
          <w:szCs w:val="20"/>
          <w:u w:val="single"/>
        </w:rPr>
      </w:pPr>
    </w:p>
    <w:p w:rsidR="00C109DC" w:rsidRPr="00330583" w:rsidRDefault="00C109DC" w:rsidP="00C109DC">
      <w:pPr>
        <w:spacing w:after="0" w:line="276" w:lineRule="auto"/>
        <w:rPr>
          <w:rFonts w:eastAsia="Calibri" w:cstheme="minorHAnsi"/>
          <w:b/>
          <w:color w:val="000000"/>
          <w:sz w:val="20"/>
          <w:szCs w:val="20"/>
          <w:u w:val="single"/>
        </w:rPr>
      </w:pPr>
      <w:r w:rsidRPr="00330583">
        <w:rPr>
          <w:rFonts w:eastAsia="Calibri" w:cstheme="minorHAnsi"/>
          <w:b/>
          <w:color w:val="000000"/>
          <w:sz w:val="20"/>
          <w:szCs w:val="20"/>
          <w:u w:val="single"/>
        </w:rPr>
        <w:t>______________________________</w:t>
      </w:r>
    </w:p>
    <w:p w:rsidR="00C109DC" w:rsidRPr="00330583" w:rsidRDefault="00F0595B" w:rsidP="00C109DC">
      <w:pPr>
        <w:spacing w:after="0" w:line="276" w:lineRule="auto"/>
        <w:rPr>
          <w:rFonts w:eastAsia="Calibri" w:cstheme="minorHAnsi"/>
          <w:b/>
          <w:sz w:val="20"/>
          <w:szCs w:val="20"/>
        </w:rPr>
      </w:pPr>
      <w:r w:rsidRPr="00330583">
        <w:rPr>
          <w:rFonts w:eastAsia="Calibri" w:cstheme="minorHAnsi"/>
          <w:b/>
          <w:sz w:val="20"/>
          <w:szCs w:val="20"/>
        </w:rPr>
        <w:t>JACK MDENI</w:t>
      </w:r>
    </w:p>
    <w:p w:rsidR="00C109DC" w:rsidRPr="00330583" w:rsidRDefault="00C109DC" w:rsidP="00C109DC">
      <w:pPr>
        <w:spacing w:after="0" w:line="276" w:lineRule="auto"/>
        <w:rPr>
          <w:rFonts w:eastAsia="Calibri" w:cstheme="minorHAnsi"/>
          <w:b/>
          <w:color w:val="000000"/>
          <w:sz w:val="20"/>
          <w:szCs w:val="20"/>
        </w:rPr>
      </w:pPr>
      <w:r w:rsidRPr="00330583">
        <w:rPr>
          <w:rFonts w:eastAsia="Calibri" w:cstheme="minorHAnsi"/>
          <w:b/>
          <w:color w:val="000000"/>
          <w:sz w:val="20"/>
          <w:szCs w:val="20"/>
        </w:rPr>
        <w:t>MUNICIPAL MANAGER</w:t>
      </w:r>
    </w:p>
    <w:p w:rsidR="00C62195" w:rsidRPr="00330583" w:rsidRDefault="00BF657A" w:rsidP="00AB25EE">
      <w:pPr>
        <w:spacing w:after="0" w:line="360" w:lineRule="auto"/>
        <w:jc w:val="both"/>
        <w:rPr>
          <w:rFonts w:cstheme="minorHAnsi"/>
          <w:b/>
          <w:noProof/>
          <w:sz w:val="18"/>
          <w:szCs w:val="18"/>
        </w:rPr>
      </w:pPr>
      <w:r w:rsidRPr="00330583">
        <w:rPr>
          <w:rFonts w:cstheme="minorHAnsi"/>
          <w:b/>
          <w:noProof/>
          <w:sz w:val="18"/>
          <w:szCs w:val="18"/>
        </w:rPr>
        <w:t xml:space="preserve">                                                              </w:t>
      </w:r>
    </w:p>
    <w:p w:rsidR="00C62195" w:rsidRPr="00330583" w:rsidRDefault="00C62195" w:rsidP="003164D9">
      <w:pPr>
        <w:spacing w:after="0" w:line="360" w:lineRule="auto"/>
        <w:jc w:val="both"/>
        <w:rPr>
          <w:rFonts w:cstheme="minorHAnsi"/>
          <w:b/>
          <w:noProof/>
          <w:sz w:val="18"/>
          <w:szCs w:val="18"/>
        </w:rPr>
      </w:pPr>
    </w:p>
    <w:p w:rsidR="00AB25EE" w:rsidRPr="00330583" w:rsidRDefault="00AB25EE">
      <w:pPr>
        <w:rPr>
          <w:rFonts w:cstheme="minorHAnsi"/>
          <w:sz w:val="18"/>
          <w:szCs w:val="18"/>
        </w:rPr>
      </w:pPr>
    </w:p>
    <w:p w:rsidR="00AB25EE" w:rsidRPr="00330583" w:rsidRDefault="00AB25EE">
      <w:pPr>
        <w:rPr>
          <w:rFonts w:cstheme="minorHAnsi"/>
          <w:sz w:val="18"/>
          <w:szCs w:val="18"/>
        </w:rPr>
      </w:pPr>
    </w:p>
    <w:p w:rsidR="000D5C48" w:rsidRPr="00330583" w:rsidRDefault="002D6E1E">
      <w:pPr>
        <w:rPr>
          <w:rFonts w:cstheme="minorHAnsi"/>
          <w:sz w:val="18"/>
          <w:szCs w:val="18"/>
        </w:rPr>
      </w:pPr>
      <w:r w:rsidRPr="00330583">
        <w:rPr>
          <w:rFonts w:cstheme="minorHAnsi"/>
          <w:sz w:val="18"/>
          <w:szCs w:val="18"/>
        </w:rPr>
        <w:t xml:space="preserve"> </w:t>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r w:rsidRPr="00330583">
        <w:rPr>
          <w:rFonts w:cstheme="minorHAnsi"/>
          <w:sz w:val="18"/>
          <w:szCs w:val="18"/>
        </w:rPr>
        <w:tab/>
      </w:r>
    </w:p>
    <w:sectPr w:rsidR="000D5C48" w:rsidRPr="00330583" w:rsidSect="00B65F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F29"/>
    <w:multiLevelType w:val="hybridMultilevel"/>
    <w:tmpl w:val="A5DC6A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B616003"/>
    <w:multiLevelType w:val="hybridMultilevel"/>
    <w:tmpl w:val="549081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C4623E5"/>
    <w:multiLevelType w:val="hybridMultilevel"/>
    <w:tmpl w:val="415CCB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30C0836"/>
    <w:multiLevelType w:val="hybridMultilevel"/>
    <w:tmpl w:val="787C9A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2B54CD9"/>
    <w:multiLevelType w:val="hybridMultilevel"/>
    <w:tmpl w:val="FECC9A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233132"/>
    <w:multiLevelType w:val="hybridMultilevel"/>
    <w:tmpl w:val="2FDED3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F73"/>
    <w:rsid w:val="000221C3"/>
    <w:rsid w:val="0002592F"/>
    <w:rsid w:val="00025E12"/>
    <w:rsid w:val="00034EDB"/>
    <w:rsid w:val="00046AD6"/>
    <w:rsid w:val="00077C93"/>
    <w:rsid w:val="00084206"/>
    <w:rsid w:val="000A2A0C"/>
    <w:rsid w:val="000A7247"/>
    <w:rsid w:val="000B7125"/>
    <w:rsid w:val="000C0A9E"/>
    <w:rsid w:val="000D5C48"/>
    <w:rsid w:val="000E71BF"/>
    <w:rsid w:val="00131501"/>
    <w:rsid w:val="00136B80"/>
    <w:rsid w:val="0014473A"/>
    <w:rsid w:val="00160E01"/>
    <w:rsid w:val="00172E6C"/>
    <w:rsid w:val="0017774E"/>
    <w:rsid w:val="00181BBB"/>
    <w:rsid w:val="0019335C"/>
    <w:rsid w:val="001A02B3"/>
    <w:rsid w:val="001D5468"/>
    <w:rsid w:val="001E20DF"/>
    <w:rsid w:val="001E5DB4"/>
    <w:rsid w:val="002218F0"/>
    <w:rsid w:val="00235D61"/>
    <w:rsid w:val="00237267"/>
    <w:rsid w:val="00240BF3"/>
    <w:rsid w:val="0027371E"/>
    <w:rsid w:val="002748BD"/>
    <w:rsid w:val="00281ED0"/>
    <w:rsid w:val="002913EF"/>
    <w:rsid w:val="0029506D"/>
    <w:rsid w:val="002B21CB"/>
    <w:rsid w:val="002B2FE5"/>
    <w:rsid w:val="002D6B82"/>
    <w:rsid w:val="002D6E1E"/>
    <w:rsid w:val="002F3C5F"/>
    <w:rsid w:val="00312DD4"/>
    <w:rsid w:val="003164D9"/>
    <w:rsid w:val="00316CE6"/>
    <w:rsid w:val="00330583"/>
    <w:rsid w:val="003434C2"/>
    <w:rsid w:val="003530C2"/>
    <w:rsid w:val="003655F5"/>
    <w:rsid w:val="003767C1"/>
    <w:rsid w:val="00390088"/>
    <w:rsid w:val="003900D5"/>
    <w:rsid w:val="00390834"/>
    <w:rsid w:val="003A158C"/>
    <w:rsid w:val="00417820"/>
    <w:rsid w:val="0043449B"/>
    <w:rsid w:val="004744D5"/>
    <w:rsid w:val="00474AC2"/>
    <w:rsid w:val="0049558B"/>
    <w:rsid w:val="004A7A2E"/>
    <w:rsid w:val="004B1F14"/>
    <w:rsid w:val="00525106"/>
    <w:rsid w:val="005478A2"/>
    <w:rsid w:val="00565823"/>
    <w:rsid w:val="00567119"/>
    <w:rsid w:val="00575EB2"/>
    <w:rsid w:val="00580CBA"/>
    <w:rsid w:val="005A55C6"/>
    <w:rsid w:val="005B5249"/>
    <w:rsid w:val="005B5B89"/>
    <w:rsid w:val="005C1A6D"/>
    <w:rsid w:val="005C4693"/>
    <w:rsid w:val="005D5F78"/>
    <w:rsid w:val="005E0C4B"/>
    <w:rsid w:val="006177CA"/>
    <w:rsid w:val="0063687F"/>
    <w:rsid w:val="00660B85"/>
    <w:rsid w:val="006636AA"/>
    <w:rsid w:val="0069569E"/>
    <w:rsid w:val="00697542"/>
    <w:rsid w:val="006B372A"/>
    <w:rsid w:val="006D3DB8"/>
    <w:rsid w:val="006E6909"/>
    <w:rsid w:val="006F5C91"/>
    <w:rsid w:val="00732C29"/>
    <w:rsid w:val="00741211"/>
    <w:rsid w:val="0074713A"/>
    <w:rsid w:val="007644C8"/>
    <w:rsid w:val="00773B81"/>
    <w:rsid w:val="00790D84"/>
    <w:rsid w:val="007910FC"/>
    <w:rsid w:val="007C2D47"/>
    <w:rsid w:val="007D25A2"/>
    <w:rsid w:val="007E31D7"/>
    <w:rsid w:val="007F25C3"/>
    <w:rsid w:val="007F3DC4"/>
    <w:rsid w:val="007F79E1"/>
    <w:rsid w:val="00804D60"/>
    <w:rsid w:val="00807DDC"/>
    <w:rsid w:val="008109F1"/>
    <w:rsid w:val="00813FE1"/>
    <w:rsid w:val="00826363"/>
    <w:rsid w:val="0085591B"/>
    <w:rsid w:val="008705CC"/>
    <w:rsid w:val="008A064D"/>
    <w:rsid w:val="008C1C01"/>
    <w:rsid w:val="008D1014"/>
    <w:rsid w:val="008E551D"/>
    <w:rsid w:val="00915DA6"/>
    <w:rsid w:val="00917AA8"/>
    <w:rsid w:val="00954E87"/>
    <w:rsid w:val="00980F54"/>
    <w:rsid w:val="00986DF6"/>
    <w:rsid w:val="009C45E5"/>
    <w:rsid w:val="009E1239"/>
    <w:rsid w:val="00A40499"/>
    <w:rsid w:val="00A5471A"/>
    <w:rsid w:val="00A63AA9"/>
    <w:rsid w:val="00A677B6"/>
    <w:rsid w:val="00A70CFB"/>
    <w:rsid w:val="00A80169"/>
    <w:rsid w:val="00A953C8"/>
    <w:rsid w:val="00AB19C3"/>
    <w:rsid w:val="00AB25EE"/>
    <w:rsid w:val="00AB4A05"/>
    <w:rsid w:val="00AD2B36"/>
    <w:rsid w:val="00AE206E"/>
    <w:rsid w:val="00AF1139"/>
    <w:rsid w:val="00B03279"/>
    <w:rsid w:val="00B55728"/>
    <w:rsid w:val="00B65F73"/>
    <w:rsid w:val="00B83E94"/>
    <w:rsid w:val="00B851FC"/>
    <w:rsid w:val="00B95C2D"/>
    <w:rsid w:val="00BA3195"/>
    <w:rsid w:val="00BC5804"/>
    <w:rsid w:val="00BE66C5"/>
    <w:rsid w:val="00BF3B07"/>
    <w:rsid w:val="00BF657A"/>
    <w:rsid w:val="00C03781"/>
    <w:rsid w:val="00C04727"/>
    <w:rsid w:val="00C065AF"/>
    <w:rsid w:val="00C109DC"/>
    <w:rsid w:val="00C301A6"/>
    <w:rsid w:val="00C62195"/>
    <w:rsid w:val="00C64A2F"/>
    <w:rsid w:val="00C70A0C"/>
    <w:rsid w:val="00C74F05"/>
    <w:rsid w:val="00C77E00"/>
    <w:rsid w:val="00CA5A3E"/>
    <w:rsid w:val="00CA6F06"/>
    <w:rsid w:val="00CA7118"/>
    <w:rsid w:val="00CD1E1C"/>
    <w:rsid w:val="00CE72C4"/>
    <w:rsid w:val="00CF7F5E"/>
    <w:rsid w:val="00D074EB"/>
    <w:rsid w:val="00D0770B"/>
    <w:rsid w:val="00D1206A"/>
    <w:rsid w:val="00D22956"/>
    <w:rsid w:val="00D57629"/>
    <w:rsid w:val="00D6574D"/>
    <w:rsid w:val="00D8760C"/>
    <w:rsid w:val="00D977AF"/>
    <w:rsid w:val="00DB5512"/>
    <w:rsid w:val="00DD4404"/>
    <w:rsid w:val="00DD4609"/>
    <w:rsid w:val="00E11909"/>
    <w:rsid w:val="00E42E02"/>
    <w:rsid w:val="00E773BA"/>
    <w:rsid w:val="00EA2403"/>
    <w:rsid w:val="00EA3644"/>
    <w:rsid w:val="00EA403F"/>
    <w:rsid w:val="00EC1748"/>
    <w:rsid w:val="00EC38E9"/>
    <w:rsid w:val="00ED4E62"/>
    <w:rsid w:val="00EF08EF"/>
    <w:rsid w:val="00F0595B"/>
    <w:rsid w:val="00F151EB"/>
    <w:rsid w:val="00F2763C"/>
    <w:rsid w:val="00F40AF0"/>
    <w:rsid w:val="00F4336C"/>
    <w:rsid w:val="00F43420"/>
    <w:rsid w:val="00F543D8"/>
    <w:rsid w:val="00FA492E"/>
    <w:rsid w:val="00FC183C"/>
    <w:rsid w:val="00FC5ECA"/>
    <w:rsid w:val="00FF6A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3BC0"/>
  <w15:chartTrackingRefBased/>
  <w15:docId w15:val="{7FC48218-F6D9-4AAF-A307-0C4D8646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87F"/>
    <w:pPr>
      <w:ind w:left="720"/>
      <w:contextualSpacing/>
    </w:pPr>
  </w:style>
  <w:style w:type="table" w:styleId="TableGrid">
    <w:name w:val="Table Grid"/>
    <w:basedOn w:val="TableNormal"/>
    <w:uiPriority w:val="39"/>
    <w:rsid w:val="00BA3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3C5F"/>
    <w:rPr>
      <w:color w:val="0563C1" w:themeColor="hyperlink"/>
      <w:u w:val="single"/>
    </w:rPr>
  </w:style>
  <w:style w:type="paragraph" w:styleId="BalloonText">
    <w:name w:val="Balloon Text"/>
    <w:basedOn w:val="Normal"/>
    <w:link w:val="BalloonTextChar"/>
    <w:uiPriority w:val="99"/>
    <w:semiHidden/>
    <w:unhideWhenUsed/>
    <w:rsid w:val="00A95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3C8"/>
    <w:rPr>
      <w:rFonts w:ascii="Segoe UI" w:hAnsi="Segoe UI" w:cs="Segoe UI"/>
      <w:sz w:val="18"/>
      <w:szCs w:val="18"/>
    </w:rPr>
  </w:style>
  <w:style w:type="table" w:customStyle="1" w:styleId="TableGrid1">
    <w:name w:val="Table Grid1"/>
    <w:basedOn w:val="TableNormal"/>
    <w:next w:val="TableGrid"/>
    <w:uiPriority w:val="39"/>
    <w:rsid w:val="00C06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15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1602</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Nonkuselo Sokutu</dc:creator>
  <cp:keywords/>
  <dc:description/>
  <cp:lastModifiedBy>Thuthula Sahlulo</cp:lastModifiedBy>
  <cp:revision>7</cp:revision>
  <cp:lastPrinted>2023-09-01T09:12:00Z</cp:lastPrinted>
  <dcterms:created xsi:type="dcterms:W3CDTF">2023-08-30T22:20:00Z</dcterms:created>
  <dcterms:modified xsi:type="dcterms:W3CDTF">2023-09-01T09:14:00Z</dcterms:modified>
</cp:coreProperties>
</file>