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E1C5" w14:textId="77777777" w:rsidR="008A25CB" w:rsidRPr="005E0CB8" w:rsidRDefault="008A25CB" w:rsidP="008A25CB">
      <w:pPr>
        <w:jc w:val="center"/>
        <w:rPr>
          <w:b/>
          <w:bCs/>
        </w:rPr>
      </w:pPr>
      <w:r w:rsidRPr="005E0CB8">
        <w:rPr>
          <w:b/>
          <w:bCs/>
        </w:rPr>
        <w:t>TERMS OF REFERENCE</w:t>
      </w:r>
    </w:p>
    <w:p w14:paraId="511919B5" w14:textId="77777777" w:rsidR="00F25B4E" w:rsidRDefault="008A25CB">
      <w:pPr>
        <w:rPr>
          <w:rFonts w:cstheme="minorHAnsi"/>
          <w:b/>
          <w:bCs/>
        </w:rPr>
      </w:pPr>
      <w:r>
        <w:t xml:space="preserve">Appointment of a service provider </w:t>
      </w:r>
      <w:r w:rsidR="008D7BB8">
        <w:t>as</w:t>
      </w:r>
      <w:r w:rsidR="00855E24">
        <w:t xml:space="preserve"> </w:t>
      </w:r>
      <w:r>
        <w:t>the B-BBEE verification agency for a period of 3 years</w:t>
      </w:r>
    </w:p>
    <w:p w14:paraId="4AFC181C" w14:textId="77777777" w:rsidR="008A25CB" w:rsidRDefault="008A25CB">
      <w:pPr>
        <w:rPr>
          <w:rFonts w:cstheme="minorHAnsi"/>
          <w:b/>
          <w:bCs/>
        </w:rPr>
      </w:pPr>
    </w:p>
    <w:p w14:paraId="4435BE77" w14:textId="77777777" w:rsidR="00047959" w:rsidRPr="00507EFB" w:rsidRDefault="00C1022C">
      <w:pPr>
        <w:rPr>
          <w:rFonts w:cstheme="minorHAnsi"/>
          <w:b/>
          <w:bCs/>
        </w:rPr>
      </w:pPr>
      <w:r w:rsidRPr="00507EFB">
        <w:rPr>
          <w:rFonts w:cstheme="minorHAnsi"/>
          <w:b/>
          <w:bCs/>
        </w:rPr>
        <w:t>1</w:t>
      </w:r>
      <w:r w:rsidR="00F467E1" w:rsidRPr="00507EFB">
        <w:rPr>
          <w:rFonts w:cstheme="minorHAnsi"/>
          <w:b/>
          <w:bCs/>
        </w:rPr>
        <w:t>.</w:t>
      </w:r>
      <w:r w:rsidRPr="00507EFB">
        <w:rPr>
          <w:rFonts w:cstheme="minorHAnsi"/>
          <w:b/>
          <w:bCs/>
        </w:rPr>
        <w:t xml:space="preserve"> </w:t>
      </w:r>
      <w:r w:rsidR="00047959" w:rsidRPr="00507EFB">
        <w:rPr>
          <w:rFonts w:cstheme="minorHAnsi"/>
          <w:b/>
          <w:bCs/>
        </w:rPr>
        <w:t>BACKGROUND</w:t>
      </w:r>
    </w:p>
    <w:p w14:paraId="5CD8C255" w14:textId="77777777" w:rsidR="00FE7CF7" w:rsidRPr="00F467E1" w:rsidRDefault="00FE7CF7" w:rsidP="00FE7CF7">
      <w:pPr>
        <w:spacing w:after="0"/>
        <w:ind w:right="61"/>
        <w:jc w:val="both"/>
        <w:rPr>
          <w:rFonts w:eastAsia="Arial" w:cstheme="minorHAnsi"/>
          <w:bCs/>
          <w:color w:val="212121"/>
        </w:rPr>
      </w:pPr>
      <w:r w:rsidRPr="00F467E1">
        <w:rPr>
          <w:rFonts w:eastAsia="Arial" w:cstheme="minorHAnsi"/>
          <w:bCs/>
          <w:color w:val="212121"/>
        </w:rPr>
        <w:t>The Human Sciences Research Council (HSRC) is a Schedule 3 (A) national public entity in terms of the Public Finance Management Act (PFMA) 1999 (Act No.1 of 1999 as amended). The HSRC is governed by a Board appointed by the Minister of Higher Education, Science and Innovation. In delivering ‘social science that makes a difference’ in South Africa and the region, the Research Programmes and Units of the Human Sciences Research Council initiate and undertake policy-oriented research projects and programmes from its offices in Cape Town, Durban, Pietermaritzburg, and Pretoria. Its public-purpose mandate is set out in the Human Sciences Research Council Act of 2008.</w:t>
      </w:r>
    </w:p>
    <w:p w14:paraId="02A40E53" w14:textId="77777777" w:rsidR="00047959" w:rsidRDefault="00047959"/>
    <w:p w14:paraId="6AC638A7" w14:textId="77777777" w:rsidR="00FE7CF7" w:rsidRDefault="00FE7CF7">
      <w:r>
        <w:t>These are the official terms of reference (TORs) commissioned by HSRC for the appointment of a service provider to perform a B-BBEE verification for HSRC.</w:t>
      </w:r>
    </w:p>
    <w:p w14:paraId="517848D8" w14:textId="77777777" w:rsidR="00047959" w:rsidRDefault="00047959"/>
    <w:p w14:paraId="0E8F5FB6" w14:textId="77777777" w:rsidR="00047959" w:rsidRDefault="00047959">
      <w:r>
        <w:t>Please note the following regarding HSRC</w:t>
      </w:r>
    </w:p>
    <w:p w14:paraId="2D578968" w14:textId="77777777" w:rsidR="00047959" w:rsidRDefault="00047959">
      <w:r>
        <w:t>•HSRC is a schedule 3A public entity reporting directly to DSI.</w:t>
      </w:r>
    </w:p>
    <w:p w14:paraId="123F2EC7" w14:textId="77777777" w:rsidR="00D7399E" w:rsidRDefault="00047959">
      <w:r>
        <w:t xml:space="preserve"> • Currently have</w:t>
      </w:r>
      <w:r w:rsidR="00723A7E">
        <w:t xml:space="preserve"> about 400</w:t>
      </w:r>
      <w:r>
        <w:t xml:space="preserve"> employees. </w:t>
      </w:r>
    </w:p>
    <w:p w14:paraId="1CF25386" w14:textId="77777777" w:rsidR="00047959" w:rsidRDefault="00047959"/>
    <w:p w14:paraId="177AFD3F" w14:textId="77777777" w:rsidR="003568F4" w:rsidRPr="00507EFB" w:rsidRDefault="00C1022C">
      <w:pPr>
        <w:rPr>
          <w:b/>
          <w:bCs/>
        </w:rPr>
      </w:pPr>
      <w:r w:rsidRPr="00507EFB">
        <w:rPr>
          <w:b/>
          <w:bCs/>
        </w:rPr>
        <w:t>2</w:t>
      </w:r>
      <w:r w:rsidR="00F467E1" w:rsidRPr="00507EFB">
        <w:rPr>
          <w:b/>
          <w:bCs/>
        </w:rPr>
        <w:t>.</w:t>
      </w:r>
      <w:r w:rsidRPr="00507EFB">
        <w:rPr>
          <w:b/>
          <w:bCs/>
        </w:rPr>
        <w:t xml:space="preserve"> </w:t>
      </w:r>
      <w:r w:rsidR="003568F4" w:rsidRPr="00507EFB">
        <w:rPr>
          <w:b/>
          <w:bCs/>
        </w:rPr>
        <w:t xml:space="preserve">INVITATION FOR </w:t>
      </w:r>
      <w:r w:rsidR="003568F4" w:rsidRPr="00507EFB">
        <w:rPr>
          <w:rFonts w:cstheme="minorHAnsi"/>
          <w:b/>
          <w:bCs/>
        </w:rPr>
        <w:t>PROPOSALS</w:t>
      </w:r>
      <w:r w:rsidR="003568F4" w:rsidRPr="00507EFB">
        <w:rPr>
          <w:b/>
          <w:bCs/>
        </w:rPr>
        <w:t xml:space="preserve"> </w:t>
      </w:r>
    </w:p>
    <w:p w14:paraId="64520AE3" w14:textId="77777777" w:rsidR="003568F4" w:rsidRDefault="003568F4">
      <w:r>
        <w:t xml:space="preserve">These terms of reference are intended to provide a scope of work and deliverables to appoint BBBEE verification agency to compile a balance score card, do the required verification in relation to the BBBEE for a period of </w:t>
      </w:r>
      <w:r w:rsidR="00EF42DB">
        <w:t>3 years</w:t>
      </w:r>
      <w:r>
        <w:t>.</w:t>
      </w:r>
    </w:p>
    <w:p w14:paraId="3A789EBA" w14:textId="77777777" w:rsidR="003568F4" w:rsidRDefault="003568F4"/>
    <w:p w14:paraId="406E0D80" w14:textId="77777777" w:rsidR="003568F4" w:rsidRPr="00507EFB" w:rsidRDefault="00417FBB">
      <w:pPr>
        <w:rPr>
          <w:b/>
          <w:bCs/>
        </w:rPr>
      </w:pPr>
      <w:r w:rsidRPr="00507EFB">
        <w:rPr>
          <w:b/>
          <w:bCs/>
        </w:rPr>
        <w:t>3</w:t>
      </w:r>
      <w:r w:rsidR="006B7761" w:rsidRPr="00507EFB">
        <w:rPr>
          <w:b/>
          <w:bCs/>
        </w:rPr>
        <w:t>.</w:t>
      </w:r>
      <w:r w:rsidRPr="00507EFB">
        <w:rPr>
          <w:b/>
          <w:bCs/>
        </w:rPr>
        <w:t xml:space="preserve"> </w:t>
      </w:r>
      <w:r w:rsidR="003568F4" w:rsidRPr="00507EFB">
        <w:rPr>
          <w:b/>
          <w:bCs/>
        </w:rPr>
        <w:t xml:space="preserve">SCOPE OF WORK </w:t>
      </w:r>
    </w:p>
    <w:p w14:paraId="5908CFB9" w14:textId="77777777" w:rsidR="003568F4" w:rsidRDefault="003568F4" w:rsidP="00A377C5">
      <w:r>
        <w:t>The appointed service provider will be expected to perform the following services as duties and responsibilities.</w:t>
      </w:r>
    </w:p>
    <w:tbl>
      <w:tblPr>
        <w:tblStyle w:val="TableGrid"/>
        <w:tblW w:w="0" w:type="auto"/>
        <w:tblLook w:val="04A0" w:firstRow="1" w:lastRow="0" w:firstColumn="1" w:lastColumn="0" w:noHBand="0" w:noVBand="1"/>
      </w:tblPr>
      <w:tblGrid>
        <w:gridCol w:w="4508"/>
        <w:gridCol w:w="4508"/>
      </w:tblGrid>
      <w:tr w:rsidR="004613BA" w14:paraId="5256213B" w14:textId="77777777" w:rsidTr="004613BA">
        <w:tc>
          <w:tcPr>
            <w:tcW w:w="4508" w:type="dxa"/>
          </w:tcPr>
          <w:p w14:paraId="4215DF72" w14:textId="77777777" w:rsidR="004613BA" w:rsidRDefault="007F54E3" w:rsidP="00A377C5">
            <w:r>
              <w:t>Scope of work</w:t>
            </w:r>
          </w:p>
        </w:tc>
        <w:tc>
          <w:tcPr>
            <w:tcW w:w="4508" w:type="dxa"/>
          </w:tcPr>
          <w:p w14:paraId="5C2A0030" w14:textId="77777777" w:rsidR="004613BA" w:rsidRDefault="006D68BE" w:rsidP="00A377C5">
            <w:r>
              <w:t>Deliverable</w:t>
            </w:r>
          </w:p>
        </w:tc>
      </w:tr>
      <w:tr w:rsidR="004613BA" w14:paraId="1087B767" w14:textId="77777777" w:rsidTr="004613BA">
        <w:tc>
          <w:tcPr>
            <w:tcW w:w="4508" w:type="dxa"/>
          </w:tcPr>
          <w:p w14:paraId="4D45AE92" w14:textId="77777777" w:rsidR="004613BA" w:rsidRDefault="002C73BD" w:rsidP="00A377C5">
            <w:r>
              <w:t xml:space="preserve">Verification of </w:t>
            </w:r>
            <w:r w:rsidR="00287CB6">
              <w:t>HSRC</w:t>
            </w:r>
            <w:r>
              <w:t>’s B-BBEE status</w:t>
            </w:r>
          </w:p>
        </w:tc>
        <w:tc>
          <w:tcPr>
            <w:tcW w:w="4508" w:type="dxa"/>
          </w:tcPr>
          <w:p w14:paraId="05470497" w14:textId="77777777" w:rsidR="004613BA" w:rsidRDefault="00BA258D" w:rsidP="00A377C5">
            <w:proofErr w:type="gramStart"/>
            <w:r>
              <w:t>3 month</w:t>
            </w:r>
            <w:proofErr w:type="gramEnd"/>
            <w:r>
              <w:t xml:space="preserve"> </w:t>
            </w:r>
            <w:r w:rsidR="00287CB6">
              <w:t xml:space="preserve">Project </w:t>
            </w:r>
            <w:r w:rsidR="00723A7E">
              <w:t>P</w:t>
            </w:r>
            <w:r w:rsidR="00287CB6">
              <w:t xml:space="preserve">lan on how to implement the verification services of the </w:t>
            </w:r>
            <w:r w:rsidR="00D16680">
              <w:t>HSRC</w:t>
            </w:r>
            <w:r w:rsidR="00287CB6">
              <w:t>’s BBBEE status</w:t>
            </w:r>
          </w:p>
        </w:tc>
      </w:tr>
      <w:tr w:rsidR="004613BA" w14:paraId="6E06BF6F" w14:textId="77777777" w:rsidTr="004613BA">
        <w:tc>
          <w:tcPr>
            <w:tcW w:w="4508" w:type="dxa"/>
          </w:tcPr>
          <w:p w14:paraId="419393C7" w14:textId="77777777" w:rsidR="004613BA" w:rsidRDefault="001B5915" w:rsidP="00A377C5">
            <w:r>
              <w:t>Generation of verification certificate confirming B-BBEE status and recognition</w:t>
            </w:r>
          </w:p>
        </w:tc>
        <w:tc>
          <w:tcPr>
            <w:tcW w:w="4508" w:type="dxa"/>
          </w:tcPr>
          <w:p w14:paraId="55991D52" w14:textId="77777777" w:rsidR="004613BA" w:rsidRDefault="00287CB6" w:rsidP="00A377C5">
            <w:r>
              <w:t>HSRC BBBEE certificate</w:t>
            </w:r>
          </w:p>
        </w:tc>
      </w:tr>
    </w:tbl>
    <w:p w14:paraId="13EAEDB4" w14:textId="77777777" w:rsidR="003568F4" w:rsidRDefault="003568F4"/>
    <w:p w14:paraId="36ADC6EB" w14:textId="77777777" w:rsidR="00EB24DA" w:rsidRDefault="00EB24DA">
      <w:r>
        <w:t>The</w:t>
      </w:r>
      <w:r w:rsidR="00417FBB">
        <w:t xml:space="preserve"> provision of BBBEE verification services will address the following B-BBEE verification services phases:</w:t>
      </w:r>
    </w:p>
    <w:p w14:paraId="43B4E583" w14:textId="77777777" w:rsidR="00EB24DA" w:rsidRDefault="00417FBB">
      <w:r>
        <w:t>3.1</w:t>
      </w:r>
      <w:r w:rsidR="006B7761">
        <w:t xml:space="preserve"> </w:t>
      </w:r>
      <w:r>
        <w:t xml:space="preserve">Planning </w:t>
      </w:r>
    </w:p>
    <w:p w14:paraId="0DD598A7" w14:textId="77777777" w:rsidR="00EB24DA" w:rsidRDefault="00417FBB">
      <w:r>
        <w:t xml:space="preserve">3.1.1 Understanding the </w:t>
      </w:r>
      <w:r w:rsidR="00D16680">
        <w:t>HSRC</w:t>
      </w:r>
      <w:r>
        <w:t xml:space="preserve"> operating model and context</w:t>
      </w:r>
      <w:r w:rsidR="007D2B57">
        <w:t>.</w:t>
      </w:r>
      <w:r>
        <w:t xml:space="preserve"> </w:t>
      </w:r>
    </w:p>
    <w:p w14:paraId="564DEBC6" w14:textId="77777777" w:rsidR="007D2B57" w:rsidRDefault="00417FBB">
      <w:r>
        <w:lastRenderedPageBreak/>
        <w:t>3.2</w:t>
      </w:r>
      <w:r w:rsidR="007D2B57">
        <w:t xml:space="preserve"> </w:t>
      </w:r>
      <w:r>
        <w:t>Execution</w:t>
      </w:r>
    </w:p>
    <w:p w14:paraId="065AF21C" w14:textId="77777777" w:rsidR="00417FBB" w:rsidRDefault="00417FBB">
      <w:r>
        <w:t xml:space="preserve">3.2.1 Project plan on how to implement the verification services of the </w:t>
      </w:r>
      <w:r w:rsidR="00D16680">
        <w:t>HSRC</w:t>
      </w:r>
      <w:r>
        <w:t xml:space="preserve"> BBBEE status Implementation of the BBBEE verification service.</w:t>
      </w:r>
    </w:p>
    <w:p w14:paraId="6A06D437" w14:textId="77777777" w:rsidR="00A84B09" w:rsidRDefault="00A84B09">
      <w:r>
        <w:t>3.3</w:t>
      </w:r>
      <w:r w:rsidR="00507EFB">
        <w:t xml:space="preserve"> </w:t>
      </w:r>
      <w:r>
        <w:t>Reporting</w:t>
      </w:r>
    </w:p>
    <w:p w14:paraId="23083D17" w14:textId="77777777" w:rsidR="00A84B09" w:rsidRDefault="00A84B09">
      <w:r>
        <w:t xml:space="preserve">3.3.1 Provide a BBBEE certificate confirming </w:t>
      </w:r>
      <w:r w:rsidR="00D16680">
        <w:t>HSRC</w:t>
      </w:r>
      <w:r>
        <w:t xml:space="preserve">’s status and recognition level. </w:t>
      </w:r>
    </w:p>
    <w:p w14:paraId="0E1C5F8B" w14:textId="77777777" w:rsidR="00A84B09" w:rsidRDefault="00A84B09">
      <w:r>
        <w:t xml:space="preserve">3.3.2 Provide a status on gaps identified during the assessment. </w:t>
      </w:r>
    </w:p>
    <w:p w14:paraId="718A1635" w14:textId="77777777" w:rsidR="00A84B09" w:rsidRDefault="00A84B09">
      <w:r>
        <w:t xml:space="preserve">3.3.3 Provide a report on the </w:t>
      </w:r>
      <w:r w:rsidR="00D16680">
        <w:t>HSRC</w:t>
      </w:r>
      <w:r>
        <w:t>’s B-BBEE compliance status</w:t>
      </w:r>
      <w:r w:rsidR="001551D9">
        <w:t>.</w:t>
      </w:r>
    </w:p>
    <w:p w14:paraId="5982F0BB" w14:textId="77777777" w:rsidR="001551D9" w:rsidRDefault="001551D9"/>
    <w:p w14:paraId="0F5A0AFB" w14:textId="77777777" w:rsidR="002859BA" w:rsidRPr="00507EFB" w:rsidRDefault="001551D9">
      <w:pPr>
        <w:rPr>
          <w:b/>
          <w:bCs/>
        </w:rPr>
      </w:pPr>
      <w:r w:rsidRPr="00507EFB">
        <w:rPr>
          <w:b/>
          <w:bCs/>
        </w:rPr>
        <w:t>4. TIMING AND DELIVERY</w:t>
      </w:r>
    </w:p>
    <w:p w14:paraId="0C63F8E2" w14:textId="77777777" w:rsidR="001551D9" w:rsidRDefault="001551D9">
      <w:r>
        <w:t xml:space="preserve"> The project will run </w:t>
      </w:r>
      <w:r w:rsidR="00EA05C8">
        <w:t>3 months prior to the exp</w:t>
      </w:r>
      <w:r w:rsidR="00296DEF">
        <w:t>iry of the current BBBEE certificate</w:t>
      </w:r>
      <w:r>
        <w:t>. The expected delivery date - will be communicated once the service provider is appointed.</w:t>
      </w:r>
    </w:p>
    <w:p w14:paraId="724FA454" w14:textId="77777777" w:rsidR="002859BA" w:rsidRPr="009631A6" w:rsidRDefault="001551D9">
      <w:pPr>
        <w:rPr>
          <w:b/>
        </w:rPr>
      </w:pPr>
      <w:r w:rsidRPr="009631A6">
        <w:rPr>
          <w:b/>
        </w:rPr>
        <w:t xml:space="preserve"> 5. SUBMISSION OF PROPOSALS AND QUALIFYING CRITERIA</w:t>
      </w:r>
    </w:p>
    <w:p w14:paraId="74602D7D" w14:textId="77777777" w:rsidR="002859BA" w:rsidRDefault="001551D9">
      <w:r>
        <w:t xml:space="preserve"> • Pre-qualification criteria (failure to follow </w:t>
      </w:r>
      <w:r w:rsidR="00681010">
        <w:t xml:space="preserve">the </w:t>
      </w:r>
      <w:r>
        <w:t xml:space="preserve">below criterion will result in disqualification) </w:t>
      </w:r>
    </w:p>
    <w:p w14:paraId="28BE01BB" w14:textId="77777777" w:rsidR="002859BA" w:rsidRDefault="001228D8">
      <w:r>
        <w:t xml:space="preserve">a) </w:t>
      </w:r>
      <w:r w:rsidRPr="00571A51">
        <w:rPr>
          <w:rFonts w:cstheme="minorHAnsi"/>
          <w:color w:val="000000" w:themeColor="text1"/>
        </w:rPr>
        <w:t xml:space="preserve">Provide proof of </w:t>
      </w:r>
      <w:r>
        <w:rPr>
          <w:rFonts w:cstheme="minorHAnsi"/>
          <w:color w:val="000000" w:themeColor="text1"/>
        </w:rPr>
        <w:t>certification/</w:t>
      </w:r>
      <w:r w:rsidRPr="00571A51">
        <w:rPr>
          <w:rFonts w:cstheme="minorHAnsi"/>
          <w:color w:val="000000" w:themeColor="text1"/>
        </w:rPr>
        <w:t>qualification specifically in the field of B</w:t>
      </w:r>
      <w:r>
        <w:rPr>
          <w:rFonts w:cstheme="minorHAnsi"/>
          <w:color w:val="000000" w:themeColor="text1"/>
        </w:rPr>
        <w:t>BB</w:t>
      </w:r>
      <w:r w:rsidRPr="00571A51">
        <w:rPr>
          <w:rFonts w:cstheme="minorHAnsi"/>
          <w:color w:val="000000" w:themeColor="text1"/>
        </w:rPr>
        <w:t>EE transformation.</w:t>
      </w:r>
      <w:r>
        <w:rPr>
          <w:rFonts w:cstheme="minorHAnsi"/>
          <w:color w:val="000000" w:themeColor="text1"/>
        </w:rPr>
        <w:t xml:space="preserve"> </w:t>
      </w:r>
      <w:r w:rsidRPr="00571A51">
        <w:rPr>
          <w:rFonts w:cstheme="minorHAnsi"/>
          <w:color w:val="000000" w:themeColor="text1"/>
        </w:rPr>
        <w:t xml:space="preserve">Provide proof of membership to </w:t>
      </w:r>
      <w:r>
        <w:rPr>
          <w:rFonts w:cstheme="minorHAnsi"/>
          <w:color w:val="000000" w:themeColor="text1"/>
        </w:rPr>
        <w:t xml:space="preserve">the </w:t>
      </w:r>
      <w:r w:rsidRPr="00571A51">
        <w:rPr>
          <w:rFonts w:cstheme="minorHAnsi"/>
          <w:color w:val="000000" w:themeColor="text1"/>
        </w:rPr>
        <w:t xml:space="preserve">affiliation of professional Tax management bodies.  </w:t>
      </w:r>
    </w:p>
    <w:p w14:paraId="1C553D60" w14:textId="77777777" w:rsidR="001551D9" w:rsidRDefault="001228D8">
      <w:r>
        <w:t>b</w:t>
      </w:r>
      <w:r w:rsidR="001551D9">
        <w:t>) Price/quotation (Amount must include all taxes) An all-inclusive quotation as per the price schedule below.</w:t>
      </w:r>
    </w:p>
    <w:p w14:paraId="0D204892" w14:textId="77777777" w:rsidR="001228D8" w:rsidRDefault="001228D8">
      <w:r>
        <w:t xml:space="preserve">c) Service provider should have a minimum of 5 </w:t>
      </w:r>
      <w:proofErr w:type="spellStart"/>
      <w:r>
        <w:t>years experience</w:t>
      </w:r>
      <w:proofErr w:type="spellEnd"/>
      <w:r>
        <w:t xml:space="preserve"> in B-BBEE verification services.</w:t>
      </w:r>
    </w:p>
    <w:tbl>
      <w:tblPr>
        <w:tblStyle w:val="TableGrid"/>
        <w:tblW w:w="0" w:type="auto"/>
        <w:tblLook w:val="04A0" w:firstRow="1" w:lastRow="0" w:firstColumn="1" w:lastColumn="0" w:noHBand="0" w:noVBand="1"/>
      </w:tblPr>
      <w:tblGrid>
        <w:gridCol w:w="4508"/>
        <w:gridCol w:w="4508"/>
      </w:tblGrid>
      <w:tr w:rsidR="0085036F" w14:paraId="4E25514C" w14:textId="77777777" w:rsidTr="004E7D17">
        <w:trPr>
          <w:tblHeader/>
        </w:trPr>
        <w:tc>
          <w:tcPr>
            <w:tcW w:w="4508" w:type="dxa"/>
          </w:tcPr>
          <w:p w14:paraId="2A8CC176" w14:textId="77777777" w:rsidR="0085036F" w:rsidRPr="00FE6933" w:rsidRDefault="00575A2A">
            <w:pPr>
              <w:rPr>
                <w:b/>
                <w:bCs/>
              </w:rPr>
            </w:pPr>
            <w:r w:rsidRPr="00FE6933">
              <w:rPr>
                <w:b/>
                <w:bCs/>
              </w:rPr>
              <w:t>CRITERIA FOR TECHNICAL SPECIFICATION</w:t>
            </w:r>
          </w:p>
        </w:tc>
        <w:tc>
          <w:tcPr>
            <w:tcW w:w="4508" w:type="dxa"/>
          </w:tcPr>
          <w:p w14:paraId="74E69D16" w14:textId="77777777" w:rsidR="0085036F" w:rsidRPr="00FE6933" w:rsidRDefault="00575A2A">
            <w:pPr>
              <w:rPr>
                <w:b/>
                <w:bCs/>
              </w:rPr>
            </w:pPr>
            <w:r w:rsidRPr="00FE6933">
              <w:rPr>
                <w:b/>
                <w:bCs/>
              </w:rPr>
              <w:t>WEIGHT</w:t>
            </w:r>
          </w:p>
        </w:tc>
      </w:tr>
      <w:tr w:rsidR="0085036F" w14:paraId="6D60CFB8" w14:textId="77777777" w:rsidTr="0085036F">
        <w:tc>
          <w:tcPr>
            <w:tcW w:w="4508" w:type="dxa"/>
          </w:tcPr>
          <w:p w14:paraId="08ACB7A4" w14:textId="77777777" w:rsidR="0085036F" w:rsidRPr="00FE6933" w:rsidRDefault="00FE6933" w:rsidP="00E35BDB">
            <w:pPr>
              <w:spacing w:line="276" w:lineRule="auto"/>
              <w:rPr>
                <w:b/>
                <w:bCs/>
              </w:rPr>
            </w:pPr>
            <w:r w:rsidRPr="00FE6933">
              <w:rPr>
                <w:b/>
                <w:bCs/>
              </w:rPr>
              <w:t>Company Experience</w:t>
            </w:r>
          </w:p>
          <w:p w14:paraId="650DB8B0" w14:textId="77777777" w:rsidR="00AB5D03" w:rsidRDefault="006E0EC5" w:rsidP="00E35BDB">
            <w:pPr>
              <w:spacing w:line="276" w:lineRule="auto"/>
            </w:pPr>
            <w:r>
              <w:t>Reference letters from different clients as evidence of related services previously successfully completed NB: The Reference Letter(s) must not be older than 5 years</w:t>
            </w:r>
            <w:r w:rsidR="001B6F5A">
              <w:t>;</w:t>
            </w:r>
            <w:r>
              <w:t xml:space="preserve"> must be on the letterhead of the previously serviced client and should reflect at least </w:t>
            </w:r>
            <w:r w:rsidR="00E34CCB">
              <w:t xml:space="preserve">the </w:t>
            </w:r>
            <w:r>
              <w:t xml:space="preserve">name of the client, title of the related work conducted, year conducted and completed, contactable reference name and contact details and signed by the appropriate delegate. The Reference Letter must indicate the quality of the service rendered. </w:t>
            </w:r>
          </w:p>
          <w:p w14:paraId="5A7314EC" w14:textId="77777777" w:rsidR="00AB5D03" w:rsidRDefault="006E0EC5" w:rsidP="00E35BDB">
            <w:pPr>
              <w:spacing w:line="276" w:lineRule="auto"/>
            </w:pPr>
            <w:r>
              <w:t xml:space="preserve">4 or more letters attached = </w:t>
            </w:r>
            <w:r w:rsidR="00AB5D03">
              <w:t>40</w:t>
            </w:r>
            <w:r>
              <w:t xml:space="preserve">points </w:t>
            </w:r>
          </w:p>
          <w:p w14:paraId="0BF68B89" w14:textId="77777777" w:rsidR="00AB5D03" w:rsidRDefault="006E0EC5" w:rsidP="00E35BDB">
            <w:pPr>
              <w:spacing w:line="276" w:lineRule="auto"/>
            </w:pPr>
            <w:r>
              <w:t>3 letters attached = 3</w:t>
            </w:r>
            <w:r w:rsidR="00AB5D03">
              <w:t xml:space="preserve">0 </w:t>
            </w:r>
            <w:r>
              <w:t xml:space="preserve">points </w:t>
            </w:r>
          </w:p>
          <w:p w14:paraId="0C53CC88" w14:textId="77777777" w:rsidR="00AB5D03" w:rsidRDefault="006E0EC5" w:rsidP="00E35BDB">
            <w:pPr>
              <w:spacing w:line="276" w:lineRule="auto"/>
            </w:pPr>
            <w:r>
              <w:t>2 letters attached = 2</w:t>
            </w:r>
            <w:r w:rsidR="00AB5D03">
              <w:t>0</w:t>
            </w:r>
            <w:r>
              <w:t xml:space="preserve"> points</w:t>
            </w:r>
          </w:p>
          <w:p w14:paraId="05DA3502" w14:textId="77777777" w:rsidR="00AB5D03" w:rsidRDefault="006E0EC5" w:rsidP="00E35BDB">
            <w:pPr>
              <w:spacing w:line="276" w:lineRule="auto"/>
            </w:pPr>
            <w:r>
              <w:t>1 letter attached = 1</w:t>
            </w:r>
            <w:r w:rsidR="00AB5D03">
              <w:t>0</w:t>
            </w:r>
            <w:r>
              <w:t xml:space="preserve"> points </w:t>
            </w:r>
          </w:p>
          <w:p w14:paraId="1F3038AA" w14:textId="77777777" w:rsidR="00FE6933" w:rsidRDefault="006E0EC5" w:rsidP="00E35BDB">
            <w:pPr>
              <w:spacing w:line="276" w:lineRule="auto"/>
            </w:pPr>
            <w:r>
              <w:t>0 letter attached = 0 points</w:t>
            </w:r>
          </w:p>
          <w:p w14:paraId="17FA884F" w14:textId="77777777" w:rsidR="00804BC2" w:rsidRDefault="00804BC2" w:rsidP="00E35BDB">
            <w:pPr>
              <w:spacing w:line="276" w:lineRule="auto"/>
            </w:pPr>
          </w:p>
          <w:p w14:paraId="014BFB2C" w14:textId="77777777" w:rsidR="00FE6933" w:rsidRDefault="00FE6933"/>
        </w:tc>
        <w:tc>
          <w:tcPr>
            <w:tcW w:w="4508" w:type="dxa"/>
          </w:tcPr>
          <w:p w14:paraId="5AEF6A80" w14:textId="77777777" w:rsidR="0085036F" w:rsidRDefault="0085036F"/>
          <w:p w14:paraId="2DD58E17" w14:textId="77777777" w:rsidR="00AB5D03" w:rsidRDefault="00AB5D03">
            <w:r>
              <w:t>40</w:t>
            </w:r>
          </w:p>
          <w:p w14:paraId="74B8C246" w14:textId="77777777" w:rsidR="00E35BDB" w:rsidRDefault="00E35BDB"/>
          <w:p w14:paraId="6F01E0ED" w14:textId="77777777" w:rsidR="00E35BDB" w:rsidRDefault="00E35BDB"/>
          <w:p w14:paraId="361EDAB6" w14:textId="77777777" w:rsidR="00E35BDB" w:rsidRDefault="00E35BDB"/>
          <w:p w14:paraId="58B94046" w14:textId="77777777" w:rsidR="00E35BDB" w:rsidRDefault="00E35BDB"/>
          <w:p w14:paraId="55E39432" w14:textId="77777777" w:rsidR="00E35BDB" w:rsidRDefault="00E35BDB"/>
          <w:p w14:paraId="16B9290B" w14:textId="77777777" w:rsidR="00E35BDB" w:rsidRDefault="00E35BDB"/>
          <w:p w14:paraId="58684D88" w14:textId="77777777" w:rsidR="00E35BDB" w:rsidRDefault="00E35BDB"/>
          <w:p w14:paraId="34733FA3" w14:textId="77777777" w:rsidR="00E35BDB" w:rsidRDefault="00E35BDB"/>
          <w:p w14:paraId="445D12E7" w14:textId="77777777" w:rsidR="00E35BDB" w:rsidRDefault="00E35BDB"/>
          <w:p w14:paraId="41AAF4B8" w14:textId="77777777" w:rsidR="00E35BDB" w:rsidRDefault="00E35BDB"/>
          <w:p w14:paraId="567B17A6" w14:textId="77777777" w:rsidR="00E35BDB" w:rsidRDefault="00E35BDB"/>
          <w:p w14:paraId="4B472F38" w14:textId="77777777" w:rsidR="00E35BDB" w:rsidRDefault="00E35BDB"/>
          <w:p w14:paraId="04EB511D" w14:textId="77777777" w:rsidR="00E35BDB" w:rsidRDefault="00E35BDB"/>
          <w:p w14:paraId="529369E0" w14:textId="77777777" w:rsidR="00E35BDB" w:rsidRDefault="00E35BDB"/>
          <w:p w14:paraId="7C5193E2" w14:textId="77777777" w:rsidR="00E35BDB" w:rsidRDefault="00E35BDB"/>
          <w:p w14:paraId="60A33950" w14:textId="77777777" w:rsidR="00E35BDB" w:rsidRDefault="00E35BDB"/>
          <w:p w14:paraId="70DAA7C6" w14:textId="77777777" w:rsidR="00E35BDB" w:rsidRDefault="00E35BDB"/>
          <w:p w14:paraId="0F633E7C" w14:textId="77777777" w:rsidR="00E35BDB" w:rsidRDefault="00E35BDB"/>
        </w:tc>
      </w:tr>
      <w:tr w:rsidR="0085036F" w14:paraId="49548084" w14:textId="77777777" w:rsidTr="0085036F">
        <w:tc>
          <w:tcPr>
            <w:tcW w:w="4508" w:type="dxa"/>
          </w:tcPr>
          <w:p w14:paraId="360DBA49" w14:textId="77777777" w:rsidR="00E35BDB" w:rsidRPr="00CD425C" w:rsidRDefault="00E35BDB" w:rsidP="00E35BDB">
            <w:pPr>
              <w:rPr>
                <w:b/>
                <w:bCs/>
              </w:rPr>
            </w:pPr>
            <w:r w:rsidRPr="00CD425C">
              <w:rPr>
                <w:b/>
                <w:bCs/>
              </w:rPr>
              <w:lastRenderedPageBreak/>
              <w:t>Methodology and Project Plan</w:t>
            </w:r>
          </w:p>
          <w:p w14:paraId="47B0407C" w14:textId="77777777" w:rsidR="00E35BDB" w:rsidRDefault="00E35BDB" w:rsidP="00507EFB">
            <w:pPr>
              <w:spacing w:line="276" w:lineRule="auto"/>
            </w:pPr>
            <w:r>
              <w:t xml:space="preserve">The Bidder must provide a detailed explanation of the methodology and project implementation plan which details how the service will be carried out as outlined in the scope. </w:t>
            </w:r>
          </w:p>
          <w:p w14:paraId="4FA6B734" w14:textId="77777777" w:rsidR="00E35BDB" w:rsidRDefault="00E35BDB" w:rsidP="00E35BDB">
            <w:r>
              <w:t xml:space="preserve">The project plan must </w:t>
            </w:r>
            <w:r w:rsidR="00E34CCB">
              <w:t xml:space="preserve">have </w:t>
            </w:r>
            <w:r>
              <w:t xml:space="preserve">deliverables and timeframes. </w:t>
            </w:r>
          </w:p>
          <w:p w14:paraId="49CF1DC8" w14:textId="77777777" w:rsidR="00E35BDB" w:rsidRDefault="00E35BDB" w:rsidP="00E35BDB">
            <w:r>
              <w:t>The timeframes and project plan are suited and tailored to the project needs and demonstrate the following:</w:t>
            </w:r>
          </w:p>
          <w:p w14:paraId="29B65DF8" w14:textId="77777777" w:rsidR="00E35BDB" w:rsidRDefault="00E35BDB" w:rsidP="00E35BDB">
            <w:r>
              <w:t xml:space="preserve"> • project plan with clear project timelines and deliveries and processes to be followed and sequence of events aligned = 10 points</w:t>
            </w:r>
          </w:p>
          <w:p w14:paraId="543FC48A" w14:textId="77777777" w:rsidR="00E35BDB" w:rsidRDefault="00E35BDB" w:rsidP="00E35BDB">
            <w:r>
              <w:t xml:space="preserve">• demonstrates adequate understanding and knowledge </w:t>
            </w:r>
            <w:r w:rsidR="00E34CCB">
              <w:t>of</w:t>
            </w:r>
            <w:r>
              <w:t xml:space="preserve"> the BBBEE verification services = </w:t>
            </w:r>
            <w:r w:rsidR="00976450">
              <w:t>5</w:t>
            </w:r>
            <w:r>
              <w:t xml:space="preserve"> points</w:t>
            </w:r>
          </w:p>
          <w:p w14:paraId="2D63CCFB" w14:textId="77777777" w:rsidR="00E35BDB" w:rsidRDefault="00E35BDB" w:rsidP="00E35BDB">
            <w:r>
              <w:t>• Adequate understanding of B</w:t>
            </w:r>
            <w:r w:rsidR="00804BC2">
              <w:t>-</w:t>
            </w:r>
            <w:r>
              <w:t xml:space="preserve">BBEE and related regulatory </w:t>
            </w:r>
            <w:proofErr w:type="gramStart"/>
            <w:r>
              <w:t>prescripts</w:t>
            </w:r>
            <w:r w:rsidR="00D969B2">
              <w:t xml:space="preserve"> </w:t>
            </w:r>
            <w:r>
              <w:t xml:space="preserve"> =</w:t>
            </w:r>
            <w:proofErr w:type="gramEnd"/>
            <w:r>
              <w:t xml:space="preserve"> 5 points </w:t>
            </w:r>
          </w:p>
          <w:p w14:paraId="68BB93C5" w14:textId="77777777" w:rsidR="00E35BDB" w:rsidRDefault="00E35BDB" w:rsidP="00E35BDB">
            <w:r>
              <w:t xml:space="preserve">• adequate understanding of </w:t>
            </w:r>
            <w:r w:rsidR="007B5D23">
              <w:t xml:space="preserve">the </w:t>
            </w:r>
            <w:r>
              <w:t>development of B</w:t>
            </w:r>
            <w:r w:rsidR="00804BC2">
              <w:t>-</w:t>
            </w:r>
            <w:r>
              <w:t xml:space="preserve">BBEE compliance reports = 5 points </w:t>
            </w:r>
          </w:p>
          <w:p w14:paraId="7F20DD8E" w14:textId="77777777" w:rsidR="00E35BDB" w:rsidRDefault="00E35BDB" w:rsidP="00E35BDB">
            <w:r>
              <w:t xml:space="preserve">• adequate understanding and knowledge in facilitating </w:t>
            </w:r>
            <w:r w:rsidR="00804BC2">
              <w:t>B-</w:t>
            </w:r>
            <w:r>
              <w:t xml:space="preserve">BBEE requirements awareness to Management = 5 points </w:t>
            </w:r>
          </w:p>
          <w:p w14:paraId="2AE08D7E" w14:textId="77777777" w:rsidR="00E35BDB" w:rsidRDefault="00E35BDB" w:rsidP="00E35BDB">
            <w:pPr>
              <w:pStyle w:val="ListParagraph"/>
              <w:numPr>
                <w:ilvl w:val="0"/>
                <w:numId w:val="1"/>
              </w:numPr>
            </w:pPr>
            <w:r>
              <w:t>Non submission = 0 points</w:t>
            </w:r>
          </w:p>
          <w:p w14:paraId="03A0ECD3" w14:textId="77777777" w:rsidR="0085036F" w:rsidRDefault="0085036F"/>
        </w:tc>
        <w:tc>
          <w:tcPr>
            <w:tcW w:w="4508" w:type="dxa"/>
          </w:tcPr>
          <w:p w14:paraId="4FAA0A28" w14:textId="77777777" w:rsidR="0085036F" w:rsidRDefault="00E35BDB">
            <w:r>
              <w:t>30</w:t>
            </w:r>
          </w:p>
        </w:tc>
      </w:tr>
      <w:tr w:rsidR="0085036F" w14:paraId="3FD505AC" w14:textId="77777777" w:rsidTr="0085036F">
        <w:tc>
          <w:tcPr>
            <w:tcW w:w="4508" w:type="dxa"/>
          </w:tcPr>
          <w:p w14:paraId="49D31594" w14:textId="77777777" w:rsidR="00FF4B6A" w:rsidRDefault="00B27FAC" w:rsidP="00D20C7A">
            <w:pPr>
              <w:spacing w:line="276" w:lineRule="auto"/>
              <w:rPr>
                <w:b/>
                <w:bCs/>
              </w:rPr>
            </w:pPr>
            <w:r w:rsidRPr="00B27FAC">
              <w:rPr>
                <w:b/>
                <w:bCs/>
              </w:rPr>
              <w:t>Provide the qualifications and professional competencies in Compliance Management of the lead consultant</w:t>
            </w:r>
            <w:r w:rsidR="00FF4B6A">
              <w:rPr>
                <w:b/>
                <w:bCs/>
              </w:rPr>
              <w:t xml:space="preserve"> including team</w:t>
            </w:r>
            <w:r w:rsidRPr="00B27FAC">
              <w:rPr>
                <w:b/>
                <w:bCs/>
              </w:rPr>
              <w:t xml:space="preserve"> </w:t>
            </w:r>
          </w:p>
          <w:p w14:paraId="41EFAF80" w14:textId="77777777" w:rsidR="00FF4B6A" w:rsidRDefault="00FF4B6A" w:rsidP="00D20C7A">
            <w:pPr>
              <w:spacing w:line="276" w:lineRule="auto"/>
              <w:rPr>
                <w:b/>
                <w:bCs/>
              </w:rPr>
            </w:pPr>
          </w:p>
          <w:p w14:paraId="232C8816" w14:textId="77777777" w:rsidR="00C14235" w:rsidRDefault="00B27FAC" w:rsidP="00D20C7A">
            <w:pPr>
              <w:spacing w:line="276" w:lineRule="auto"/>
              <w:rPr>
                <w:b/>
                <w:bCs/>
              </w:rPr>
            </w:pPr>
            <w:r w:rsidRPr="00B27FAC">
              <w:rPr>
                <w:b/>
                <w:bCs/>
              </w:rPr>
              <w:t>Qualifications</w:t>
            </w:r>
            <w:r w:rsidR="004427A7">
              <w:rPr>
                <w:b/>
                <w:bCs/>
              </w:rPr>
              <w:t xml:space="preserve"> (10)</w:t>
            </w:r>
            <w:r w:rsidRPr="00B27FAC">
              <w:rPr>
                <w:b/>
                <w:bCs/>
              </w:rPr>
              <w:t>:</w:t>
            </w:r>
          </w:p>
          <w:p w14:paraId="7E6D6B83" w14:textId="77777777" w:rsidR="00C14235" w:rsidRDefault="00C14235" w:rsidP="00D20C7A">
            <w:pPr>
              <w:spacing w:line="276" w:lineRule="auto"/>
            </w:pPr>
            <w:r>
              <w:t>Must provide proof of qualifications, experience, and professional competencies in Compliance Relevant tertiary qualification in Law, Business Management</w:t>
            </w:r>
            <w:r w:rsidR="009C7847">
              <w:t>,</w:t>
            </w:r>
            <w:r>
              <w:t xml:space="preserve"> or Compliance = 10 points </w:t>
            </w:r>
          </w:p>
          <w:p w14:paraId="46C27148" w14:textId="77777777" w:rsidR="00C14235" w:rsidRDefault="00C14235" w:rsidP="00D20C7A">
            <w:pPr>
              <w:spacing w:line="276" w:lineRule="auto"/>
            </w:pPr>
            <w:r>
              <w:t>Any other qualification not equivalent or related = 0 points</w:t>
            </w:r>
          </w:p>
          <w:p w14:paraId="2C80B831" w14:textId="77777777" w:rsidR="00DD3685" w:rsidRDefault="00DD3685" w:rsidP="00DD3685">
            <w:pPr>
              <w:spacing w:line="276" w:lineRule="auto"/>
              <w:rPr>
                <w:b/>
                <w:bCs/>
              </w:rPr>
            </w:pPr>
            <w:r w:rsidRPr="00361F5B">
              <w:rPr>
                <w:b/>
                <w:bCs/>
              </w:rPr>
              <w:t>Bidders must attach certified copies of qualifications. Uncertified qualification certificates will not be accepted and will therefore not score any points.</w:t>
            </w:r>
          </w:p>
          <w:p w14:paraId="6126EBE4" w14:textId="77777777" w:rsidR="00DD3685" w:rsidRDefault="00DD3685" w:rsidP="00D20C7A">
            <w:pPr>
              <w:spacing w:line="276" w:lineRule="auto"/>
            </w:pPr>
          </w:p>
          <w:p w14:paraId="2D347D98" w14:textId="77777777" w:rsidR="00DD3685" w:rsidRDefault="00DD3685" w:rsidP="00D20C7A">
            <w:pPr>
              <w:spacing w:line="276" w:lineRule="auto"/>
            </w:pPr>
          </w:p>
          <w:p w14:paraId="51C2FC0C" w14:textId="77777777" w:rsidR="00DD3685" w:rsidRDefault="00DD3685" w:rsidP="00D20C7A">
            <w:pPr>
              <w:spacing w:line="276" w:lineRule="auto"/>
            </w:pPr>
          </w:p>
          <w:p w14:paraId="404C2B4E" w14:textId="77777777" w:rsidR="00190A8D" w:rsidRDefault="00190A8D" w:rsidP="00D20C7A">
            <w:pPr>
              <w:spacing w:line="276" w:lineRule="auto"/>
            </w:pPr>
          </w:p>
          <w:p w14:paraId="45262C19" w14:textId="77777777" w:rsidR="00190A8D" w:rsidRDefault="00190A8D" w:rsidP="00190A8D">
            <w:pPr>
              <w:spacing w:line="276" w:lineRule="auto"/>
              <w:rPr>
                <w:b/>
                <w:bCs/>
              </w:rPr>
            </w:pPr>
            <w:r w:rsidRPr="00361F5B">
              <w:rPr>
                <w:b/>
                <w:bCs/>
              </w:rPr>
              <w:lastRenderedPageBreak/>
              <w:t>Experience of Lead Consultant</w:t>
            </w:r>
            <w:r>
              <w:rPr>
                <w:b/>
                <w:bCs/>
              </w:rPr>
              <w:t xml:space="preserve"> (10)</w:t>
            </w:r>
          </w:p>
          <w:p w14:paraId="64768FF9" w14:textId="77777777" w:rsidR="00190A8D" w:rsidRDefault="00190A8D" w:rsidP="00190A8D">
            <w:pPr>
              <w:spacing w:line="276" w:lineRule="auto"/>
            </w:pPr>
            <w:r>
              <w:t>Submission of Curriculum Vitae (CV’s) indicating relevant experience.</w:t>
            </w:r>
          </w:p>
          <w:p w14:paraId="337E3BF1" w14:textId="77777777" w:rsidR="00190A8D" w:rsidRDefault="00190A8D" w:rsidP="00190A8D">
            <w:pPr>
              <w:spacing w:line="276" w:lineRule="auto"/>
            </w:pPr>
            <w:r>
              <w:t>More than 8 years of experience = 10 points</w:t>
            </w:r>
          </w:p>
          <w:p w14:paraId="0CCE6964" w14:textId="77777777" w:rsidR="00190A8D" w:rsidRDefault="00190A8D" w:rsidP="00190A8D">
            <w:pPr>
              <w:spacing w:line="276" w:lineRule="auto"/>
            </w:pPr>
            <w:r>
              <w:t>5 – 8 years of experience = 5 points</w:t>
            </w:r>
          </w:p>
          <w:p w14:paraId="65ADD6D3" w14:textId="77777777" w:rsidR="00190A8D" w:rsidRDefault="00190A8D" w:rsidP="00190A8D">
            <w:pPr>
              <w:spacing w:line="276" w:lineRule="auto"/>
            </w:pPr>
            <w:r>
              <w:t>Less than 5 years of experience = 2 points</w:t>
            </w:r>
          </w:p>
          <w:p w14:paraId="59175104" w14:textId="77777777" w:rsidR="00190A8D" w:rsidRDefault="00190A8D" w:rsidP="00190A8D">
            <w:pPr>
              <w:spacing w:line="276" w:lineRule="auto"/>
              <w:rPr>
                <w:b/>
                <w:bCs/>
              </w:rPr>
            </w:pPr>
          </w:p>
          <w:p w14:paraId="6E8BE3A9" w14:textId="77777777" w:rsidR="00190A8D" w:rsidRDefault="00190A8D" w:rsidP="00190A8D">
            <w:pPr>
              <w:spacing w:line="276" w:lineRule="auto"/>
              <w:rPr>
                <w:b/>
                <w:bCs/>
              </w:rPr>
            </w:pPr>
            <w:r w:rsidRPr="00361F5B">
              <w:rPr>
                <w:b/>
                <w:bCs/>
              </w:rPr>
              <w:t xml:space="preserve">Experience of </w:t>
            </w:r>
            <w:r>
              <w:rPr>
                <w:b/>
                <w:bCs/>
              </w:rPr>
              <w:t>the Team (10)</w:t>
            </w:r>
          </w:p>
          <w:p w14:paraId="07A9C91A" w14:textId="77777777" w:rsidR="00190A8D" w:rsidRDefault="00190A8D" w:rsidP="00190A8D">
            <w:pPr>
              <w:spacing w:line="276" w:lineRule="auto"/>
            </w:pPr>
            <w:r>
              <w:t>Submission of Curriculum Vitae (CV’s) indicating relevant experience.</w:t>
            </w:r>
          </w:p>
          <w:p w14:paraId="1794A3EB" w14:textId="77777777" w:rsidR="00190A8D" w:rsidRDefault="00190A8D" w:rsidP="00190A8D">
            <w:pPr>
              <w:spacing w:line="276" w:lineRule="auto"/>
            </w:pPr>
            <w:r>
              <w:t>More than 8 years of experience = 10 points</w:t>
            </w:r>
          </w:p>
          <w:p w14:paraId="3C612E10" w14:textId="77777777" w:rsidR="00190A8D" w:rsidRDefault="00190A8D" w:rsidP="00190A8D">
            <w:pPr>
              <w:spacing w:line="276" w:lineRule="auto"/>
            </w:pPr>
            <w:r>
              <w:t>5 – 8 years of experience = 5 points</w:t>
            </w:r>
          </w:p>
          <w:p w14:paraId="7730DE6C" w14:textId="77777777" w:rsidR="00190A8D" w:rsidRDefault="00190A8D" w:rsidP="00190A8D">
            <w:pPr>
              <w:spacing w:line="276" w:lineRule="auto"/>
              <w:rPr>
                <w:b/>
                <w:bCs/>
              </w:rPr>
            </w:pPr>
            <w:r>
              <w:t>Less than 5 years of experience = 2 points</w:t>
            </w:r>
          </w:p>
          <w:p w14:paraId="28D1C16F" w14:textId="77777777" w:rsidR="00190A8D" w:rsidRDefault="00190A8D" w:rsidP="00D20C7A">
            <w:pPr>
              <w:spacing w:line="276" w:lineRule="auto"/>
              <w:rPr>
                <w:b/>
                <w:bCs/>
              </w:rPr>
            </w:pPr>
          </w:p>
          <w:p w14:paraId="11F67DE4" w14:textId="77777777" w:rsidR="00190A8D" w:rsidRPr="00361F5B" w:rsidRDefault="00190A8D" w:rsidP="00D20C7A">
            <w:pPr>
              <w:spacing w:line="276" w:lineRule="auto"/>
              <w:rPr>
                <w:b/>
                <w:bCs/>
              </w:rPr>
            </w:pPr>
          </w:p>
        </w:tc>
        <w:tc>
          <w:tcPr>
            <w:tcW w:w="4508" w:type="dxa"/>
          </w:tcPr>
          <w:p w14:paraId="38486101" w14:textId="77777777" w:rsidR="0085036F" w:rsidRDefault="0085036F"/>
          <w:p w14:paraId="4BBE40A6" w14:textId="77777777" w:rsidR="00C14235" w:rsidRDefault="00C14235"/>
          <w:p w14:paraId="5CC2FF9D" w14:textId="77777777" w:rsidR="00C14235" w:rsidRDefault="00190A8D">
            <w:r>
              <w:t>3</w:t>
            </w:r>
            <w:r w:rsidR="00C14235">
              <w:t>0</w:t>
            </w:r>
          </w:p>
        </w:tc>
      </w:tr>
      <w:tr w:rsidR="0085036F" w14:paraId="0124D3D8" w14:textId="77777777" w:rsidTr="0085036F">
        <w:tc>
          <w:tcPr>
            <w:tcW w:w="4508" w:type="dxa"/>
          </w:tcPr>
          <w:p w14:paraId="6A4776F1" w14:textId="77777777" w:rsidR="00F27E68" w:rsidRPr="00F27E68" w:rsidRDefault="00F27E68" w:rsidP="00190A8D">
            <w:pPr>
              <w:spacing w:line="276" w:lineRule="auto"/>
              <w:rPr>
                <w:b/>
                <w:bCs/>
              </w:rPr>
            </w:pPr>
          </w:p>
        </w:tc>
        <w:tc>
          <w:tcPr>
            <w:tcW w:w="4508" w:type="dxa"/>
          </w:tcPr>
          <w:p w14:paraId="52AAE520" w14:textId="77777777" w:rsidR="0085036F" w:rsidRDefault="0085036F"/>
        </w:tc>
      </w:tr>
      <w:tr w:rsidR="0085036F" w14:paraId="2DCE8105" w14:textId="77777777" w:rsidTr="0085036F">
        <w:tc>
          <w:tcPr>
            <w:tcW w:w="4508" w:type="dxa"/>
          </w:tcPr>
          <w:p w14:paraId="7CDFC96D" w14:textId="77777777" w:rsidR="005D528A" w:rsidRPr="005D528A" w:rsidRDefault="005D528A" w:rsidP="00D20C7A">
            <w:pPr>
              <w:spacing w:line="276" w:lineRule="auto"/>
              <w:rPr>
                <w:b/>
                <w:bCs/>
              </w:rPr>
            </w:pPr>
          </w:p>
        </w:tc>
        <w:tc>
          <w:tcPr>
            <w:tcW w:w="4508" w:type="dxa"/>
          </w:tcPr>
          <w:p w14:paraId="303F5123" w14:textId="77777777" w:rsidR="0085036F" w:rsidRDefault="0085036F"/>
          <w:p w14:paraId="0818785F" w14:textId="77777777" w:rsidR="00D03866" w:rsidRDefault="00D03866"/>
        </w:tc>
      </w:tr>
      <w:tr w:rsidR="0085036F" w14:paraId="544168AF" w14:textId="77777777" w:rsidTr="0085036F">
        <w:tc>
          <w:tcPr>
            <w:tcW w:w="4508" w:type="dxa"/>
          </w:tcPr>
          <w:p w14:paraId="6638729B" w14:textId="77777777" w:rsidR="0085036F" w:rsidRPr="00E97A68" w:rsidRDefault="00EF6CF0">
            <w:pPr>
              <w:rPr>
                <w:b/>
                <w:bCs/>
              </w:rPr>
            </w:pPr>
            <w:r w:rsidRPr="00E97A68">
              <w:rPr>
                <w:b/>
                <w:bCs/>
              </w:rPr>
              <w:t>Total</w:t>
            </w:r>
          </w:p>
        </w:tc>
        <w:tc>
          <w:tcPr>
            <w:tcW w:w="4508" w:type="dxa"/>
          </w:tcPr>
          <w:p w14:paraId="1E91A3B0" w14:textId="77777777" w:rsidR="0085036F" w:rsidRPr="00E97A68" w:rsidRDefault="00EF6CF0">
            <w:pPr>
              <w:rPr>
                <w:b/>
                <w:bCs/>
              </w:rPr>
            </w:pPr>
            <w:r w:rsidRPr="00E97A68">
              <w:rPr>
                <w:b/>
                <w:bCs/>
              </w:rPr>
              <w:t>100</w:t>
            </w:r>
          </w:p>
        </w:tc>
      </w:tr>
      <w:tr w:rsidR="0085036F" w14:paraId="7F6311A9" w14:textId="77777777" w:rsidTr="0085036F">
        <w:tc>
          <w:tcPr>
            <w:tcW w:w="4508" w:type="dxa"/>
          </w:tcPr>
          <w:p w14:paraId="6C59E1EE" w14:textId="77777777" w:rsidR="0085036F" w:rsidRPr="00E97A68" w:rsidRDefault="003C09C4">
            <w:pPr>
              <w:rPr>
                <w:b/>
                <w:bCs/>
              </w:rPr>
            </w:pPr>
            <w:r w:rsidRPr="00E97A68">
              <w:rPr>
                <w:b/>
                <w:bCs/>
              </w:rPr>
              <w:t>Minimum Threshold Score</w:t>
            </w:r>
          </w:p>
        </w:tc>
        <w:tc>
          <w:tcPr>
            <w:tcW w:w="4508" w:type="dxa"/>
          </w:tcPr>
          <w:p w14:paraId="4F3D57ED" w14:textId="77777777" w:rsidR="0085036F" w:rsidRPr="00E97A68" w:rsidRDefault="00E97A68">
            <w:pPr>
              <w:rPr>
                <w:b/>
                <w:bCs/>
              </w:rPr>
            </w:pPr>
            <w:r w:rsidRPr="00E97A68">
              <w:rPr>
                <w:b/>
                <w:bCs/>
              </w:rPr>
              <w:t>70</w:t>
            </w:r>
          </w:p>
        </w:tc>
      </w:tr>
    </w:tbl>
    <w:p w14:paraId="16A9762F" w14:textId="77777777" w:rsidR="006F54D4" w:rsidRDefault="006F54D4"/>
    <w:p w14:paraId="7E27B13A" w14:textId="77777777" w:rsidR="00FB38D6" w:rsidRPr="00FB38D6" w:rsidRDefault="00FB38D6">
      <w:pPr>
        <w:rPr>
          <w:b/>
          <w:bCs/>
        </w:rPr>
      </w:pPr>
      <w:r w:rsidRPr="00FB38D6">
        <w:rPr>
          <w:b/>
          <w:bCs/>
        </w:rPr>
        <w:t>Pricing schedule</w:t>
      </w:r>
    </w:p>
    <w:p w14:paraId="53C6FB33" w14:textId="77777777" w:rsidR="00FB38D6" w:rsidRDefault="00FB38D6"/>
    <w:tbl>
      <w:tblPr>
        <w:tblStyle w:val="TableGrid"/>
        <w:tblW w:w="0" w:type="auto"/>
        <w:tblLook w:val="04A0" w:firstRow="1" w:lastRow="0" w:firstColumn="1" w:lastColumn="0" w:noHBand="0" w:noVBand="1"/>
      </w:tblPr>
      <w:tblGrid>
        <w:gridCol w:w="2254"/>
        <w:gridCol w:w="2254"/>
        <w:gridCol w:w="2254"/>
        <w:gridCol w:w="2254"/>
      </w:tblGrid>
      <w:tr w:rsidR="008B4F21" w14:paraId="1AF121F4" w14:textId="77777777" w:rsidTr="008B4F21">
        <w:tc>
          <w:tcPr>
            <w:tcW w:w="2254" w:type="dxa"/>
          </w:tcPr>
          <w:p w14:paraId="139FBA8F" w14:textId="77777777" w:rsidR="008B4F21" w:rsidRPr="00FA7AD6" w:rsidRDefault="002257D4">
            <w:pPr>
              <w:rPr>
                <w:b/>
                <w:bCs/>
              </w:rPr>
            </w:pPr>
            <w:r w:rsidRPr="00FA7AD6">
              <w:rPr>
                <w:b/>
                <w:bCs/>
              </w:rPr>
              <w:t>Description</w:t>
            </w:r>
          </w:p>
        </w:tc>
        <w:tc>
          <w:tcPr>
            <w:tcW w:w="2254" w:type="dxa"/>
          </w:tcPr>
          <w:p w14:paraId="71C4AA0E" w14:textId="77777777" w:rsidR="002257D4" w:rsidRPr="00FA7AD6" w:rsidRDefault="002257D4">
            <w:pPr>
              <w:rPr>
                <w:b/>
                <w:bCs/>
              </w:rPr>
            </w:pPr>
            <w:r w:rsidRPr="00FA7AD6">
              <w:rPr>
                <w:b/>
                <w:bCs/>
              </w:rPr>
              <w:t>Year 1</w:t>
            </w:r>
          </w:p>
          <w:p w14:paraId="20BCDE70" w14:textId="77777777" w:rsidR="008B4F21" w:rsidRPr="00FA7AD6" w:rsidRDefault="002257D4">
            <w:pPr>
              <w:rPr>
                <w:b/>
                <w:bCs/>
              </w:rPr>
            </w:pPr>
            <w:r w:rsidRPr="00FA7AD6">
              <w:rPr>
                <w:b/>
                <w:bCs/>
              </w:rPr>
              <w:t xml:space="preserve"> R</w:t>
            </w:r>
          </w:p>
        </w:tc>
        <w:tc>
          <w:tcPr>
            <w:tcW w:w="2254" w:type="dxa"/>
          </w:tcPr>
          <w:p w14:paraId="08AE3234" w14:textId="77777777" w:rsidR="00FA7AD6" w:rsidRPr="00FA7AD6" w:rsidRDefault="00FA7AD6">
            <w:pPr>
              <w:rPr>
                <w:b/>
                <w:bCs/>
              </w:rPr>
            </w:pPr>
            <w:r w:rsidRPr="00FA7AD6">
              <w:rPr>
                <w:b/>
                <w:bCs/>
              </w:rPr>
              <w:t xml:space="preserve">Year 2 </w:t>
            </w:r>
          </w:p>
          <w:p w14:paraId="1DC89B42" w14:textId="77777777" w:rsidR="008B4F21" w:rsidRPr="00FA7AD6" w:rsidRDefault="00FA7AD6">
            <w:pPr>
              <w:rPr>
                <w:b/>
                <w:bCs/>
              </w:rPr>
            </w:pPr>
            <w:r w:rsidRPr="00FA7AD6">
              <w:rPr>
                <w:b/>
                <w:bCs/>
              </w:rPr>
              <w:t>R</w:t>
            </w:r>
          </w:p>
        </w:tc>
        <w:tc>
          <w:tcPr>
            <w:tcW w:w="2254" w:type="dxa"/>
          </w:tcPr>
          <w:p w14:paraId="33F8E674" w14:textId="77777777" w:rsidR="00FA7AD6" w:rsidRPr="00FA7AD6" w:rsidRDefault="00FA7AD6">
            <w:pPr>
              <w:rPr>
                <w:b/>
                <w:bCs/>
              </w:rPr>
            </w:pPr>
            <w:r w:rsidRPr="00FA7AD6">
              <w:rPr>
                <w:b/>
                <w:bCs/>
              </w:rPr>
              <w:t xml:space="preserve">Year 3 </w:t>
            </w:r>
          </w:p>
          <w:p w14:paraId="6EADC1CF" w14:textId="77777777" w:rsidR="008B4F21" w:rsidRPr="00FA7AD6" w:rsidRDefault="00FA7AD6">
            <w:pPr>
              <w:rPr>
                <w:b/>
                <w:bCs/>
              </w:rPr>
            </w:pPr>
            <w:r w:rsidRPr="00FA7AD6">
              <w:rPr>
                <w:b/>
                <w:bCs/>
              </w:rPr>
              <w:t>R</w:t>
            </w:r>
          </w:p>
        </w:tc>
      </w:tr>
      <w:tr w:rsidR="008B4F21" w14:paraId="4119B84A" w14:textId="77777777" w:rsidTr="008B4F21">
        <w:tc>
          <w:tcPr>
            <w:tcW w:w="2254" w:type="dxa"/>
          </w:tcPr>
          <w:p w14:paraId="2FB05BF1" w14:textId="77777777" w:rsidR="008B4F21" w:rsidRDefault="002E659C">
            <w:r>
              <w:t>Provision of B-BBEE verification services</w:t>
            </w:r>
          </w:p>
        </w:tc>
        <w:tc>
          <w:tcPr>
            <w:tcW w:w="2254" w:type="dxa"/>
          </w:tcPr>
          <w:p w14:paraId="1BC3FF46" w14:textId="77777777" w:rsidR="008B4F21" w:rsidRDefault="008B4F21"/>
        </w:tc>
        <w:tc>
          <w:tcPr>
            <w:tcW w:w="2254" w:type="dxa"/>
          </w:tcPr>
          <w:p w14:paraId="4924E849" w14:textId="77777777" w:rsidR="008B4F21" w:rsidRDefault="008B4F21"/>
        </w:tc>
        <w:tc>
          <w:tcPr>
            <w:tcW w:w="2254" w:type="dxa"/>
          </w:tcPr>
          <w:p w14:paraId="27F019C7" w14:textId="77777777" w:rsidR="008B4F21" w:rsidRDefault="008B4F21"/>
        </w:tc>
      </w:tr>
      <w:tr w:rsidR="008B4F21" w14:paraId="1401E299" w14:textId="77777777" w:rsidTr="008B4F21">
        <w:tc>
          <w:tcPr>
            <w:tcW w:w="2254" w:type="dxa"/>
          </w:tcPr>
          <w:p w14:paraId="12BFD649" w14:textId="77777777" w:rsidR="008B4F21" w:rsidRDefault="003962D4">
            <w:r>
              <w:t xml:space="preserve">VAT </w:t>
            </w:r>
          </w:p>
        </w:tc>
        <w:tc>
          <w:tcPr>
            <w:tcW w:w="2254" w:type="dxa"/>
          </w:tcPr>
          <w:p w14:paraId="648C7B78" w14:textId="77777777" w:rsidR="008B4F21" w:rsidRDefault="008B4F21"/>
        </w:tc>
        <w:tc>
          <w:tcPr>
            <w:tcW w:w="2254" w:type="dxa"/>
          </w:tcPr>
          <w:p w14:paraId="7C699956" w14:textId="77777777" w:rsidR="008B4F21" w:rsidRDefault="008B4F21"/>
        </w:tc>
        <w:tc>
          <w:tcPr>
            <w:tcW w:w="2254" w:type="dxa"/>
          </w:tcPr>
          <w:p w14:paraId="7A2C63E9" w14:textId="77777777" w:rsidR="008B4F21" w:rsidRDefault="008B4F21"/>
        </w:tc>
      </w:tr>
      <w:tr w:rsidR="008B4F21" w14:paraId="3A15BB34" w14:textId="77777777" w:rsidTr="008B4F21">
        <w:tc>
          <w:tcPr>
            <w:tcW w:w="2254" w:type="dxa"/>
          </w:tcPr>
          <w:p w14:paraId="275ED24A" w14:textId="77777777" w:rsidR="008B4F21" w:rsidRDefault="003962D4">
            <w:r>
              <w:t>Total amount inclusive of VAT</w:t>
            </w:r>
          </w:p>
        </w:tc>
        <w:tc>
          <w:tcPr>
            <w:tcW w:w="2254" w:type="dxa"/>
          </w:tcPr>
          <w:p w14:paraId="7BB61807" w14:textId="77777777" w:rsidR="008B4F21" w:rsidRDefault="008B4F21"/>
        </w:tc>
        <w:tc>
          <w:tcPr>
            <w:tcW w:w="2254" w:type="dxa"/>
          </w:tcPr>
          <w:p w14:paraId="13C4B8C3" w14:textId="77777777" w:rsidR="008B4F21" w:rsidRDefault="008B4F21"/>
        </w:tc>
        <w:tc>
          <w:tcPr>
            <w:tcW w:w="2254" w:type="dxa"/>
          </w:tcPr>
          <w:p w14:paraId="7CF0B9D2" w14:textId="77777777" w:rsidR="008B4F21" w:rsidRDefault="008B4F21"/>
        </w:tc>
      </w:tr>
    </w:tbl>
    <w:p w14:paraId="6EBB94ED" w14:textId="77777777" w:rsidR="00BC6326" w:rsidRPr="00867786" w:rsidRDefault="00BC6326">
      <w:pPr>
        <w:rPr>
          <w:b/>
          <w:bCs/>
        </w:rPr>
      </w:pPr>
      <w:r w:rsidRPr="00867786">
        <w:rPr>
          <w:b/>
          <w:bCs/>
        </w:rPr>
        <w:t>Important Notes:</w:t>
      </w:r>
    </w:p>
    <w:p w14:paraId="2D4D3C8A" w14:textId="77777777" w:rsidR="00BC6326" w:rsidRDefault="009C7847" w:rsidP="00BC6326">
      <w:pPr>
        <w:pStyle w:val="ListParagraph"/>
        <w:numPr>
          <w:ilvl w:val="0"/>
          <w:numId w:val="2"/>
        </w:numPr>
      </w:pPr>
      <w:r>
        <w:t>The c</w:t>
      </w:r>
      <w:r w:rsidR="00BC6326">
        <w:t xml:space="preserve">ontract will be for a period of 3 years. </w:t>
      </w:r>
    </w:p>
    <w:p w14:paraId="0718381A" w14:textId="77777777" w:rsidR="0090745C" w:rsidRDefault="00BC6326" w:rsidP="006613A1">
      <w:pPr>
        <w:pStyle w:val="ListParagraph"/>
        <w:numPr>
          <w:ilvl w:val="0"/>
          <w:numId w:val="2"/>
        </w:numPr>
      </w:pPr>
      <w:r>
        <w:t>Pricing must be inclusive of VAT.</w:t>
      </w:r>
    </w:p>
    <w:p w14:paraId="472CF93D" w14:textId="77777777" w:rsidR="00FB38D6" w:rsidRDefault="00BC6326" w:rsidP="006613A1">
      <w:pPr>
        <w:pStyle w:val="ListParagraph"/>
        <w:numPr>
          <w:ilvl w:val="0"/>
          <w:numId w:val="2"/>
        </w:numPr>
      </w:pPr>
      <w:r>
        <w:t>NO LATE SUBMISSIONS WILL BE ACCEPTED</w:t>
      </w:r>
      <w:r w:rsidR="006C094C">
        <w:t xml:space="preserve"> </w:t>
      </w:r>
    </w:p>
    <w:sectPr w:rsidR="00FB38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14E4" w14:textId="77777777" w:rsidR="009C6016" w:rsidRDefault="009C6016" w:rsidP="00A84B09">
      <w:pPr>
        <w:spacing w:after="0" w:line="240" w:lineRule="auto"/>
      </w:pPr>
      <w:r>
        <w:separator/>
      </w:r>
    </w:p>
  </w:endnote>
  <w:endnote w:type="continuationSeparator" w:id="0">
    <w:p w14:paraId="53DB3EB1" w14:textId="77777777" w:rsidR="009C6016" w:rsidRDefault="009C6016" w:rsidP="00A8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B751" w14:textId="77777777" w:rsidR="009C6016" w:rsidRDefault="009C6016" w:rsidP="00A84B09">
      <w:pPr>
        <w:spacing w:after="0" w:line="240" w:lineRule="auto"/>
      </w:pPr>
      <w:r>
        <w:separator/>
      </w:r>
    </w:p>
  </w:footnote>
  <w:footnote w:type="continuationSeparator" w:id="0">
    <w:p w14:paraId="4F00288C" w14:textId="77777777" w:rsidR="009C6016" w:rsidRDefault="009C6016" w:rsidP="00A8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003FA"/>
    <w:multiLevelType w:val="hybridMultilevel"/>
    <w:tmpl w:val="08CE02A6"/>
    <w:lvl w:ilvl="0" w:tplc="14541AF2">
      <w:start w:val="1"/>
      <w:numFmt w:val="decimal"/>
      <w:lvlText w:val="%1."/>
      <w:lvlJc w:val="left"/>
      <w:pPr>
        <w:ind w:left="408" w:hanging="360"/>
      </w:pPr>
      <w:rPr>
        <w:rFonts w:hint="default"/>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1" w15:restartNumberingAfterBreak="0">
    <w:nsid w:val="79783F1C"/>
    <w:multiLevelType w:val="hybridMultilevel"/>
    <w:tmpl w:val="B83ECD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29459113">
    <w:abstractNumId w:val="1"/>
  </w:num>
  <w:num w:numId="2" w16cid:durableId="210017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YwNDU3Njc1MjIzMTZQ0lEKTi0uzszPAykwrwUAWGEZuSwAAAA="/>
  </w:docVars>
  <w:rsids>
    <w:rsidRoot w:val="00047959"/>
    <w:rsid w:val="00043BCB"/>
    <w:rsid w:val="00047959"/>
    <w:rsid w:val="00076D7E"/>
    <w:rsid w:val="000D3A02"/>
    <w:rsid w:val="000D60A3"/>
    <w:rsid w:val="001228D8"/>
    <w:rsid w:val="001459B4"/>
    <w:rsid w:val="001551D9"/>
    <w:rsid w:val="00190A8D"/>
    <w:rsid w:val="001B5915"/>
    <w:rsid w:val="001B6F5A"/>
    <w:rsid w:val="002257D4"/>
    <w:rsid w:val="002551E6"/>
    <w:rsid w:val="00264894"/>
    <w:rsid w:val="002859BA"/>
    <w:rsid w:val="00287CB6"/>
    <w:rsid w:val="00294CAD"/>
    <w:rsid w:val="00296DEF"/>
    <w:rsid w:val="002C73BD"/>
    <w:rsid w:val="002E659C"/>
    <w:rsid w:val="00316698"/>
    <w:rsid w:val="003568F4"/>
    <w:rsid w:val="00361F5B"/>
    <w:rsid w:val="003962D4"/>
    <w:rsid w:val="003A6505"/>
    <w:rsid w:val="003B3F0D"/>
    <w:rsid w:val="003C09C4"/>
    <w:rsid w:val="003C50D4"/>
    <w:rsid w:val="00417FBB"/>
    <w:rsid w:val="004427A7"/>
    <w:rsid w:val="004613BA"/>
    <w:rsid w:val="004E23B5"/>
    <w:rsid w:val="004E7D17"/>
    <w:rsid w:val="004F17D5"/>
    <w:rsid w:val="0050161A"/>
    <w:rsid w:val="00507EFB"/>
    <w:rsid w:val="00510377"/>
    <w:rsid w:val="00575A2A"/>
    <w:rsid w:val="005C2BA3"/>
    <w:rsid w:val="005D528A"/>
    <w:rsid w:val="005D7885"/>
    <w:rsid w:val="005E0CB8"/>
    <w:rsid w:val="005E7817"/>
    <w:rsid w:val="006165E4"/>
    <w:rsid w:val="0066032E"/>
    <w:rsid w:val="006613A1"/>
    <w:rsid w:val="00681010"/>
    <w:rsid w:val="006B507F"/>
    <w:rsid w:val="006B7761"/>
    <w:rsid w:val="006C094C"/>
    <w:rsid w:val="006D68BE"/>
    <w:rsid w:val="006E0EC5"/>
    <w:rsid w:val="006F54D4"/>
    <w:rsid w:val="00723A7E"/>
    <w:rsid w:val="00763EBD"/>
    <w:rsid w:val="00790813"/>
    <w:rsid w:val="007A184E"/>
    <w:rsid w:val="007B5D23"/>
    <w:rsid w:val="007C491E"/>
    <w:rsid w:val="007C72E0"/>
    <w:rsid w:val="007D2B57"/>
    <w:rsid w:val="007F54E3"/>
    <w:rsid w:val="00804BC2"/>
    <w:rsid w:val="0085036F"/>
    <w:rsid w:val="00855E24"/>
    <w:rsid w:val="00867786"/>
    <w:rsid w:val="008A25CB"/>
    <w:rsid w:val="008B4F21"/>
    <w:rsid w:val="008D51C8"/>
    <w:rsid w:val="008D5283"/>
    <w:rsid w:val="008D7BB8"/>
    <w:rsid w:val="00900A9C"/>
    <w:rsid w:val="0090745C"/>
    <w:rsid w:val="00951CE0"/>
    <w:rsid w:val="009631A6"/>
    <w:rsid w:val="009734C3"/>
    <w:rsid w:val="00976450"/>
    <w:rsid w:val="00985285"/>
    <w:rsid w:val="009A6640"/>
    <w:rsid w:val="009C6016"/>
    <w:rsid w:val="009C7847"/>
    <w:rsid w:val="00A377C5"/>
    <w:rsid w:val="00A54A8E"/>
    <w:rsid w:val="00A54C65"/>
    <w:rsid w:val="00A80790"/>
    <w:rsid w:val="00A84B09"/>
    <w:rsid w:val="00AB5D03"/>
    <w:rsid w:val="00B27FAC"/>
    <w:rsid w:val="00B314A3"/>
    <w:rsid w:val="00B70B41"/>
    <w:rsid w:val="00BA258D"/>
    <w:rsid w:val="00BC6326"/>
    <w:rsid w:val="00BF6D97"/>
    <w:rsid w:val="00C1022C"/>
    <w:rsid w:val="00C14235"/>
    <w:rsid w:val="00C710D2"/>
    <w:rsid w:val="00CB7E38"/>
    <w:rsid w:val="00CD425C"/>
    <w:rsid w:val="00CE69ED"/>
    <w:rsid w:val="00D03866"/>
    <w:rsid w:val="00D16680"/>
    <w:rsid w:val="00D20C7A"/>
    <w:rsid w:val="00D414CB"/>
    <w:rsid w:val="00D65EB5"/>
    <w:rsid w:val="00D7399E"/>
    <w:rsid w:val="00D969B2"/>
    <w:rsid w:val="00DB7308"/>
    <w:rsid w:val="00DD3685"/>
    <w:rsid w:val="00E34CCB"/>
    <w:rsid w:val="00E35BDB"/>
    <w:rsid w:val="00E97A68"/>
    <w:rsid w:val="00EA05C8"/>
    <w:rsid w:val="00EB24DA"/>
    <w:rsid w:val="00EC7FF6"/>
    <w:rsid w:val="00ED53EB"/>
    <w:rsid w:val="00EF42DB"/>
    <w:rsid w:val="00EF6CF0"/>
    <w:rsid w:val="00F25B4E"/>
    <w:rsid w:val="00F27E68"/>
    <w:rsid w:val="00F467E1"/>
    <w:rsid w:val="00FA7AD6"/>
    <w:rsid w:val="00FB38D6"/>
    <w:rsid w:val="00FD75B8"/>
    <w:rsid w:val="00FE3DD1"/>
    <w:rsid w:val="00FE6933"/>
    <w:rsid w:val="00FE7CF7"/>
    <w:rsid w:val="00FF4B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D3F8E"/>
  <w15:chartTrackingRefBased/>
  <w15:docId w15:val="{7D702CD7-15B1-4C63-955E-F3F7EFB5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4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B09"/>
  </w:style>
  <w:style w:type="paragraph" w:styleId="Footer">
    <w:name w:val="footer"/>
    <w:basedOn w:val="Normal"/>
    <w:link w:val="FooterChar"/>
    <w:uiPriority w:val="99"/>
    <w:unhideWhenUsed/>
    <w:rsid w:val="00A84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B09"/>
  </w:style>
  <w:style w:type="paragraph" w:styleId="ListParagraph">
    <w:name w:val="List Paragraph"/>
    <w:basedOn w:val="Normal"/>
    <w:uiPriority w:val="34"/>
    <w:qFormat/>
    <w:rsid w:val="005E7817"/>
    <w:pPr>
      <w:ind w:left="720"/>
      <w:contextualSpacing/>
    </w:pPr>
  </w:style>
  <w:style w:type="character" w:styleId="Hyperlink">
    <w:name w:val="Hyperlink"/>
    <w:basedOn w:val="DefaultParagraphFont"/>
    <w:uiPriority w:val="99"/>
    <w:unhideWhenUsed/>
    <w:rsid w:val="00FD75B8"/>
    <w:rPr>
      <w:color w:val="0563C1" w:themeColor="hyperlink"/>
      <w:u w:val="single"/>
    </w:rPr>
  </w:style>
  <w:style w:type="character" w:styleId="UnresolvedMention">
    <w:name w:val="Unresolved Mention"/>
    <w:basedOn w:val="DefaultParagraphFont"/>
    <w:uiPriority w:val="99"/>
    <w:semiHidden/>
    <w:unhideWhenUsed/>
    <w:rsid w:val="00FD75B8"/>
    <w:rPr>
      <w:color w:val="605E5C"/>
      <w:shd w:val="clear" w:color="auto" w:fill="E1DFDD"/>
    </w:rPr>
  </w:style>
  <w:style w:type="paragraph" w:styleId="Revision">
    <w:name w:val="Revision"/>
    <w:hidden/>
    <w:uiPriority w:val="99"/>
    <w:semiHidden/>
    <w:rsid w:val="00264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f20189-24c5-4d9c-95a1-8860a4e941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14700F7AABB4E8068A6FF79FF9B22" ma:contentTypeVersion="16" ma:contentTypeDescription="Create a new document." ma:contentTypeScope="" ma:versionID="8b00d95dce20217ddd8b96acf1e85a76">
  <xsd:schema xmlns:xsd="http://www.w3.org/2001/XMLSchema" xmlns:xs="http://www.w3.org/2001/XMLSchema" xmlns:p="http://schemas.microsoft.com/office/2006/metadata/properties" xmlns:ns3="bbc90a5e-b629-458b-80e0-0c460e97b4c0" xmlns:ns4="87f20189-24c5-4d9c-95a1-8860a4e941c6" targetNamespace="http://schemas.microsoft.com/office/2006/metadata/properties" ma:root="true" ma:fieldsID="df8be35e7b5731013cc6dc9c17cee3b3" ns3:_="" ns4:_="">
    <xsd:import namespace="bbc90a5e-b629-458b-80e0-0c460e97b4c0"/>
    <xsd:import namespace="87f20189-24c5-4d9c-95a1-8860a4e941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0a5e-b629-458b-80e0-0c460e97b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20189-24c5-4d9c-95a1-8860a4e941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E393B-F917-4CEB-96A7-CD2953D84140}">
  <ds:schemaRefs>
    <ds:schemaRef ds:uri="http://schemas.microsoft.com/office/infopath/2007/PartnerControls"/>
    <ds:schemaRef ds:uri="http://schemas.microsoft.com/office/2006/documentManagement/types"/>
    <ds:schemaRef ds:uri="http://schemas.microsoft.com/office/2006/metadata/properties"/>
    <ds:schemaRef ds:uri="bbc90a5e-b629-458b-80e0-0c460e97b4c0"/>
    <ds:schemaRef ds:uri="http://purl.org/dc/elements/1.1/"/>
    <ds:schemaRef ds:uri="http://www.w3.org/XML/1998/namespace"/>
    <ds:schemaRef ds:uri="http://schemas.openxmlformats.org/package/2006/metadata/core-properties"/>
    <ds:schemaRef ds:uri="87f20189-24c5-4d9c-95a1-8860a4e941c6"/>
    <ds:schemaRef ds:uri="http://purl.org/dc/dcmitype/"/>
    <ds:schemaRef ds:uri="http://purl.org/dc/terms/"/>
  </ds:schemaRefs>
</ds:datastoreItem>
</file>

<file path=customXml/itemProps2.xml><?xml version="1.0" encoding="utf-8"?>
<ds:datastoreItem xmlns:ds="http://schemas.openxmlformats.org/officeDocument/2006/customXml" ds:itemID="{5C4B0CD4-C2E0-45D7-95E8-6DE794789135}">
  <ds:schemaRefs>
    <ds:schemaRef ds:uri="http://schemas.microsoft.com/sharepoint/v3/contenttype/forms"/>
  </ds:schemaRefs>
</ds:datastoreItem>
</file>

<file path=customXml/itemProps3.xml><?xml version="1.0" encoding="utf-8"?>
<ds:datastoreItem xmlns:ds="http://schemas.openxmlformats.org/officeDocument/2006/customXml" ds:itemID="{89424163-691B-4314-A99F-D8792B992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90a5e-b629-458b-80e0-0c460e97b4c0"/>
    <ds:schemaRef ds:uri="87f20189-24c5-4d9c-95a1-8860a4e94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Pillay</dc:creator>
  <cp:keywords/>
  <dc:description/>
  <cp:lastModifiedBy>Meshack M. Monareng</cp:lastModifiedBy>
  <cp:revision>2</cp:revision>
  <dcterms:created xsi:type="dcterms:W3CDTF">2023-12-06T08:44:00Z</dcterms:created>
  <dcterms:modified xsi:type="dcterms:W3CDTF">2023-12-06T08:44:00Z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cbf6e6e7-ad56-4c0a-bed6-e362b266b3ea</vt:lpwstr>
  </property>
  <property fmtid="{D5CDD505-2E9C-101B-9397-08002B2CF9AE}" pid="3" name="ContentTypeId">
    <vt:lpwstr>0x01010012E14700F7AABB4E8068A6FF79FF9B22</vt:lpwstr>
  </property>
</Properties>
</file>