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3C" w:rsidRPr="001A4250" w:rsidRDefault="00CF253C" w:rsidP="00CF253C">
      <w:pPr>
        <w:spacing w:after="0" w:line="240" w:lineRule="auto"/>
        <w:ind w:left="993" w:hanging="993"/>
        <w:jc w:val="both"/>
        <w:rPr>
          <w:rFonts w:ascii="Arial" w:eastAsia="Times New Roman" w:hAnsi="Arial" w:cs="Arial"/>
          <w:b/>
          <w:lang w:val="en-GB" w:eastAsia="en-ZA"/>
        </w:rPr>
      </w:pPr>
      <w:bookmarkStart w:id="0" w:name="_GoBack"/>
      <w:bookmarkEnd w:id="0"/>
      <w:r w:rsidRPr="001A4250">
        <w:rPr>
          <w:rFonts w:ascii="Arial" w:eastAsia="Times New Roman" w:hAnsi="Arial" w:cs="Arial"/>
          <w:b/>
          <w:lang w:val="en-GB" w:eastAsia="en-ZA"/>
        </w:rPr>
        <w:t>ANNEXURE TO PRICE SCHEDULE OR, WHERE APPLICABLE, FORM C.P.A. (I.G.)</w:t>
      </w:r>
    </w:p>
    <w:p w:rsidR="00CF253C" w:rsidRPr="001A4250" w:rsidRDefault="00CF253C" w:rsidP="00CF253C">
      <w:pPr>
        <w:spacing w:after="0" w:line="240" w:lineRule="auto"/>
        <w:jc w:val="both"/>
        <w:rPr>
          <w:rFonts w:ascii="Arial" w:eastAsia="Times New Roman" w:hAnsi="Arial" w:cs="Arial"/>
          <w:b/>
          <w:lang w:val="en-GB" w:eastAsia="en-ZA"/>
        </w:rPr>
      </w:pPr>
    </w:p>
    <w:p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rsidR="00CF253C" w:rsidRPr="001A4250" w:rsidRDefault="00CF253C" w:rsidP="00CF253C">
      <w:pPr>
        <w:spacing w:after="0" w:line="240" w:lineRule="auto"/>
        <w:jc w:val="both"/>
        <w:rPr>
          <w:rFonts w:ascii="Arial" w:eastAsia="Times New Roman" w:hAnsi="Arial" w:cs="Arial"/>
          <w:lang w:val="en-GB" w:eastAsia="en-ZA"/>
        </w:rPr>
      </w:pPr>
    </w:p>
    <w:p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rsidR="00CF253C" w:rsidRPr="001A4250" w:rsidRDefault="00CF253C" w:rsidP="00CF253C">
      <w:pPr>
        <w:spacing w:after="0" w:line="240" w:lineRule="auto"/>
        <w:ind w:right="271"/>
        <w:jc w:val="both"/>
        <w:rPr>
          <w:rFonts w:ascii="Arial" w:eastAsia="Times New Roman" w:hAnsi="Arial" w:cs="Arial"/>
          <w:lang w:val="en-GB" w:eastAsia="en-ZA"/>
        </w:rPr>
      </w:pPr>
    </w:p>
    <w:p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rsidR="00CF253C" w:rsidRPr="001A4250" w:rsidRDefault="00CF253C" w:rsidP="00826E8D">
      <w:pPr>
        <w:spacing w:after="0" w:line="240" w:lineRule="auto"/>
        <w:jc w:val="both"/>
        <w:rPr>
          <w:rFonts w:ascii="Arial" w:eastAsia="Times New Roman" w:hAnsi="Arial" w:cs="Arial"/>
          <w:lang w:val="en-GB" w:eastAsia="en-ZA"/>
        </w:rPr>
      </w:pPr>
    </w:p>
    <w:p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rsidR="00CF253C" w:rsidRPr="001A4250" w:rsidRDefault="00CF253C" w:rsidP="00826E8D">
      <w:pPr>
        <w:spacing w:after="0" w:line="240" w:lineRule="auto"/>
        <w:jc w:val="both"/>
        <w:rPr>
          <w:rFonts w:ascii="Arial" w:eastAsia="Times New Roman" w:hAnsi="Arial" w:cs="Arial"/>
          <w:lang w:val="en-GB" w:eastAsia="en-ZA"/>
        </w:rPr>
      </w:pPr>
    </w:p>
    <w:p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 xml:space="preserve">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w:t>
      </w:r>
      <w:r w:rsidRPr="001A4250">
        <w:rPr>
          <w:rFonts w:ascii="Arial" w:eastAsia="Times New Roman" w:hAnsi="Arial" w:cs="Arial"/>
          <w:lang w:val="en-GB" w:eastAsia="en-ZA"/>
        </w:rPr>
        <w:lastRenderedPageBreak/>
        <w:t>submitted, provided such claim is received within 180 days of the date of delivery/installation.</w:t>
      </w:r>
    </w:p>
    <w:p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rsidR="00CF253C" w:rsidRPr="001A4250" w:rsidRDefault="00CF253C" w:rsidP="00826E8D">
      <w:pPr>
        <w:spacing w:after="0" w:line="240" w:lineRule="auto"/>
        <w:ind w:left="284" w:hanging="284"/>
        <w:jc w:val="both"/>
        <w:rPr>
          <w:rFonts w:ascii="Arial" w:eastAsia="Times New Roman" w:hAnsi="Arial" w:cs="Arial"/>
          <w:i/>
          <w:lang w:val="en-GB" w:eastAsia="en-ZA"/>
        </w:rPr>
      </w:pPr>
    </w:p>
    <w:p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rsidR="00127F09" w:rsidRDefault="00127F09" w:rsidP="00CF253C">
      <w:pPr>
        <w:spacing w:after="0" w:line="240" w:lineRule="auto"/>
        <w:ind w:left="284" w:right="-579" w:hanging="284"/>
        <w:jc w:val="both"/>
        <w:rPr>
          <w:rFonts w:ascii="Arial" w:eastAsia="Times New Roman" w:hAnsi="Arial" w:cs="Arial"/>
          <w:i/>
          <w:lang w:val="en-GB" w:eastAsia="en-ZA"/>
        </w:rPr>
      </w:pPr>
    </w:p>
    <w:p w:rsidR="00826E8D" w:rsidRDefault="00826E8D" w:rsidP="00CF253C">
      <w:pPr>
        <w:spacing w:after="0" w:line="240" w:lineRule="auto"/>
        <w:ind w:left="284" w:right="-579" w:hanging="284"/>
        <w:jc w:val="both"/>
        <w:rPr>
          <w:rFonts w:ascii="Arial" w:eastAsia="Times New Roman" w:hAnsi="Arial" w:cs="Arial"/>
          <w:i/>
          <w:lang w:val="en-GB" w:eastAsia="en-ZA"/>
        </w:rPr>
      </w:pPr>
    </w:p>
    <w:p w:rsidR="00826E8D" w:rsidRDefault="00826E8D" w:rsidP="00CF253C">
      <w:pPr>
        <w:spacing w:after="0" w:line="240" w:lineRule="auto"/>
        <w:ind w:left="284" w:right="-579" w:hanging="284"/>
        <w:jc w:val="both"/>
        <w:rPr>
          <w:rFonts w:ascii="Arial" w:eastAsia="Times New Roman" w:hAnsi="Arial" w:cs="Arial"/>
          <w:i/>
          <w:lang w:val="en-GB" w:eastAsia="en-ZA"/>
        </w:rPr>
      </w:pPr>
    </w:p>
    <w:p w:rsidR="00826E8D" w:rsidRDefault="00826E8D" w:rsidP="00CF253C">
      <w:pPr>
        <w:spacing w:after="0" w:line="240" w:lineRule="auto"/>
        <w:ind w:left="284" w:right="-579" w:hanging="284"/>
        <w:jc w:val="both"/>
        <w:rPr>
          <w:rFonts w:ascii="Arial" w:eastAsia="Times New Roman" w:hAnsi="Arial" w:cs="Arial"/>
          <w:i/>
          <w:lang w:val="en-GB" w:eastAsia="en-ZA"/>
        </w:rPr>
      </w:pPr>
    </w:p>
    <w:p w:rsidR="00826E8D" w:rsidRDefault="00826E8D" w:rsidP="00CF253C">
      <w:pPr>
        <w:spacing w:after="0" w:line="240" w:lineRule="auto"/>
        <w:ind w:left="284" w:right="-579" w:hanging="284"/>
        <w:jc w:val="both"/>
        <w:rPr>
          <w:rFonts w:ascii="Arial" w:eastAsia="Times New Roman" w:hAnsi="Arial" w:cs="Arial"/>
          <w:i/>
          <w:lang w:val="en-GB" w:eastAsia="en-ZA"/>
        </w:rPr>
      </w:pPr>
    </w:p>
    <w:p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rsidR="00CF253C" w:rsidRPr="001A4250" w:rsidRDefault="00CF253C" w:rsidP="00CF253C">
      <w:pPr>
        <w:spacing w:after="0" w:line="240" w:lineRule="auto"/>
        <w:ind w:right="-1288"/>
        <w:jc w:val="both"/>
        <w:rPr>
          <w:rFonts w:ascii="Arial" w:eastAsia="Times New Roman" w:hAnsi="Arial" w:cs="Arial"/>
          <w:lang w:val="en-GB" w:eastAsia="en-ZA"/>
        </w:rPr>
      </w:pPr>
    </w:p>
    <w:p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lastRenderedPageBreak/>
        <w:t>__________ % of the F.O.R. works price shall be adjusted on the basis of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r w:rsidRPr="001A4250">
        <w:rPr>
          <w:rFonts w:ascii="Arial" w:eastAsia="Times New Roman" w:hAnsi="Arial" w:cs="Arial"/>
          <w:lang w:val="en-GB" w:eastAsia="en-ZA"/>
        </w:rPr>
        <w:t>INDEX:_________________________________________________</w:t>
      </w:r>
      <w:r w:rsidRPr="001A4250">
        <w:rPr>
          <w:rFonts w:ascii="Arial" w:eastAsia="Times New Roman" w:hAnsi="Arial" w:cs="Arial"/>
          <w:lang w:val="en-GB" w:eastAsia="en-ZA"/>
        </w:rPr>
        <w:br/>
      </w:r>
    </w:p>
    <w:p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rsidR="00CF253C" w:rsidRPr="001A4250" w:rsidRDefault="00CF253C" w:rsidP="00CF253C">
      <w:pPr>
        <w:spacing w:after="0" w:line="240" w:lineRule="auto"/>
        <w:ind w:left="1418" w:right="271"/>
        <w:jc w:val="both"/>
        <w:rPr>
          <w:rFonts w:ascii="Arial" w:eastAsia="Times New Roman" w:hAnsi="Arial" w:cs="Arial"/>
          <w:lang w:val="en-GB" w:eastAsia="en-ZA"/>
        </w:rPr>
      </w:pPr>
    </w:p>
    <w:p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Please complete this section in accordance to relevance of the commodity.  Space has been made available for insertion by the tenderer of other recognised indices the tenderer considers relevant.</w:t>
      </w:r>
    </w:p>
    <w:p w:rsidR="00CF253C" w:rsidRPr="001A4250" w:rsidRDefault="00CF253C" w:rsidP="00CF253C">
      <w:pPr>
        <w:spacing w:after="0" w:line="240" w:lineRule="auto"/>
        <w:ind w:left="851" w:right="-1"/>
        <w:jc w:val="both"/>
        <w:rPr>
          <w:rFonts w:ascii="Arial" w:eastAsia="Times New Roman" w:hAnsi="Arial" w:cs="Arial"/>
          <w:lang w:val="en-GB" w:eastAsia="en-ZA"/>
        </w:rPr>
      </w:pPr>
    </w:p>
    <w:p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a time period other than 1 month, the stipulated period will be used to determine the price/index.</w:t>
      </w:r>
    </w:p>
    <w:p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1660"/>
        <w:gridCol w:w="4686"/>
      </w:tblGrid>
      <w:tr w:rsidR="00CF253C" w:rsidRPr="001A4250" w:rsidTr="007C4EC4">
        <w:trPr>
          <w:jc w:val="center"/>
        </w:trPr>
        <w:tc>
          <w:tcPr>
            <w:tcW w:w="3616" w:type="dxa"/>
            <w:shd w:val="clear" w:color="auto" w:fill="auto"/>
          </w:tcPr>
          <w:p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of F.O.R.</w:t>
            </w:r>
          </w:p>
          <w:p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rsidTr="007C4EC4">
        <w:trPr>
          <w:jc w:val="center"/>
        </w:trPr>
        <w:tc>
          <w:tcPr>
            <w:tcW w:w="3616"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rsidTr="007C4EC4">
        <w:trPr>
          <w:jc w:val="center"/>
        </w:trPr>
        <w:tc>
          <w:tcPr>
            <w:tcW w:w="3616"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SEIFSA TABLE G : STATISTICS SA – Production Price Index,  E</w:t>
            </w:r>
            <w:r>
              <w:rPr>
                <w:rFonts w:ascii="Arial" w:eastAsia="Times New Roman" w:hAnsi="Arial" w:cs="Arial"/>
                <w:lang w:val="en-GB" w:eastAsia="en-ZA"/>
              </w:rPr>
              <w:t>lectrical Engineering Materials</w:t>
            </w:r>
          </w:p>
        </w:tc>
      </w:tr>
      <w:tr w:rsidR="00CF253C" w:rsidRPr="001A4250" w:rsidTr="007C4EC4">
        <w:trPr>
          <w:jc w:val="center"/>
        </w:trPr>
        <w:tc>
          <w:tcPr>
            <w:tcW w:w="3616"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F : METAL PRICES – Copper: RCP, Metric Ton </w:t>
            </w:r>
          </w:p>
        </w:tc>
      </w:tr>
    </w:tbl>
    <w:p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rsidR="00CF253C" w:rsidRPr="001A4250" w:rsidRDefault="00CF253C" w:rsidP="00CF253C">
      <w:pPr>
        <w:spacing w:after="0" w:line="360" w:lineRule="auto"/>
        <w:ind w:left="1418" w:hanging="567"/>
        <w:jc w:val="both"/>
        <w:rPr>
          <w:rFonts w:ascii="Arial" w:eastAsia="Times New Roman" w:hAnsi="Arial" w:cs="Arial"/>
          <w:lang w:val="en-GB" w:eastAsia="en-ZA"/>
        </w:rPr>
      </w:pPr>
    </w:p>
    <w:p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2.2   _____ % of the transport cost within RSA shall be adjusted on the basis of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rsidR="00CF253C" w:rsidRPr="001A4250" w:rsidRDefault="00CF253C" w:rsidP="00826E8D">
      <w:pPr>
        <w:spacing w:after="0" w:line="240" w:lineRule="auto"/>
        <w:ind w:left="851" w:hanging="851"/>
        <w:jc w:val="both"/>
        <w:rPr>
          <w:rFonts w:ascii="Arial" w:eastAsia="Times New Roman" w:hAnsi="Arial" w:cs="Arial"/>
          <w:lang w:val="en-GB" w:eastAsia="en-ZA"/>
        </w:rPr>
      </w:pPr>
    </w:p>
    <w:p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:_____________________________</w:t>
      </w:r>
      <w:r>
        <w:rPr>
          <w:rFonts w:ascii="Arial" w:eastAsia="Times New Roman" w:hAnsi="Arial" w:cs="Arial"/>
          <w:lang w:val="en-GB" w:eastAsia="en-ZA"/>
        </w:rPr>
        <w:t>_____________________________</w:t>
      </w:r>
    </w:p>
    <w:p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lastRenderedPageBreak/>
        <w:t xml:space="preserve"> _______ % of the price for installation/erection work shall be adjusted on the basis of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lastRenderedPageBreak/>
        <w:t xml:space="preserve">Eskom requires a fixed portion (free of price adjustment).  </w:t>
      </w:r>
    </w:p>
    <w:p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rsidTr="00CF253C">
        <w:trPr>
          <w:jc w:val="center"/>
        </w:trPr>
        <w:tc>
          <w:tcPr>
            <w:tcW w:w="4821" w:type="dxa"/>
            <w:shd w:val="clear" w:color="auto" w:fill="auto"/>
          </w:tcPr>
          <w:p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rsidTr="00CF253C">
        <w:trPr>
          <w:jc w:val="center"/>
        </w:trPr>
        <w:tc>
          <w:tcPr>
            <w:tcW w:w="4821"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rsidTr="00CF253C">
        <w:trPr>
          <w:jc w:val="center"/>
        </w:trPr>
        <w:tc>
          <w:tcPr>
            <w:tcW w:w="4821"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rsidTr="00CF253C">
        <w:trPr>
          <w:jc w:val="center"/>
        </w:trPr>
        <w:tc>
          <w:tcPr>
            <w:tcW w:w="4821"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rsidTr="00CF253C">
        <w:trPr>
          <w:jc w:val="center"/>
        </w:trPr>
        <w:tc>
          <w:tcPr>
            <w:tcW w:w="4821"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rsidTr="00CF253C">
        <w:trPr>
          <w:jc w:val="center"/>
        </w:trPr>
        <w:tc>
          <w:tcPr>
            <w:tcW w:w="4821" w:type="dxa"/>
            <w:shd w:val="clear" w:color="auto" w:fill="auto"/>
          </w:tcPr>
          <w:p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rsidTr="00CF253C">
        <w:trPr>
          <w:jc w:val="center"/>
        </w:trPr>
        <w:tc>
          <w:tcPr>
            <w:tcW w:w="4821" w:type="dxa"/>
            <w:shd w:val="clear" w:color="auto" w:fill="auto"/>
          </w:tcPr>
          <w:p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r w:rsidRPr="001A4250">
              <w:rPr>
                <w:rFonts w:ascii="Arial" w:eastAsia="Times New Roman" w:hAnsi="Arial" w:cs="Arial"/>
                <w:lang w:val="en-GB" w:eastAsia="en-ZA"/>
              </w:rPr>
              <w:t>Total : 1</w:t>
            </w:r>
          </w:p>
        </w:tc>
        <w:tc>
          <w:tcPr>
            <w:tcW w:w="3118" w:type="dxa"/>
            <w:shd w:val="clear" w:color="auto" w:fill="auto"/>
          </w:tcPr>
          <w:p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rsidTr="00F07F68">
        <w:trPr>
          <w:trHeight w:val="2974"/>
          <w:jc w:val="center"/>
        </w:trPr>
        <w:tc>
          <w:tcPr>
            <w:tcW w:w="10173" w:type="dxa"/>
          </w:tcPr>
          <w:p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All of B</w:t>
            </w:r>
            <w:r w:rsidRPr="001A4250">
              <w:rPr>
                <w:rFonts w:ascii="Arial" w:eastAsia="Times New Roman" w:hAnsi="Arial" w:cs="Arial"/>
                <w:lang w:val="en-GB" w:eastAsia="en-ZA"/>
              </w:rPr>
              <w:t xml:space="preserve">  (delete which is not applicable)</w:t>
            </w:r>
          </w:p>
        </w:tc>
      </w:tr>
    </w:tbl>
    <w:p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EDE" w:rsidRDefault="00E67EDE" w:rsidP="00201A98">
      <w:pPr>
        <w:spacing w:after="0" w:line="240" w:lineRule="auto"/>
      </w:pPr>
      <w:r>
        <w:separator/>
      </w:r>
    </w:p>
  </w:endnote>
  <w:endnote w:type="continuationSeparator" w:id="0">
    <w:p w:rsidR="00E67EDE" w:rsidRDefault="00E67ED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459" w:type="dxa"/>
      <w:tblLook w:val="04A0" w:firstRow="1" w:lastRow="0" w:firstColumn="1" w:lastColumn="0" w:noHBand="0" w:noVBand="1"/>
    </w:tblPr>
    <w:tblGrid>
      <w:gridCol w:w="6237"/>
      <w:gridCol w:w="3969"/>
      <w:gridCol w:w="567"/>
    </w:tblGrid>
    <w:tr w:rsidR="00127F09" w:rsidTr="00F07F68">
      <w:tc>
        <w:tcPr>
          <w:tcW w:w="10773" w:type="dxa"/>
          <w:gridSpan w:val="3"/>
          <w:tcBorders>
            <w:top w:val="nil"/>
            <w:left w:val="nil"/>
            <w:bottom w:val="nil"/>
            <w:right w:val="nil"/>
          </w:tcBorders>
          <w:vAlign w:val="center"/>
        </w:tcPr>
        <w:p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rsidTr="00F07F68">
      <w:trPr>
        <w:gridAfter w:val="1"/>
        <w:wAfter w:w="567" w:type="dxa"/>
      </w:trPr>
      <w:tc>
        <w:tcPr>
          <w:tcW w:w="10206" w:type="dxa"/>
          <w:gridSpan w:val="2"/>
          <w:tcBorders>
            <w:top w:val="nil"/>
            <w:left w:val="nil"/>
            <w:bottom w:val="nil"/>
            <w:right w:val="nil"/>
          </w:tcBorders>
        </w:tcPr>
        <w:p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1F846346" wp14:editId="34E125A9">
                    <wp:simplePos x="0" y="0"/>
                    <wp:positionH relativeFrom="column">
                      <wp:posOffset>200660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46346" id="_x0000_t202" coordsize="21600,21600" o:spt="202" path="m,l,21600r21600,l21600,xe">
                    <v:stroke joinstyle="miter"/>
                    <v:path gradientshapeok="t" o:connecttype="rect"/>
                  </v:shapetype>
                  <v:shape id="Text Box 3" o:spid="_x0000_s1026" type="#_x0000_t202" style="position:absolute;margin-left:15.8pt;margin-top:4.95pt;width:502.3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" filled="f" stroked="f" strokeweight=".5pt">
                    <v:textbox>
                      <w:txbxContent>
                        <w:p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rsidR="00127F09" w:rsidRDefault="00127F09" w:rsidP="00EA1B3D">
          <w:pPr>
            <w:rPr>
              <w:rFonts w:ascii="Arial" w:hAnsi="Arial" w:cs="Arial"/>
              <w:sz w:val="20"/>
              <w:szCs w:val="20"/>
              <w:lang w:val="en-GB"/>
            </w:rPr>
          </w:pPr>
        </w:p>
        <w:p w:rsidR="00127F09" w:rsidRDefault="00127F09" w:rsidP="00EA1B3D">
          <w:pPr>
            <w:rPr>
              <w:rFonts w:ascii="Arial" w:hAnsi="Arial" w:cs="Arial"/>
              <w:sz w:val="20"/>
              <w:szCs w:val="20"/>
              <w:lang w:val="en-GB"/>
            </w:rPr>
          </w:pPr>
        </w:p>
        <w:p w:rsidR="00127F09" w:rsidRDefault="00127F09" w:rsidP="00EA1B3D">
          <w:pPr>
            <w:rPr>
              <w:rFonts w:ascii="Arial" w:hAnsi="Arial" w:cs="Arial"/>
              <w:sz w:val="20"/>
              <w:szCs w:val="20"/>
              <w:lang w:val="en-GB"/>
            </w:rPr>
          </w:pPr>
        </w:p>
      </w:tc>
    </w:tr>
    <w:tr w:rsidR="00127F09" w:rsidTr="00F07F68">
      <w:trPr>
        <w:gridAfter w:val="1"/>
        <w:wAfter w:w="567" w:type="dxa"/>
      </w:trPr>
      <w:tc>
        <w:tcPr>
          <w:tcW w:w="6237" w:type="dxa"/>
          <w:tcBorders>
            <w:top w:val="nil"/>
            <w:left w:val="nil"/>
            <w:bottom w:val="nil"/>
            <w:right w:val="nil"/>
          </w:tcBorders>
          <w:vAlign w:val="center"/>
        </w:tcPr>
        <w:p w:rsidR="00127F09" w:rsidRDefault="00127F09" w:rsidP="00732A3F">
          <w:pPr>
            <w:rPr>
              <w:rFonts w:ascii="Arial" w:hAnsi="Arial" w:cs="Arial"/>
              <w:sz w:val="20"/>
              <w:szCs w:val="20"/>
              <w:lang w:val="en-GB"/>
            </w:rPr>
          </w:pPr>
        </w:p>
      </w:tc>
      <w:tc>
        <w:tcPr>
          <w:tcW w:w="3969" w:type="dxa"/>
          <w:tcBorders>
            <w:top w:val="nil"/>
            <w:left w:val="nil"/>
            <w:bottom w:val="nil"/>
            <w:right w:val="nil"/>
          </w:tcBorders>
          <w:vAlign w:val="center"/>
        </w:tcPr>
        <w:p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65A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65AB">
            <w:rPr>
              <w:rFonts w:ascii="Arial" w:hAnsi="Arial" w:cs="Arial"/>
              <w:noProof/>
              <w:sz w:val="18"/>
              <w:szCs w:val="18"/>
            </w:rPr>
            <w:t>1</w:t>
          </w:r>
          <w:r w:rsidRPr="0047798B">
            <w:rPr>
              <w:rFonts w:ascii="Arial" w:hAnsi="Arial" w:cs="Arial"/>
              <w:sz w:val="18"/>
              <w:szCs w:val="18"/>
            </w:rPr>
            <w:fldChar w:fldCharType="end"/>
          </w:r>
        </w:p>
      </w:tc>
    </w:tr>
  </w:tbl>
  <w:p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EDE" w:rsidRDefault="00E67EDE" w:rsidP="00201A98">
      <w:pPr>
        <w:spacing w:after="0" w:line="240" w:lineRule="auto"/>
      </w:pPr>
      <w:r>
        <w:separator/>
      </w:r>
    </w:p>
  </w:footnote>
  <w:footnote w:type="continuationSeparator" w:id="0">
    <w:p w:rsidR="00E67EDE" w:rsidRDefault="00E67ED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F09" w:rsidRDefault="00E67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rsidTr="00CF253C">
      <w:trPr>
        <w:cantSplit/>
        <w:trHeight w:val="539"/>
        <w:jc w:val="center"/>
      </w:trPr>
      <w:tc>
        <w:tcPr>
          <w:tcW w:w="2410" w:type="dxa"/>
          <w:vMerge w:val="restart"/>
          <w:vAlign w:val="bottom"/>
        </w:tcPr>
        <w:p w:rsidR="00127F09" w:rsidRPr="003914DE" w:rsidRDefault="00E67EDE"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695443557" r:id="rId2"/>
            </w:object>
          </w:r>
        </w:p>
      </w:tc>
      <w:tc>
        <w:tcPr>
          <w:tcW w:w="3544" w:type="dxa"/>
          <w:vMerge w:val="restart"/>
          <w:vAlign w:val="center"/>
        </w:tcPr>
        <w:p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rsidTr="00CF253C">
      <w:trPr>
        <w:cantSplit/>
        <w:trHeight w:val="261"/>
        <w:jc w:val="center"/>
      </w:trPr>
      <w:tc>
        <w:tcPr>
          <w:tcW w:w="2410" w:type="dxa"/>
          <w:vMerge/>
          <w:vAlign w:val="bottom"/>
        </w:tcPr>
        <w:p w:rsidR="00127F09" w:rsidRPr="003914DE" w:rsidRDefault="00127F09" w:rsidP="00CF253C">
          <w:pPr>
            <w:spacing w:before="840"/>
            <w:rPr>
              <w:rFonts w:ascii="Arial" w:hAnsi="Arial"/>
              <w:b/>
              <w:lang w:val="en-GB"/>
            </w:rPr>
          </w:pPr>
        </w:p>
      </w:tc>
      <w:tc>
        <w:tcPr>
          <w:tcW w:w="3544" w:type="dxa"/>
          <w:vMerge/>
          <w:vAlign w:val="center"/>
        </w:tcPr>
        <w:p w:rsidR="00127F09" w:rsidRPr="003914DE" w:rsidRDefault="00127F09" w:rsidP="00CF253C">
          <w:pPr>
            <w:jc w:val="center"/>
            <w:rPr>
              <w:rFonts w:ascii="Arial" w:hAnsi="Arial" w:cs="Arial"/>
              <w:b/>
              <w:lang w:val="en-GB"/>
            </w:rPr>
          </w:pPr>
        </w:p>
      </w:tc>
      <w:tc>
        <w:tcPr>
          <w:tcW w:w="1559" w:type="dxa"/>
          <w:shd w:val="clear" w:color="auto" w:fill="auto"/>
          <w:vAlign w:val="center"/>
        </w:tcPr>
        <w:p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rsidTr="00CF253C">
      <w:trPr>
        <w:cantSplit/>
        <w:trHeight w:hRule="exact" w:val="261"/>
        <w:jc w:val="center"/>
      </w:trPr>
      <w:tc>
        <w:tcPr>
          <w:tcW w:w="2410" w:type="dxa"/>
          <w:vMerge/>
          <w:vAlign w:val="bottom"/>
        </w:tcPr>
        <w:p w:rsidR="00127F09" w:rsidRPr="003914DE" w:rsidRDefault="00127F09" w:rsidP="00CF253C">
          <w:pPr>
            <w:spacing w:before="840"/>
            <w:rPr>
              <w:rFonts w:ascii="Arial" w:hAnsi="Arial"/>
              <w:b/>
              <w:lang w:val="en-GB"/>
            </w:rPr>
          </w:pPr>
        </w:p>
      </w:tc>
      <w:tc>
        <w:tcPr>
          <w:tcW w:w="3544" w:type="dxa"/>
          <w:vMerge/>
          <w:vAlign w:val="center"/>
        </w:tcPr>
        <w:p w:rsidR="00127F09" w:rsidRPr="003914DE" w:rsidRDefault="00127F09" w:rsidP="00CF253C">
          <w:pPr>
            <w:jc w:val="center"/>
            <w:rPr>
              <w:rFonts w:ascii="Arial" w:hAnsi="Arial" w:cs="Arial"/>
              <w:b/>
              <w:lang w:val="en-GB"/>
            </w:rPr>
          </w:pPr>
        </w:p>
      </w:tc>
      <w:tc>
        <w:tcPr>
          <w:tcW w:w="1559" w:type="dxa"/>
          <w:shd w:val="clear" w:color="auto" w:fill="auto"/>
          <w:vAlign w:val="center"/>
        </w:tcPr>
        <w:p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127F09" w:rsidRPr="001A4250" w:rsidRDefault="00127F09" w:rsidP="00CF253C">
          <w:pPr>
            <w:spacing w:after="0"/>
            <w:rPr>
              <w:rFonts w:ascii="Arial" w:hAnsi="Arial"/>
              <w:sz w:val="20"/>
              <w:lang w:val="en-GB"/>
            </w:rPr>
          </w:pPr>
          <w:r>
            <w:rPr>
              <w:rFonts w:ascii="Arial" w:hAnsi="Arial"/>
              <w:sz w:val="20"/>
              <w:lang w:val="en-GB"/>
            </w:rPr>
            <w:t>August 2024</w:t>
          </w:r>
        </w:p>
      </w:tc>
    </w:tr>
  </w:tbl>
  <w:p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F09" w:rsidRDefault="00E67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7220F"/>
    <w:rsid w:val="0008540A"/>
    <w:rsid w:val="000A01FA"/>
    <w:rsid w:val="000B165C"/>
    <w:rsid w:val="000C2A2B"/>
    <w:rsid w:val="00100F8E"/>
    <w:rsid w:val="0011650A"/>
    <w:rsid w:val="00127F09"/>
    <w:rsid w:val="001477A3"/>
    <w:rsid w:val="00155248"/>
    <w:rsid w:val="001553E9"/>
    <w:rsid w:val="001665AB"/>
    <w:rsid w:val="0018228D"/>
    <w:rsid w:val="001D042C"/>
    <w:rsid w:val="00201A98"/>
    <w:rsid w:val="002C2AF1"/>
    <w:rsid w:val="003113D9"/>
    <w:rsid w:val="003167FA"/>
    <w:rsid w:val="00332369"/>
    <w:rsid w:val="0033711B"/>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C4EC4"/>
    <w:rsid w:val="007E0A3D"/>
    <w:rsid w:val="00826E8D"/>
    <w:rsid w:val="00860B87"/>
    <w:rsid w:val="00874FB0"/>
    <w:rsid w:val="0088295E"/>
    <w:rsid w:val="008E0772"/>
    <w:rsid w:val="009E76AB"/>
    <w:rsid w:val="00A22EF4"/>
    <w:rsid w:val="00A67C16"/>
    <w:rsid w:val="00A72491"/>
    <w:rsid w:val="00B75BCC"/>
    <w:rsid w:val="00BA5C88"/>
    <w:rsid w:val="00BE6D5F"/>
    <w:rsid w:val="00C40E58"/>
    <w:rsid w:val="00C72E5D"/>
    <w:rsid w:val="00C8088F"/>
    <w:rsid w:val="00CA666C"/>
    <w:rsid w:val="00CF253C"/>
    <w:rsid w:val="00CF25D7"/>
    <w:rsid w:val="00D40619"/>
    <w:rsid w:val="00DB22F3"/>
    <w:rsid w:val="00E67EDE"/>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Constance Sekhuto</cp:lastModifiedBy>
  <cp:revision>2</cp:revision>
  <dcterms:created xsi:type="dcterms:W3CDTF">2021-10-11T05:46:00Z</dcterms:created>
  <dcterms:modified xsi:type="dcterms:W3CDTF">2021-10-11T05:46:00Z</dcterms:modified>
</cp:coreProperties>
</file>