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5179" w14:textId="77777777" w:rsidR="00786820" w:rsidRDefault="00786820" w:rsidP="00786820">
      <w:pPr>
        <w:ind w:left="720" w:hanging="360"/>
      </w:pPr>
    </w:p>
    <w:p w14:paraId="22300258" w14:textId="77D8280D" w:rsidR="00786820" w:rsidRPr="00786820" w:rsidRDefault="00786820" w:rsidP="00786820">
      <w:pPr>
        <w:rPr>
          <w:rFonts w:ascii="Arial" w:eastAsia="Times New Roman" w:hAnsi="Arial" w:cs="Arial"/>
          <w:color w:val="595959"/>
          <w:lang w:val="en-US"/>
        </w:rPr>
      </w:pPr>
      <w:r>
        <w:rPr>
          <w:rFonts w:ascii="Arial" w:eastAsia="Times New Roman" w:hAnsi="Arial" w:cs="Arial"/>
          <w:color w:val="595959"/>
          <w:lang w:val="en-US"/>
        </w:rPr>
        <w:t>Set 01</w:t>
      </w:r>
    </w:p>
    <w:p w14:paraId="4895E5D3" w14:textId="0D416E45" w:rsidR="00786820" w:rsidRDefault="00786820" w:rsidP="00786820">
      <w:pPr>
        <w:pStyle w:val="ListParagraph"/>
        <w:numPr>
          <w:ilvl w:val="0"/>
          <w:numId w:val="1"/>
        </w:numPr>
        <w:rPr>
          <w:rFonts w:ascii="Arial" w:eastAsia="Times New Roman" w:hAnsi="Arial" w:cs="Arial"/>
          <w:color w:val="595959"/>
          <w:lang w:val="en-US"/>
        </w:rPr>
      </w:pPr>
      <w:r>
        <w:t xml:space="preserve"> </w:t>
      </w:r>
      <w:r>
        <w:rPr>
          <w:rFonts w:ascii="Arial" w:eastAsia="Times New Roman" w:hAnsi="Arial" w:cs="Arial"/>
          <w:color w:val="595959"/>
          <w:lang w:val="en-US"/>
        </w:rPr>
        <w:t>After review of the call for tender document and the provided feasibility study, our technical team concludes that the scope is currently not sufficiently precise to be able to define the studies necessary and the required deliverables in order to complete the mission to the satisfaction of the client. For example, the following is unclear:</w:t>
      </w:r>
    </w:p>
    <w:p w14:paraId="399E9C88" w14:textId="77777777" w:rsidR="00786820" w:rsidRDefault="00786820" w:rsidP="00786820">
      <w:pPr>
        <w:pStyle w:val="ListParagraph"/>
        <w:numPr>
          <w:ilvl w:val="1"/>
          <w:numId w:val="1"/>
        </w:numPr>
        <w:rPr>
          <w:rFonts w:ascii="Arial" w:eastAsia="Times New Roman" w:hAnsi="Arial" w:cs="Arial"/>
          <w:color w:val="FF0000"/>
          <w:lang w:val="en-US"/>
        </w:rPr>
      </w:pPr>
      <w:r>
        <w:rPr>
          <w:rFonts w:ascii="Arial" w:eastAsia="Times New Roman" w:hAnsi="Arial" w:cs="Arial"/>
          <w:color w:val="595959"/>
          <w:lang w:val="en-US"/>
        </w:rPr>
        <w:t>Site studies available at the beginning of the mission (geotechnical information). We see that the site investigation would happen in parallel to the preliminary design studies, this seems incompatible with the design of the civil structures.</w:t>
      </w:r>
      <w:r>
        <w:rPr>
          <w:rFonts w:ascii="Arial" w:eastAsia="Times New Roman" w:hAnsi="Arial" w:cs="Arial"/>
          <w:lang w:val="en-US"/>
        </w:rPr>
        <w:t xml:space="preserve">: </w:t>
      </w:r>
      <w:r>
        <w:rPr>
          <w:rFonts w:ascii="Arial" w:eastAsia="Times New Roman" w:hAnsi="Arial" w:cs="Arial"/>
          <w:b/>
          <w:bCs/>
          <w:color w:val="FF0000"/>
          <w:lang w:val="en-US"/>
        </w:rPr>
        <w:t>RESPONSE: The CISF will be established on the Vaalputs site. The Vaalputs site geotechnical information is provided in Chapter 3 of the Feasibility Study that was shared with the service providers. No further information is available.</w:t>
      </w:r>
    </w:p>
    <w:p w14:paraId="14E7CED2" w14:textId="77777777" w:rsidR="00786820" w:rsidRDefault="00786820" w:rsidP="00786820">
      <w:pPr>
        <w:pStyle w:val="ListParagraph"/>
        <w:numPr>
          <w:ilvl w:val="1"/>
          <w:numId w:val="1"/>
        </w:numPr>
        <w:rPr>
          <w:rFonts w:ascii="Arial" w:eastAsia="Times New Roman" w:hAnsi="Arial" w:cs="Arial"/>
          <w:b/>
          <w:bCs/>
          <w:color w:val="FF0000"/>
          <w:lang w:val="en-US"/>
        </w:rPr>
      </w:pPr>
      <w:r>
        <w:rPr>
          <w:rFonts w:ascii="Arial" w:eastAsia="Times New Roman" w:hAnsi="Arial" w:cs="Arial"/>
          <w:color w:val="595959"/>
          <w:lang w:val="en-US"/>
        </w:rPr>
        <w:t xml:space="preserve">Type and number of dry casks to be considered. </w:t>
      </w:r>
      <w:r>
        <w:rPr>
          <w:rFonts w:ascii="Arial" w:eastAsia="Times New Roman" w:hAnsi="Arial" w:cs="Arial"/>
          <w:b/>
          <w:bCs/>
          <w:color w:val="FF0000"/>
          <w:lang w:val="en-US"/>
        </w:rPr>
        <w:t xml:space="preserve">RESPONSE: The </w:t>
      </w:r>
      <w:r>
        <w:rPr>
          <w:rFonts w:eastAsia="Times New Roman"/>
          <w:b/>
          <w:bCs/>
          <w:color w:val="FF0000"/>
          <w:sz w:val="22"/>
          <w:szCs w:val="22"/>
        </w:rPr>
        <w:t xml:space="preserve">design specifications, requirements and characteristics are provided in Chapter 4 of the Feasibility Study. </w:t>
      </w:r>
      <w:r>
        <w:rPr>
          <w:rFonts w:ascii="Arial" w:eastAsia="Times New Roman" w:hAnsi="Arial" w:cs="Arial"/>
          <w:b/>
          <w:bCs/>
          <w:color w:val="FF0000"/>
          <w:lang w:val="en-US"/>
        </w:rPr>
        <w:t>The CISF must provide storage for at least about 5 000 SFAs (2 500 MTHM equivalent) from Koeberg reactors (1 800 MWe) and about 1 200 SFAs from Necsa’s SAFARI-1 research reactor (20 MWe), assuming a 60-year operating lifetime of the reactors. Of these respective volumes, the service provider must assume that 20% (for Koeberg and for Necsa) will stored in dual-purpose metal casks and 80% (for Koeberg and for Necsa) in concrete casks. Also assume that each has a max capacity of 32 PWR spent fuel assemblies (SFAs).</w:t>
      </w:r>
    </w:p>
    <w:p w14:paraId="1BF617B9" w14:textId="77777777" w:rsidR="00786820" w:rsidRDefault="00786820" w:rsidP="00786820">
      <w:pPr>
        <w:pStyle w:val="ListParagraph"/>
        <w:numPr>
          <w:ilvl w:val="1"/>
          <w:numId w:val="1"/>
        </w:numPr>
        <w:rPr>
          <w:rFonts w:ascii="Arial" w:eastAsia="Times New Roman" w:hAnsi="Arial" w:cs="Arial"/>
          <w:b/>
          <w:bCs/>
          <w:color w:val="FF0000"/>
          <w:lang w:val="en-US"/>
        </w:rPr>
      </w:pPr>
      <w:r>
        <w:rPr>
          <w:rFonts w:ascii="Arial" w:eastAsia="Times New Roman" w:hAnsi="Arial" w:cs="Arial"/>
          <w:color w:val="595959"/>
          <w:lang w:val="en-US"/>
        </w:rPr>
        <w:t xml:space="preserve">Expected level of details of the preliminary design: </w:t>
      </w:r>
      <w:r>
        <w:rPr>
          <w:rFonts w:ascii="Arial" w:eastAsia="Times New Roman" w:hAnsi="Arial" w:cs="Arial"/>
          <w:b/>
          <w:bCs/>
          <w:color w:val="FF0000"/>
          <w:lang w:val="en-US"/>
        </w:rPr>
        <w:t>RESPONSE: This is provided in the Scope of Work / Terms of Reference in the bid document.</w:t>
      </w:r>
    </w:p>
    <w:p w14:paraId="4AF8C7FB" w14:textId="77777777" w:rsidR="00786820" w:rsidRDefault="00786820" w:rsidP="00786820">
      <w:pPr>
        <w:ind w:left="720"/>
        <w:rPr>
          <w:rFonts w:ascii="Arial" w:hAnsi="Arial" w:cs="Arial"/>
          <w:color w:val="595959"/>
          <w:lang w:val="en-US"/>
        </w:rPr>
      </w:pPr>
      <w:r>
        <w:rPr>
          <w:rFonts w:ascii="Arial" w:hAnsi="Arial" w:cs="Arial"/>
          <w:color w:val="595959"/>
          <w:lang w:val="en-US"/>
        </w:rPr>
        <w:t>Because the request is to price in lump sum, we fear that we might be adding unnecessary risk provisions or that we might simply be off subject. Therefore, could NRWDI consider a technical clarification meeting early next week in order to better align the understandings.</w:t>
      </w:r>
      <w:r>
        <w:rPr>
          <w:rFonts w:ascii="Arial" w:hAnsi="Arial" w:cs="Arial"/>
          <w:lang w:val="en-US"/>
        </w:rPr>
        <w:t xml:space="preserve">  </w:t>
      </w:r>
    </w:p>
    <w:p w14:paraId="451CD5BB" w14:textId="77777777" w:rsidR="00786820" w:rsidRDefault="00786820" w:rsidP="00786820">
      <w:pPr>
        <w:pStyle w:val="ListParagraph"/>
        <w:numPr>
          <w:ilvl w:val="0"/>
          <w:numId w:val="1"/>
        </w:numPr>
        <w:rPr>
          <w:rFonts w:ascii="Arial" w:eastAsia="Times New Roman" w:hAnsi="Arial" w:cs="Arial"/>
          <w:color w:val="595959"/>
          <w:lang w:val="en-US"/>
        </w:rPr>
      </w:pPr>
      <w:r>
        <w:rPr>
          <w:rFonts w:ascii="Arial" w:eastAsia="Times New Roman" w:hAnsi="Arial" w:cs="Arial"/>
          <w:color w:val="595959"/>
          <w:lang w:val="en-US"/>
        </w:rPr>
        <w:t>Extension of closing date: should NRWDI accept to hold a technical clarification. An extension of the closing date is necessary to prepare a qualitative offer and respect our own internal governance validation steps.</w:t>
      </w:r>
      <w:r>
        <w:rPr>
          <w:rFonts w:ascii="Arial" w:eastAsia="Times New Roman" w:hAnsi="Arial" w:cs="Arial"/>
          <w:b/>
          <w:bCs/>
          <w:color w:val="FF0000"/>
          <w:lang w:val="en-US"/>
        </w:rPr>
        <w:t xml:space="preserve"> </w:t>
      </w:r>
      <w:r>
        <w:rPr>
          <w:rFonts w:ascii="Arial" w:eastAsia="Times New Roman" w:hAnsi="Arial" w:cs="Arial"/>
          <w:b/>
          <w:bCs/>
          <w:i/>
          <w:iCs/>
          <w:color w:val="00B050"/>
          <w:lang w:val="en-US"/>
        </w:rPr>
        <w:t>Response:</w:t>
      </w:r>
      <w:r>
        <w:rPr>
          <w:rFonts w:ascii="Arial" w:eastAsia="Times New Roman" w:hAnsi="Arial" w:cs="Arial"/>
          <w:b/>
          <w:bCs/>
          <w:color w:val="00B050"/>
          <w:lang w:val="en-US"/>
        </w:rPr>
        <w:t xml:space="preserve"> The tender did not make provision for a briefing session. Technical clarification enquiries should be communicated in writing and responses to be shared with all prospective bidders. Furthermore, as communicated previously, your request for the extension of the closing date of the tender was not granted and the decision is retained.</w:t>
      </w:r>
    </w:p>
    <w:p w14:paraId="7E402FD6" w14:textId="77777777" w:rsidR="00786820" w:rsidRDefault="00786820" w:rsidP="00786820">
      <w:pPr>
        <w:pStyle w:val="ListParagraph"/>
        <w:numPr>
          <w:ilvl w:val="0"/>
          <w:numId w:val="1"/>
        </w:numPr>
        <w:rPr>
          <w:rFonts w:ascii="Arial" w:eastAsia="Times New Roman" w:hAnsi="Arial" w:cs="Arial"/>
          <w:color w:val="595959"/>
          <w:lang w:val="en-US"/>
        </w:rPr>
      </w:pPr>
      <w:r>
        <w:rPr>
          <w:rFonts w:ascii="Arial" w:eastAsia="Times New Roman" w:hAnsi="Arial" w:cs="Arial"/>
          <w:color w:val="595959"/>
          <w:lang w:val="en-US"/>
        </w:rPr>
        <w:t>Bid submissions: please confirm that electronic submission of bid documents is accepted.</w:t>
      </w:r>
      <w:r>
        <w:rPr>
          <w:rFonts w:ascii="Arial" w:eastAsia="Times New Roman" w:hAnsi="Arial" w:cs="Arial"/>
          <w:lang w:val="en-US"/>
        </w:rPr>
        <w:t xml:space="preserve"> </w:t>
      </w:r>
      <w:r>
        <w:rPr>
          <w:rFonts w:ascii="Arial" w:eastAsia="Times New Roman" w:hAnsi="Arial" w:cs="Arial"/>
          <w:b/>
          <w:bCs/>
          <w:i/>
          <w:iCs/>
          <w:color w:val="00B050"/>
          <w:lang w:val="en-US"/>
        </w:rPr>
        <w:t>Response:</w:t>
      </w:r>
      <w:r>
        <w:rPr>
          <w:rFonts w:ascii="Arial" w:eastAsia="Times New Roman" w:hAnsi="Arial" w:cs="Arial"/>
          <w:b/>
          <w:bCs/>
          <w:color w:val="00B050"/>
          <w:lang w:val="en-US"/>
        </w:rPr>
        <w:t xml:space="preserve"> According to the SBD1 (Invitation to bid) document prospective bidders must submit their bid documents (hard copy) </w:t>
      </w:r>
      <w:r>
        <w:rPr>
          <w:rFonts w:ascii="Arial" w:eastAsia="Times New Roman" w:hAnsi="Arial" w:cs="Arial"/>
          <w:b/>
          <w:bCs/>
          <w:color w:val="00B050"/>
        </w:rPr>
        <w:t>in the “TENDER BOX AT NECSA GATE 3; R104 ELIAS MOTSOALEDI STREET (CHURCH STREET WEST EXT) PELINDABA; BRITS MAGISTERIAL DISTRICT, MADIBENG MUNICIPALITY NORTH WEST, 0240”. The electronic submission of bid documents is therefore not accepted.</w:t>
      </w:r>
    </w:p>
    <w:p w14:paraId="5C94C329" w14:textId="7F781AD3" w:rsidR="00FF6521" w:rsidRDefault="00FF6521"/>
    <w:sectPr w:rsidR="00FF6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D7C58"/>
    <w:multiLevelType w:val="hybridMultilevel"/>
    <w:tmpl w:val="2B5E30EE"/>
    <w:lvl w:ilvl="0" w:tplc="0409000F">
      <w:start w:val="1"/>
      <w:numFmt w:val="decimal"/>
      <w:lvlText w:val="%1."/>
      <w:lvlJc w:val="left"/>
      <w:pPr>
        <w:ind w:left="720" w:hanging="360"/>
      </w:pPr>
      <w:rPr>
        <w:color w:val="59595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016275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4A"/>
    <w:rsid w:val="000F454A"/>
    <w:rsid w:val="00786820"/>
    <w:rsid w:val="00FF65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FA8E"/>
  <w15:chartTrackingRefBased/>
  <w15:docId w15:val="{8AA3A9E7-0449-4A24-8C85-5B60630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20"/>
    <w:pPr>
      <w:spacing w:after="0" w:line="240" w:lineRule="auto"/>
    </w:pPr>
    <w:rPr>
      <w:rFonts w:ascii="Calibri" w:hAnsi="Calibri" w:cs="Calibri"/>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7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NRWDI Procurement</dc:creator>
  <cp:keywords/>
  <dc:description/>
  <cp:lastModifiedBy>NRWDI Procurement</cp:lastModifiedBy>
  <cp:revision>2</cp:revision>
  <dcterms:created xsi:type="dcterms:W3CDTF">2023-01-10T08:49:00Z</dcterms:created>
  <dcterms:modified xsi:type="dcterms:W3CDTF">2023-01-10T08:50:00Z</dcterms:modified>
</cp:coreProperties>
</file>