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F51662" w:rsidP="00973E1E">
            <w:pPr>
              <w:rPr>
                <w:rFonts w:ascii="Times New Roman" w:hAnsi="Times New Roman" w:cs="Times New Roman"/>
                <w:b/>
                <w:bCs/>
                <w:lang w:val="en-GB"/>
              </w:rPr>
            </w:pPr>
            <w:r w:rsidRPr="00F51662">
              <w:rPr>
                <w:rFonts w:ascii="Times New Roman" w:hAnsi="Times New Roman" w:cs="Times New Roman"/>
                <w:b/>
                <w:bCs/>
                <w:lang w:val="en-GB"/>
              </w:rPr>
              <w:t>DEVELOPMENT OF LOCAL INTEGRATED TRANSPORT PLAN</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F51662">
              <w:rPr>
                <w:rFonts w:ascii="Times New Roman" w:hAnsi="Times New Roman" w:cs="Times New Roman"/>
                <w:b/>
                <w:bCs/>
                <w:lang w:val="en-GB"/>
              </w:rPr>
              <w:t>4</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89652C" w:rsidP="001B7CEF">
            <w:pPr>
              <w:jc w:val="both"/>
              <w:rPr>
                <w:rFonts w:ascii="Times New Roman" w:hAnsi="Times New Roman" w:cs="Times New Roman"/>
                <w:b/>
                <w:bCs/>
                <w:lang w:val="en-GB"/>
              </w:rPr>
            </w:pPr>
            <w:r w:rsidRPr="0089652C">
              <w:rPr>
                <w:rFonts w:ascii="Times New Roman" w:hAnsi="Times New Roman" w:cs="Times New Roman"/>
                <w:b/>
                <w:bCs/>
                <w:lang w:val="en-GB"/>
              </w:rPr>
              <w:t>14</w:t>
            </w:r>
            <w:r w:rsidR="007C5BD9" w:rsidRPr="0089652C">
              <w:rPr>
                <w:rFonts w:ascii="Times New Roman" w:hAnsi="Times New Roman" w:cs="Times New Roman"/>
                <w:b/>
                <w:bCs/>
                <w:lang w:val="en-GB"/>
              </w:rPr>
              <w:t>/07/2023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C0163D" w:rsidP="00B0417E">
            <w:pPr>
              <w:jc w:val="both"/>
              <w:rPr>
                <w:rFonts w:ascii="Times New Roman" w:hAnsi="Times New Roman" w:cs="Times New Roman"/>
                <w:b/>
                <w:bCs/>
                <w:lang w:val="en-GB"/>
              </w:rPr>
            </w:pPr>
            <w:r>
              <w:rPr>
                <w:rFonts w:ascii="Times New Roman" w:hAnsi="Times New Roman" w:cs="Times New Roman"/>
                <w:b/>
                <w:bCs/>
                <w:lang w:val="en-GB"/>
              </w:rPr>
              <w:t>31</w:t>
            </w:r>
            <w:r w:rsidR="007C5BD9" w:rsidRPr="0089652C">
              <w:rPr>
                <w:rFonts w:ascii="Times New Roman" w:hAnsi="Times New Roman" w:cs="Times New Roman"/>
                <w:b/>
                <w:bCs/>
                <w:lang w:val="en-GB"/>
              </w:rPr>
              <w:t>/0</w:t>
            </w:r>
            <w:r>
              <w:rPr>
                <w:rFonts w:ascii="Times New Roman" w:hAnsi="Times New Roman" w:cs="Times New Roman"/>
                <w:b/>
                <w:bCs/>
                <w:lang w:val="en-GB"/>
              </w:rPr>
              <w:t>7</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131CA1">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89652C" w:rsidP="001B7CEF">
            <w:pPr>
              <w:jc w:val="both"/>
              <w:rPr>
                <w:rFonts w:ascii="Times New Roman" w:hAnsi="Times New Roman" w:cs="Times New Roman"/>
                <w:b/>
                <w:bCs/>
                <w:lang w:val="en-GB"/>
              </w:rPr>
            </w:pPr>
            <w:r w:rsidRPr="0089652C">
              <w:rPr>
                <w:rFonts w:ascii="Times New Roman" w:hAnsi="Times New Roman" w:cs="Times New Roman"/>
                <w:b/>
                <w:bCs/>
                <w:lang w:val="en-GB"/>
              </w:rPr>
              <w:t>19</w:t>
            </w:r>
            <w:r w:rsidR="007C5BD9" w:rsidRPr="0089652C">
              <w:rPr>
                <w:rFonts w:ascii="Times New Roman" w:hAnsi="Times New Roman" w:cs="Times New Roman"/>
                <w:b/>
                <w:bCs/>
                <w:lang w:val="en-GB"/>
              </w:rPr>
              <w:t xml:space="preserve">/07/2023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C0163D">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1B7CEF" w:rsidRPr="0089652C" w:rsidTr="00131CA1">
        <w:trPr>
          <w:trHeight w:val="756"/>
        </w:trPr>
        <w:tc>
          <w:tcPr>
            <w:tcW w:w="10740" w:type="dxa"/>
            <w:gridSpan w:val="5"/>
          </w:tcPr>
          <w:p w:rsidR="001B7CEF" w:rsidRPr="0089652C" w:rsidRDefault="001B7CEF" w:rsidP="001B7CEF">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1B7CEF" w:rsidRPr="0089652C" w:rsidRDefault="001B7CEF" w:rsidP="001B7CEF">
            <w:pPr>
              <w:autoSpaceDE w:val="0"/>
              <w:autoSpaceDN w:val="0"/>
              <w:adjustRightInd w:val="0"/>
              <w:jc w:val="both"/>
              <w:rPr>
                <w:rFonts w:ascii="Times New Roman" w:eastAsia="Calibri" w:hAnsi="Times New Roman" w:cs="Times New Roman"/>
                <w:lang w:eastAsia="en-ZA"/>
              </w:rPr>
            </w:pPr>
          </w:p>
        </w:tc>
      </w:tr>
      <w:tr w:rsidR="00C0731C"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375"/>
              <w:gridCol w:w="81"/>
            </w:tblGrid>
            <w:tr w:rsidR="00131CA1" w:rsidRPr="00410CA8" w:rsidTr="00055D60">
              <w:tc>
                <w:tcPr>
                  <w:tcW w:w="10456" w:type="dxa"/>
                  <w:gridSpan w:val="2"/>
                </w:tcPr>
                <w:p w:rsidR="00131CA1" w:rsidRPr="00410CA8" w:rsidRDefault="00131CA1" w:rsidP="00131CA1">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lastRenderedPageBreak/>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F51662">
                    <w:rPr>
                      <w:rFonts w:ascii="Times New Roman" w:eastAsia="Calibri" w:hAnsi="Times New Roman" w:cs="Times New Roman"/>
                      <w:lang w:eastAsia="en-ZA"/>
                    </w:rPr>
                    <w:t>7</w:t>
                  </w:r>
                  <w:r w:rsidRPr="00410CA8">
                    <w:rPr>
                      <w:rFonts w:ascii="Times New Roman" w:eastAsia="Calibri" w:hAnsi="Times New Roman" w:cs="Times New Roman"/>
                      <w:lang w:eastAsia="en-ZA"/>
                    </w:rPr>
                    <w:t>0 points as a minimum functionality threshold will be evaluated further on 80/20.</w:t>
                  </w:r>
                </w:p>
              </w:tc>
            </w:tr>
            <w:tr w:rsidR="00131CA1" w:rsidRPr="00410CA8" w:rsidTr="00131CA1">
              <w:trPr>
                <w:gridAfter w:val="1"/>
                <w:wAfter w:w="81" w:type="dxa"/>
              </w:trPr>
              <w:tc>
                <w:tcPr>
                  <w:tcW w:w="10375" w:type="dxa"/>
                </w:tcPr>
                <w:p w:rsidR="00131CA1" w:rsidRPr="00410CA8" w:rsidRDefault="00131CA1" w:rsidP="00131CA1">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131CA1" w:rsidRPr="00410CA8" w:rsidTr="00055D60">
                    <w:tc>
                      <w:tcPr>
                        <w:tcW w:w="6689" w:type="dxa"/>
                        <w:shd w:val="clear" w:color="auto" w:fill="000000" w:themeFill="text1"/>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Functionality Criteria</w:t>
                        </w:r>
                      </w:p>
                    </w:tc>
                    <w:tc>
                      <w:tcPr>
                        <w:tcW w:w="3541" w:type="dxa"/>
                        <w:shd w:val="clear" w:color="auto" w:fill="000000" w:themeFill="text1"/>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Points</w:t>
                        </w:r>
                      </w:p>
                    </w:tc>
                  </w:tr>
                  <w:tr w:rsidR="00131CA1" w:rsidRPr="00410CA8" w:rsidTr="00055D60">
                    <w:tc>
                      <w:tcPr>
                        <w:tcW w:w="6689" w:type="dxa"/>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41" w:type="dxa"/>
                      </w:tcPr>
                      <w:p w:rsidR="00131CA1" w:rsidRPr="00410CA8" w:rsidRDefault="00F51662" w:rsidP="00131CA1">
                        <w:pPr>
                          <w:rPr>
                            <w:rFonts w:ascii="Times New Roman" w:hAnsi="Times New Roman" w:cs="Times New Roman"/>
                            <w:lang w:val="en-GB"/>
                          </w:rPr>
                        </w:pPr>
                        <w:r>
                          <w:rPr>
                            <w:rFonts w:ascii="Times New Roman" w:hAnsi="Times New Roman" w:cs="Times New Roman"/>
                            <w:lang w:val="en-GB"/>
                          </w:rPr>
                          <w:t>4</w:t>
                        </w:r>
                        <w:r w:rsidR="00131CA1" w:rsidRPr="00410CA8">
                          <w:rPr>
                            <w:rFonts w:ascii="Times New Roman" w:hAnsi="Times New Roman" w:cs="Times New Roman"/>
                            <w:lang w:val="en-GB"/>
                          </w:rPr>
                          <w:t>0</w:t>
                        </w:r>
                      </w:p>
                    </w:tc>
                  </w:tr>
                  <w:tr w:rsidR="00131CA1" w:rsidRPr="00410CA8" w:rsidTr="00055D60">
                    <w:tc>
                      <w:tcPr>
                        <w:tcW w:w="6689" w:type="dxa"/>
                      </w:tcPr>
                      <w:p w:rsidR="00131CA1" w:rsidRPr="00410CA8" w:rsidRDefault="00F51662" w:rsidP="00131CA1">
                        <w:pPr>
                          <w:rPr>
                            <w:rFonts w:ascii="Times New Roman" w:hAnsi="Times New Roman" w:cs="Times New Roman"/>
                            <w:lang w:val="en-GB"/>
                          </w:rPr>
                        </w:pPr>
                        <w:r>
                          <w:rPr>
                            <w:rFonts w:ascii="Times New Roman" w:hAnsi="Times New Roman" w:cs="Times New Roman"/>
                            <w:lang w:val="en-GB"/>
                          </w:rPr>
                          <w:t>Project Leader</w:t>
                        </w:r>
                      </w:p>
                    </w:tc>
                    <w:tc>
                      <w:tcPr>
                        <w:tcW w:w="3541" w:type="dxa"/>
                      </w:tcPr>
                      <w:p w:rsidR="00131CA1" w:rsidRPr="00410CA8" w:rsidRDefault="00131CA1" w:rsidP="00131CA1">
                        <w:pPr>
                          <w:rPr>
                            <w:rFonts w:ascii="Times New Roman" w:hAnsi="Times New Roman" w:cs="Times New Roman"/>
                            <w:lang w:val="en-GB"/>
                          </w:rPr>
                        </w:pPr>
                        <w:r>
                          <w:rPr>
                            <w:rFonts w:ascii="Times New Roman" w:hAnsi="Times New Roman" w:cs="Times New Roman"/>
                            <w:lang w:val="en-GB"/>
                          </w:rPr>
                          <w:t>20</w:t>
                        </w:r>
                      </w:p>
                    </w:tc>
                  </w:tr>
                  <w:tr w:rsidR="00F51662" w:rsidRPr="00410CA8" w:rsidTr="00055D60">
                    <w:tc>
                      <w:tcPr>
                        <w:tcW w:w="6689" w:type="dxa"/>
                      </w:tcPr>
                      <w:p w:rsidR="00F51662" w:rsidRDefault="00F51662" w:rsidP="00131CA1">
                        <w:pPr>
                          <w:rPr>
                            <w:rFonts w:ascii="Times New Roman" w:hAnsi="Times New Roman" w:cs="Times New Roman"/>
                            <w:lang w:val="en-GB"/>
                          </w:rPr>
                        </w:pPr>
                        <w:r>
                          <w:rPr>
                            <w:rFonts w:ascii="Times New Roman" w:hAnsi="Times New Roman" w:cs="Times New Roman"/>
                            <w:lang w:val="en-GB"/>
                          </w:rPr>
                          <w:t>Accreditation</w:t>
                        </w:r>
                      </w:p>
                    </w:tc>
                    <w:tc>
                      <w:tcPr>
                        <w:tcW w:w="3541" w:type="dxa"/>
                      </w:tcPr>
                      <w:p w:rsidR="00F51662" w:rsidRDefault="00F51662" w:rsidP="00131CA1">
                        <w:pPr>
                          <w:rPr>
                            <w:rFonts w:ascii="Times New Roman" w:hAnsi="Times New Roman" w:cs="Times New Roman"/>
                            <w:lang w:val="en-GB"/>
                          </w:rPr>
                        </w:pPr>
                        <w:r>
                          <w:rPr>
                            <w:rFonts w:ascii="Times New Roman" w:hAnsi="Times New Roman" w:cs="Times New Roman"/>
                            <w:lang w:val="en-GB"/>
                          </w:rPr>
                          <w:t>5</w:t>
                        </w:r>
                      </w:p>
                    </w:tc>
                  </w:tr>
                  <w:tr w:rsidR="00131CA1" w:rsidRPr="00410CA8" w:rsidTr="00055D60">
                    <w:tc>
                      <w:tcPr>
                        <w:tcW w:w="6689" w:type="dxa"/>
                      </w:tcPr>
                      <w:p w:rsidR="00131CA1" w:rsidRPr="00410CA8" w:rsidRDefault="00F51662" w:rsidP="00131CA1">
                        <w:pPr>
                          <w:rPr>
                            <w:rFonts w:ascii="Times New Roman" w:hAnsi="Times New Roman" w:cs="Times New Roman"/>
                            <w:lang w:val="en-GB"/>
                          </w:rPr>
                        </w:pPr>
                        <w:r>
                          <w:rPr>
                            <w:rFonts w:ascii="Times New Roman" w:hAnsi="Times New Roman" w:cs="Times New Roman"/>
                            <w:lang w:val="en-GB"/>
                          </w:rPr>
                          <w:t>Technical Team</w:t>
                        </w:r>
                      </w:p>
                    </w:tc>
                    <w:tc>
                      <w:tcPr>
                        <w:tcW w:w="3541" w:type="dxa"/>
                      </w:tcPr>
                      <w:p w:rsidR="00131CA1" w:rsidRPr="00410CA8" w:rsidRDefault="00F51662" w:rsidP="00131CA1">
                        <w:pPr>
                          <w:rPr>
                            <w:rFonts w:ascii="Times New Roman" w:hAnsi="Times New Roman" w:cs="Times New Roman"/>
                            <w:lang w:val="en-GB"/>
                          </w:rPr>
                        </w:pPr>
                        <w:r>
                          <w:rPr>
                            <w:rFonts w:ascii="Times New Roman" w:hAnsi="Times New Roman" w:cs="Times New Roman"/>
                            <w:lang w:val="en-GB"/>
                          </w:rPr>
                          <w:t>3</w:t>
                        </w:r>
                        <w:r w:rsidR="00131CA1">
                          <w:rPr>
                            <w:rFonts w:ascii="Times New Roman" w:hAnsi="Times New Roman" w:cs="Times New Roman"/>
                            <w:lang w:val="en-GB"/>
                          </w:rPr>
                          <w:t>0</w:t>
                        </w:r>
                      </w:p>
                    </w:tc>
                  </w:tr>
                  <w:tr w:rsidR="00131CA1" w:rsidRPr="00410CA8" w:rsidTr="00055D60">
                    <w:tc>
                      <w:tcPr>
                        <w:tcW w:w="6689" w:type="dxa"/>
                      </w:tcPr>
                      <w:p w:rsidR="00131CA1" w:rsidRPr="00410CA8" w:rsidRDefault="00F51662" w:rsidP="00131CA1">
                        <w:pPr>
                          <w:rPr>
                            <w:rFonts w:ascii="Times New Roman" w:hAnsi="Times New Roman" w:cs="Times New Roman"/>
                            <w:lang w:val="en-GB"/>
                          </w:rPr>
                        </w:pPr>
                        <w:r>
                          <w:rPr>
                            <w:rFonts w:ascii="Times New Roman" w:hAnsi="Times New Roman" w:cs="Times New Roman"/>
                            <w:lang w:val="en-GB"/>
                          </w:rPr>
                          <w:t>Training Plan</w:t>
                        </w:r>
                      </w:p>
                    </w:tc>
                    <w:tc>
                      <w:tcPr>
                        <w:tcW w:w="3541" w:type="dxa"/>
                      </w:tcPr>
                      <w:p w:rsidR="00131CA1" w:rsidRPr="00410CA8" w:rsidRDefault="00F51662" w:rsidP="00131CA1">
                        <w:pPr>
                          <w:rPr>
                            <w:rFonts w:ascii="Times New Roman" w:hAnsi="Times New Roman" w:cs="Times New Roman"/>
                            <w:lang w:val="en-GB"/>
                          </w:rPr>
                        </w:pPr>
                        <w:r>
                          <w:rPr>
                            <w:rFonts w:ascii="Times New Roman" w:hAnsi="Times New Roman" w:cs="Times New Roman"/>
                            <w:lang w:val="en-GB"/>
                          </w:rPr>
                          <w:t>5</w:t>
                        </w:r>
                      </w:p>
                    </w:tc>
                  </w:tr>
                  <w:tr w:rsidR="00131CA1" w:rsidRPr="00410CA8" w:rsidTr="00055D60">
                    <w:tc>
                      <w:tcPr>
                        <w:tcW w:w="6689" w:type="dxa"/>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Total</w:t>
                        </w:r>
                      </w:p>
                    </w:tc>
                    <w:tc>
                      <w:tcPr>
                        <w:tcW w:w="3541" w:type="dxa"/>
                      </w:tcPr>
                      <w:p w:rsidR="00131CA1" w:rsidRPr="00410CA8" w:rsidRDefault="00131CA1" w:rsidP="00131CA1">
                        <w:pPr>
                          <w:rPr>
                            <w:rFonts w:ascii="Times New Roman" w:hAnsi="Times New Roman" w:cs="Times New Roman"/>
                            <w:lang w:val="en-GB"/>
                          </w:rPr>
                        </w:pPr>
                        <w:r w:rsidRPr="00410CA8">
                          <w:rPr>
                            <w:rFonts w:ascii="Times New Roman" w:hAnsi="Times New Roman" w:cs="Times New Roman"/>
                            <w:lang w:val="en-GB"/>
                          </w:rPr>
                          <w:t>100</w:t>
                        </w:r>
                      </w:p>
                    </w:tc>
                  </w:tr>
                </w:tbl>
                <w:p w:rsidR="00131CA1" w:rsidRPr="00410CA8" w:rsidRDefault="00131CA1" w:rsidP="00131CA1">
                  <w:pPr>
                    <w:jc w:val="both"/>
                    <w:rPr>
                      <w:rFonts w:ascii="Times New Roman" w:hAnsi="Times New Roman" w:cs="Times New Roman"/>
                      <w:b/>
                      <w:bCs/>
                      <w:lang w:val="en-GB"/>
                    </w:rPr>
                  </w:pPr>
                </w:p>
              </w:tc>
            </w:tr>
          </w:tbl>
          <w:p w:rsidR="00F10FF8" w:rsidRPr="0089652C" w:rsidRDefault="00F10FF8" w:rsidP="001B7CEF">
            <w:pPr>
              <w:jc w:val="center"/>
              <w:rPr>
                <w:rFonts w:ascii="Times New Roman" w:hAnsi="Times New Roman" w:cs="Times New Roman"/>
                <w:b/>
                <w:bCs/>
                <w:lang w:val="en-GB"/>
              </w:rPr>
            </w:pPr>
          </w:p>
          <w:p w:rsidR="00C0731C" w:rsidRPr="0089652C" w:rsidRDefault="00C0731C" w:rsidP="001B7CEF">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780"/>
              <w:gridCol w:w="4061"/>
              <w:gridCol w:w="230"/>
            </w:tblGrid>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061" w:type="dxa"/>
                  <w:vMerge w:val="restart"/>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061" w:type="dxa"/>
                  <w:vMerge/>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p>
              </w:tc>
            </w:tr>
            <w:tr w:rsidR="00C0731C" w:rsidRPr="0089652C" w:rsidTr="0089652C">
              <w:trPr>
                <w:gridAfter w:val="1"/>
                <w:wAfter w:w="230" w:type="dxa"/>
                <w:trHeight w:val="1005"/>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89652C">
              <w:trPr>
                <w:gridAfter w:val="1"/>
                <w:wAfter w:w="230" w:type="dxa"/>
                <w:trHeight w:val="1513"/>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89652C">
              <w:trPr>
                <w:gridAfter w:val="1"/>
                <w:wAfter w:w="230" w:type="dxa"/>
                <w:trHeight w:val="1513"/>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780"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06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841" w:type="dxa"/>
                  <w:gridSpan w:val="2"/>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841" w:type="dxa"/>
                  <w:gridSpan w:val="2"/>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B0417E" w:rsidRPr="0089652C" w:rsidTr="0089652C">
              <w:trPr>
                <w:trHeight w:val="49"/>
              </w:trPr>
              <w:tc>
                <w:tcPr>
                  <w:tcW w:w="10512" w:type="dxa"/>
                  <w:gridSpan w:val="4"/>
                </w:tcPr>
                <w:p w:rsidR="00F51662" w:rsidRDefault="00B0417E" w:rsidP="00B0417E">
                  <w:pPr>
                    <w:rPr>
                      <w:rFonts w:ascii="Times New Roman" w:hAnsi="Times New Roman" w:cs="Times New Roman"/>
                      <w:b/>
                      <w:bCs/>
                      <w:lang w:val="en-GB"/>
                    </w:rPr>
                  </w:pPr>
                  <w:r w:rsidRPr="0089652C">
                    <w:rPr>
                      <w:rFonts w:ascii="Times New Roman" w:hAnsi="Times New Roman" w:cs="Times New Roman"/>
                      <w:b/>
                      <w:bCs/>
                      <w:lang w:val="en-GB"/>
                    </w:rPr>
                    <w:t xml:space="preserve">                                                </w:t>
                  </w:r>
                </w:p>
                <w:p w:rsidR="00B0417E" w:rsidRPr="0089652C" w:rsidRDefault="00B0417E" w:rsidP="00B0417E">
                  <w:pPr>
                    <w:rPr>
                      <w:rFonts w:ascii="Times New Roman" w:hAnsi="Times New Roman" w:cs="Times New Roman"/>
                      <w:b/>
                      <w:bCs/>
                      <w:lang w:val="en-GB"/>
                    </w:rPr>
                  </w:pPr>
                  <w:r w:rsidRPr="0089652C">
                    <w:rPr>
                      <w:rFonts w:ascii="Times New Roman" w:hAnsi="Times New Roman" w:cs="Times New Roman"/>
                      <w:b/>
                      <w:bCs/>
                      <w:lang w:val="en-GB"/>
                    </w:rPr>
                    <w:t xml:space="preserve">  </w:t>
                  </w:r>
                  <w:r w:rsidR="00F51662">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B0417E" w:rsidRPr="0089652C" w:rsidTr="00F51662">
              <w:trPr>
                <w:trHeight w:val="267"/>
              </w:trPr>
              <w:tc>
                <w:tcPr>
                  <w:tcW w:w="10512" w:type="dxa"/>
                  <w:gridSpan w:val="4"/>
                </w:tcPr>
                <w:p w:rsidR="00B0417E" w:rsidRDefault="00B0417E" w:rsidP="00B0417E">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F51662">
                    <w:rPr>
                      <w:rFonts w:ascii="Times New Roman" w:hAnsi="Times New Roman" w:cs="Times New Roman"/>
                      <w:iCs/>
                      <w:lang w:val="en-GB"/>
                    </w:rPr>
                    <w:t xml:space="preserve">r. </w:t>
                  </w:r>
                  <w:r w:rsidR="00504235">
                    <w:rPr>
                      <w:rFonts w:ascii="Times New Roman" w:hAnsi="Times New Roman" w:cs="Times New Roman"/>
                      <w:iCs/>
                      <w:lang w:val="en-GB"/>
                    </w:rPr>
                    <w:t>M Somi</w:t>
                  </w:r>
                  <w:r w:rsidRPr="0089652C">
                    <w:rPr>
                      <w:rFonts w:ascii="Times New Roman" w:hAnsi="Times New Roman" w:cs="Times New Roman"/>
                      <w:iCs/>
                      <w:lang w:val="en-GB"/>
                    </w:rPr>
                    <w:t xml:space="preserve">, e-mail: </w:t>
                  </w:r>
                  <w:r w:rsidR="00504235">
                    <w:rPr>
                      <w:rFonts w:ascii="Times New Roman" w:hAnsi="Times New Roman" w:cs="Times New Roman"/>
                      <w:iCs/>
                      <w:lang w:val="en-GB"/>
                    </w:rPr>
                    <w:t>MSomi</w:t>
                  </w:r>
                  <w:bookmarkStart w:id="0" w:name="_GoBack"/>
                  <w:bookmarkEnd w:id="0"/>
                  <w:r w:rsidRPr="0089652C">
                    <w:rPr>
                      <w:rFonts w:ascii="Times New Roman" w:hAnsi="Times New Roman" w:cs="Times New Roman"/>
                      <w:iCs/>
                      <w:lang w:val="en-GB"/>
                    </w:rPr>
                    <w:t>@matatiele.gov.za during office hours</w:t>
                  </w:r>
                </w:p>
                <w:p w:rsidR="00F51662" w:rsidRDefault="00F51662" w:rsidP="00B0417E">
                  <w:pPr>
                    <w:jc w:val="both"/>
                    <w:rPr>
                      <w:rFonts w:ascii="Times New Roman" w:hAnsi="Times New Roman" w:cs="Times New Roman"/>
                      <w:iCs/>
                      <w:lang w:val="en-GB"/>
                    </w:rPr>
                  </w:pPr>
                </w:p>
                <w:p w:rsidR="00F51662" w:rsidRPr="0089652C" w:rsidRDefault="00F51662" w:rsidP="00B0417E">
                  <w:pPr>
                    <w:jc w:val="both"/>
                    <w:rPr>
                      <w:rFonts w:ascii="Times New Roman" w:hAnsi="Times New Roman" w:cs="Times New Roman"/>
                      <w:iCs/>
                      <w:lang w:val="en-GB"/>
                    </w:rPr>
                  </w:pPr>
                </w:p>
                <w:p w:rsidR="00B0417E" w:rsidRPr="0089652C" w:rsidRDefault="00B0417E" w:rsidP="00B0417E">
                  <w:pPr>
                    <w:jc w:val="both"/>
                    <w:rPr>
                      <w:rFonts w:ascii="Times New Roman" w:hAnsi="Times New Roman" w:cs="Times New Roman"/>
                      <w:iCs/>
                      <w:lang w:val="en-GB"/>
                    </w:rPr>
                  </w:pPr>
                </w:p>
              </w:tc>
            </w:tr>
            <w:tr w:rsidR="00B0417E" w:rsidRPr="0089652C" w:rsidTr="0089652C">
              <w:trPr>
                <w:trHeight w:val="248"/>
              </w:trPr>
              <w:tc>
                <w:tcPr>
                  <w:tcW w:w="10512" w:type="dxa"/>
                  <w:gridSpan w:val="4"/>
                </w:tcPr>
                <w:p w:rsidR="00B0417E" w:rsidRDefault="00B0417E" w:rsidP="00B0417E">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p w:rsidR="00F51662" w:rsidRPr="0089652C" w:rsidRDefault="00F51662" w:rsidP="00B0417E">
                  <w:pPr>
                    <w:jc w:val="center"/>
                    <w:rPr>
                      <w:rFonts w:ascii="Times New Roman" w:hAnsi="Times New Roman" w:cs="Times New Roman"/>
                      <w:b/>
                      <w:bCs/>
                      <w:lang w:val="en-GB"/>
                    </w:rPr>
                  </w:pPr>
                </w:p>
              </w:tc>
            </w:tr>
            <w:tr w:rsidR="00B0417E" w:rsidRPr="0089652C" w:rsidTr="0089652C">
              <w:trPr>
                <w:trHeight w:val="2269"/>
              </w:trPr>
              <w:tc>
                <w:tcPr>
                  <w:tcW w:w="10512" w:type="dxa"/>
                  <w:gridSpan w:val="4"/>
                </w:tcPr>
                <w:p w:rsidR="00B0417E" w:rsidRPr="0089652C" w:rsidRDefault="00B0417E" w:rsidP="00B0417E">
                  <w:pPr>
                    <w:jc w:val="both"/>
                    <w:rPr>
                      <w:rFonts w:ascii="Times New Roman" w:hAnsi="Times New Roman" w:cs="Times New Roman"/>
                      <w:b/>
                      <w:bCs/>
                      <w:lang w:val="en-GB"/>
                    </w:rPr>
                  </w:pPr>
                </w:p>
                <w:p w:rsidR="00B0417E" w:rsidRPr="0089652C" w:rsidRDefault="00B0417E" w:rsidP="00B0417E">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B0417E" w:rsidRPr="0089652C" w:rsidRDefault="00B0417E" w:rsidP="00B0417E">
                  <w:pPr>
                    <w:jc w:val="both"/>
                    <w:rPr>
                      <w:rFonts w:ascii="Times New Roman" w:eastAsia="Cambria" w:hAnsi="Times New Roman" w:cs="Times New Roman"/>
                      <w:b/>
                    </w:rPr>
                  </w:pPr>
                </w:p>
                <w:p w:rsidR="00B0417E" w:rsidRPr="0089652C" w:rsidRDefault="00B0417E" w:rsidP="00B0417E">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B0417E" w:rsidRPr="0089652C" w:rsidRDefault="00B0417E" w:rsidP="00B0417E">
                  <w:pPr>
                    <w:jc w:val="both"/>
                    <w:rPr>
                      <w:rFonts w:ascii="Times New Roman" w:hAnsi="Times New Roman" w:cs="Times New Roman"/>
                      <w:b/>
                      <w:bCs/>
                      <w:lang w:val="en-GB"/>
                    </w:rPr>
                  </w:pPr>
                </w:p>
              </w:tc>
            </w:tr>
          </w:tbl>
          <w:p w:rsidR="0089652C" w:rsidRDefault="0089652C" w:rsidP="00F449D7">
            <w:pPr>
              <w:tabs>
                <w:tab w:val="left" w:pos="2190"/>
              </w:tabs>
              <w:rPr>
                <w:rFonts w:ascii="Times New Roman" w:hAnsi="Times New Roman" w:cs="Times New Roman"/>
                <w:lang w:val="en-GB"/>
              </w:rPr>
            </w:pPr>
          </w:p>
          <w:p w:rsidR="00F51662" w:rsidRDefault="00F51662" w:rsidP="00F449D7">
            <w:pPr>
              <w:tabs>
                <w:tab w:val="left" w:pos="2190"/>
              </w:tabs>
              <w:rPr>
                <w:rFonts w:ascii="Times New Roman" w:hAnsi="Times New Roman" w:cs="Times New Roman"/>
                <w:lang w:val="en-GB"/>
              </w:rPr>
            </w:pPr>
          </w:p>
          <w:p w:rsidR="00F51662" w:rsidRPr="0089652C" w:rsidRDefault="00F51662" w:rsidP="00F449D7">
            <w:pPr>
              <w:tabs>
                <w:tab w:val="left" w:pos="2190"/>
              </w:tabs>
              <w:rPr>
                <w:rFonts w:ascii="Times New Roman" w:hAnsi="Times New Roman" w:cs="Times New Roman"/>
                <w:lang w:val="en-GB"/>
              </w:rPr>
            </w:pPr>
          </w:p>
          <w:p w:rsidR="0089652C" w:rsidRPr="0089652C" w:rsidRDefault="0089652C" w:rsidP="0089652C">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89652C" w:rsidRPr="0089652C" w:rsidRDefault="0089652C" w:rsidP="0089652C">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89652C" w:rsidRPr="0089652C" w:rsidRDefault="0089652C" w:rsidP="0089652C">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4235"/>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163D"/>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664"/>
    <w:rsid w:val="00F449D7"/>
    <w:rsid w:val="00F51662"/>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7D215E"/>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4906-67AB-457B-9074-CFEAEE3C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2023-07-12T09:07:00Z</cp:lastPrinted>
  <dcterms:created xsi:type="dcterms:W3CDTF">2023-07-12T08:40:00Z</dcterms:created>
  <dcterms:modified xsi:type="dcterms:W3CDTF">2023-07-12T09:07:00Z</dcterms:modified>
</cp:coreProperties>
</file>