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1"/>
      </w:tblGrid>
      <w:tr w:rsidR="00550E8F" w:rsidRPr="00220A1A" w14:paraId="3002B780" w14:textId="77777777" w:rsidTr="00550E8F">
        <w:tc>
          <w:tcPr>
            <w:tcW w:w="9101" w:type="dxa"/>
            <w:shd w:val="clear" w:color="auto" w:fill="EEECE1"/>
          </w:tcPr>
          <w:p w14:paraId="326D8E8E" w14:textId="77777777" w:rsidR="00550E8F" w:rsidRPr="00220A1A" w:rsidRDefault="00550E8F" w:rsidP="00CF7A30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ANNEXURE A</w:t>
            </w:r>
            <w:r w:rsidRPr="00220A1A">
              <w:rPr>
                <w:b/>
                <w:sz w:val="28"/>
                <w:szCs w:val="28"/>
              </w:rPr>
              <w:t xml:space="preserve">                     WORKS INFORMATION</w:t>
            </w:r>
          </w:p>
        </w:tc>
      </w:tr>
    </w:tbl>
    <w:p w14:paraId="73468223" w14:textId="77777777" w:rsidR="00550E8F" w:rsidRPr="00A45B75" w:rsidRDefault="00550E8F" w:rsidP="00550E8F">
      <w:pPr>
        <w:spacing w:after="0"/>
        <w:rPr>
          <w:vanish/>
          <w:sz w:val="16"/>
          <w:szCs w:val="16"/>
        </w:rPr>
      </w:pPr>
    </w:p>
    <w:p w14:paraId="72FB7458" w14:textId="77777777" w:rsidR="00550E8F" w:rsidRDefault="00550E8F" w:rsidP="00550E8F">
      <w:pPr>
        <w:shd w:val="clear" w:color="auto" w:fill="FFFFFF"/>
        <w:spacing w:after="0" w:line="240" w:lineRule="auto"/>
        <w:rPr>
          <w:rFonts w:cs="Arial"/>
          <w:sz w:val="24"/>
          <w:szCs w:val="24"/>
        </w:rPr>
      </w:pPr>
    </w:p>
    <w:p w14:paraId="33AB4915" w14:textId="77777777" w:rsidR="00550E8F" w:rsidRPr="005434AA" w:rsidRDefault="00550E8F" w:rsidP="00550E8F">
      <w:pPr>
        <w:shd w:val="clear" w:color="auto" w:fill="FFFFFF"/>
        <w:spacing w:after="0" w:line="240" w:lineRule="auto"/>
        <w:rPr>
          <w:rFonts w:cs="Arial"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50E8F" w:rsidRPr="005434AA" w14:paraId="2436F202" w14:textId="77777777" w:rsidTr="00CF7A30">
        <w:trPr>
          <w:trHeight w:val="7776"/>
        </w:trPr>
        <w:tc>
          <w:tcPr>
            <w:tcW w:w="9072" w:type="dxa"/>
          </w:tcPr>
          <w:p w14:paraId="4D1F80DF" w14:textId="77777777" w:rsidR="00550E8F" w:rsidRPr="0049519B" w:rsidRDefault="00550E8F" w:rsidP="00CF7A30">
            <w:pPr>
              <w:spacing w:after="0" w:line="240" w:lineRule="auto"/>
              <w:ind w:left="360"/>
              <w:jc w:val="center"/>
              <w:rPr>
                <w:rFonts w:cs="Arial"/>
                <w:b/>
                <w:sz w:val="24"/>
                <w:szCs w:val="24"/>
              </w:rPr>
            </w:pPr>
            <w:r w:rsidRPr="0049519B">
              <w:rPr>
                <w:rFonts w:cs="Arial"/>
                <w:b/>
                <w:sz w:val="24"/>
                <w:szCs w:val="24"/>
              </w:rPr>
              <w:t>Title of Publication</w:t>
            </w:r>
          </w:p>
          <w:p w14:paraId="4C9FC779" w14:textId="77777777" w:rsidR="00550E8F" w:rsidRPr="005434AA" w:rsidRDefault="00550E8F" w:rsidP="00CF7A30">
            <w:pPr>
              <w:spacing w:after="0" w:line="240" w:lineRule="auto"/>
              <w:ind w:left="360"/>
              <w:jc w:val="center"/>
              <w:rPr>
                <w:rFonts w:cs="Arial"/>
                <w:sz w:val="24"/>
                <w:szCs w:val="24"/>
              </w:rPr>
            </w:pPr>
          </w:p>
          <w:p w14:paraId="28B44C58" w14:textId="77777777" w:rsidR="00550E8F" w:rsidRPr="003968D2" w:rsidRDefault="00550E8F" w:rsidP="00550E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968D2">
              <w:rPr>
                <w:rFonts w:ascii="Arial" w:hAnsi="Arial" w:cs="Arial"/>
              </w:rPr>
              <w:t>Occupational Health and Safety Requirements of the SSA and all Normative references</w:t>
            </w:r>
          </w:p>
          <w:p w14:paraId="27E18837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SSA`s Policy and Procedures for the Co-Ordination and Implementation of Occupational Health and Safety Act (Act 85 of 1993) and Compensation for Occupational Injuries and Diseases Act of 1993</w:t>
            </w:r>
          </w:p>
          <w:p w14:paraId="12335AF5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SABS 1200 AA – General (Small Works)</w:t>
            </w:r>
          </w:p>
          <w:p w14:paraId="57352C97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Access Control Procedures to SSA Premises</w:t>
            </w:r>
          </w:p>
          <w:p w14:paraId="2DFC708D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 xml:space="preserve">PPPFA Act number 5 of 2000 </w:t>
            </w:r>
          </w:p>
          <w:p w14:paraId="4876A6F1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 xml:space="preserve">PFMA Act </w:t>
            </w:r>
          </w:p>
          <w:p w14:paraId="0AEF3D9A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Security Officers Act (Act 92 of 1987), and the Security Officers Amendment Act (Act 104 of 1997)</w:t>
            </w:r>
          </w:p>
          <w:p w14:paraId="171AEC74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Employment Equity Act (Act 55 0f 1998)</w:t>
            </w:r>
          </w:p>
          <w:p w14:paraId="7EEDD7C2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Intelligence Services Act (Act 38 of 1994)</w:t>
            </w:r>
          </w:p>
          <w:p w14:paraId="057B2178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Strategic Intelligence Act (Act 39 of 1994)</w:t>
            </w:r>
          </w:p>
          <w:p w14:paraId="5FBFB2F6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Small Business Act (Act 102 of 1996)</w:t>
            </w:r>
          </w:p>
          <w:p w14:paraId="58417450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Intelligence Services Control Act (Act 40 of 1994)</w:t>
            </w:r>
          </w:p>
          <w:p w14:paraId="6217FEF2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Protection of Information Act (Act 84 of 1984)</w:t>
            </w:r>
          </w:p>
          <w:p w14:paraId="4D9C7A9B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Auditor-General Act (Act 12 of 1995)</w:t>
            </w:r>
          </w:p>
          <w:p w14:paraId="07186D58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Income Tax Act (Act 58 of 1962)</w:t>
            </w:r>
          </w:p>
          <w:p w14:paraId="4F278510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Promotion of Equality and Prevention of Unfair Discrimination Act (Act 4 of 2000)</w:t>
            </w:r>
          </w:p>
          <w:p w14:paraId="3A288437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Labour Relation Act (Act 66 of 1995)</w:t>
            </w:r>
          </w:p>
          <w:p w14:paraId="3F64FDCF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Skills Development Act (Act 97 of 1998)</w:t>
            </w:r>
          </w:p>
          <w:p w14:paraId="2069C126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Occupational Health and Safety Act (Act 85 of 1993)</w:t>
            </w:r>
          </w:p>
          <w:p w14:paraId="14238535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Requirements of the Companies Act</w:t>
            </w:r>
          </w:p>
          <w:p w14:paraId="31B9F0C9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General Procurement Guidelines (issued by the Minister of Finance)</w:t>
            </w:r>
          </w:p>
          <w:p w14:paraId="45572124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Treasury: Circular No. 6 of 2002: Preference Points Claim Form for Equity Ownership by Historically Disadvantaged Individuals (HDIs)</w:t>
            </w:r>
          </w:p>
          <w:p w14:paraId="3A9F3EEA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Government Procurement: General Conditions of Tender, Contract and Order</w:t>
            </w:r>
          </w:p>
          <w:p w14:paraId="0A3D72E0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Security Service Trade Orders</w:t>
            </w:r>
          </w:p>
          <w:p w14:paraId="726CA302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White Paper on Transforming Public Service Delivery: Batho Pele-“People First”: 1997 September</w:t>
            </w:r>
          </w:p>
          <w:p w14:paraId="4CB6874D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Government Notice R1237, 1988 July 1</w:t>
            </w:r>
          </w:p>
          <w:p w14:paraId="11716D51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Government Gazette No 16085, 1998 November 23</w:t>
            </w:r>
          </w:p>
          <w:p w14:paraId="477B75D2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SSA Procedure for the Identification of Risk Prior to the Commencement of Work</w:t>
            </w:r>
          </w:p>
          <w:p w14:paraId="6663D85F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Construction Regulations 2014</w:t>
            </w:r>
          </w:p>
          <w:p w14:paraId="1F70A19C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Building Regulations, SANS 10400</w:t>
            </w:r>
          </w:p>
          <w:p w14:paraId="3EF4A321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National Road Traffic Act 93 of 1996, and all amendments</w:t>
            </w:r>
          </w:p>
          <w:p w14:paraId="4A231170" w14:textId="77777777" w:rsidR="00550E8F" w:rsidRPr="003968D2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3968D2">
              <w:rPr>
                <w:rFonts w:cs="Arial"/>
              </w:rPr>
              <w:t>General Safety Regulations 2003</w:t>
            </w:r>
          </w:p>
          <w:p w14:paraId="3E60D778" w14:textId="77777777" w:rsidR="00550E8F" w:rsidRPr="00A45B75" w:rsidRDefault="00550E8F" w:rsidP="00550E8F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968D2">
              <w:rPr>
                <w:rFonts w:cs="Arial"/>
              </w:rPr>
              <w:t>Environmental Regulations for Workplaces 1987</w:t>
            </w:r>
          </w:p>
        </w:tc>
      </w:tr>
    </w:tbl>
    <w:p w14:paraId="2E8D90D1" w14:textId="77777777" w:rsidR="00502A48" w:rsidRDefault="004F7B8F"/>
    <w:sectPr w:rsidR="00502A48" w:rsidSect="00794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7CFA7" w14:textId="77777777" w:rsidR="00550E8F" w:rsidRDefault="00550E8F" w:rsidP="00550E8F">
      <w:pPr>
        <w:spacing w:after="0" w:line="240" w:lineRule="auto"/>
      </w:pPr>
      <w:r>
        <w:separator/>
      </w:r>
    </w:p>
  </w:endnote>
  <w:endnote w:type="continuationSeparator" w:id="0">
    <w:p w14:paraId="602FC63A" w14:textId="77777777" w:rsidR="00550E8F" w:rsidRDefault="00550E8F" w:rsidP="0055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DA2C4" w14:textId="77777777" w:rsidR="004F7B8F" w:rsidRDefault="004F7B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027BA" w14:textId="77777777" w:rsidR="004F7B8F" w:rsidRDefault="004F7B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F5EBC" w14:textId="77777777" w:rsidR="004F7B8F" w:rsidRDefault="004F7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45BF6" w14:textId="77777777" w:rsidR="00550E8F" w:rsidRDefault="00550E8F" w:rsidP="00550E8F">
      <w:pPr>
        <w:spacing w:after="0" w:line="240" w:lineRule="auto"/>
      </w:pPr>
      <w:r>
        <w:separator/>
      </w:r>
    </w:p>
  </w:footnote>
  <w:footnote w:type="continuationSeparator" w:id="0">
    <w:p w14:paraId="31E95A1F" w14:textId="77777777" w:rsidR="00550E8F" w:rsidRDefault="00550E8F" w:rsidP="0055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8106" w14:textId="77777777" w:rsidR="004F7B8F" w:rsidRDefault="004F7B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6CFE4" w14:textId="62CFB6FD" w:rsidR="004F7B8F" w:rsidRDefault="004F7B8F" w:rsidP="004F7B8F">
    <w:pPr>
      <w:widowControl w:val="0"/>
      <w:tabs>
        <w:tab w:val="left" w:pos="720"/>
        <w:tab w:val="left" w:pos="1134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napToGrid w:val="0"/>
      <w:spacing w:after="0" w:line="240" w:lineRule="auto"/>
      <w:rPr>
        <w:rFonts w:ascii="Arial" w:eastAsia="Times New Roman" w:hAnsi="Arial" w:cs="Arial"/>
        <w:b/>
        <w:lang w:val="en-GB"/>
      </w:rPr>
    </w:pPr>
    <w:bookmarkStart w:id="0" w:name="_GoBack"/>
    <w:r>
      <w:rPr>
        <w:rFonts w:ascii="Arial" w:eastAsia="Times New Roman" w:hAnsi="Arial" w:cs="Arial"/>
        <w:b/>
        <w:w w:val="105"/>
        <w:lang w:val="en-GB" w:eastAsia="en-ZA"/>
      </w:rPr>
      <w:t xml:space="preserve">APPOINTMENT OF A SERVICE PROVIDER FOR </w:t>
    </w:r>
    <w:r>
      <w:rPr>
        <w:rFonts w:ascii="Arial" w:hAnsi="Arial" w:cs="Arial"/>
        <w:b/>
      </w:rPr>
      <w:t>SUPPLY AND MAINTENANCE OF  HIGH VOLTAGE (HT) MAINTENANCE SERVICES</w:t>
    </w:r>
    <w:r>
      <w:rPr>
        <w:rFonts w:ascii="Arial" w:hAnsi="Arial" w:cs="Arial"/>
        <w:b/>
      </w:rPr>
      <w:t xml:space="preserve"> AT MUSANDA COMPLEX AND REMOTE SITES</w:t>
    </w:r>
    <w:r>
      <w:rPr>
        <w:rFonts w:ascii="Arial" w:hAnsi="Arial" w:cs="Arial"/>
        <w:b/>
      </w:rPr>
      <w:t xml:space="preserve"> FOR A PERIOD OF FIVE (5) YEARS</w:t>
    </w:r>
  </w:p>
  <w:bookmarkEnd w:id="0"/>
  <w:p w14:paraId="25B990C3" w14:textId="70CD26BB" w:rsidR="00550E8F" w:rsidRPr="004F7B8F" w:rsidRDefault="00550E8F" w:rsidP="004F7B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44A0" w14:textId="77777777" w:rsidR="004F7B8F" w:rsidRDefault="004F7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16B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8F"/>
    <w:rsid w:val="004179A8"/>
    <w:rsid w:val="004F7B8F"/>
    <w:rsid w:val="00550E8F"/>
    <w:rsid w:val="00741853"/>
    <w:rsid w:val="00794BD1"/>
    <w:rsid w:val="00922A16"/>
    <w:rsid w:val="00B045EE"/>
    <w:rsid w:val="00E6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07BD8F03"/>
  <w15:chartTrackingRefBased/>
  <w15:docId w15:val="{69921A83-661E-384A-9A68-A3366EAD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E8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E8F"/>
  </w:style>
  <w:style w:type="paragraph" w:styleId="Footer">
    <w:name w:val="footer"/>
    <w:basedOn w:val="Normal"/>
    <w:link w:val="FooterChar"/>
    <w:uiPriority w:val="99"/>
    <w:unhideWhenUsed/>
    <w:rsid w:val="00550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E8F"/>
  </w:style>
  <w:style w:type="paragraph" w:styleId="ListParagraph">
    <w:name w:val="List Paragraph"/>
    <w:aliases w:val="Standard Paragraph,List Paragraph1"/>
    <w:basedOn w:val="Normal"/>
    <w:link w:val="ListParagraphChar"/>
    <w:uiPriority w:val="34"/>
    <w:qFormat/>
    <w:rsid w:val="00550E8F"/>
    <w:pPr>
      <w:ind w:left="720"/>
      <w:contextualSpacing/>
    </w:pPr>
  </w:style>
  <w:style w:type="character" w:customStyle="1" w:styleId="ListParagraphChar">
    <w:name w:val="List Paragraph Char"/>
    <w:aliases w:val="Standard Paragraph Char,List Paragraph1 Char"/>
    <w:link w:val="ListParagraph"/>
    <w:uiPriority w:val="34"/>
    <w:qFormat/>
    <w:rsid w:val="00550E8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Botilo</dc:creator>
  <cp:keywords/>
  <dc:description/>
  <cp:lastModifiedBy>Masuku, Khona</cp:lastModifiedBy>
  <cp:revision>6</cp:revision>
  <dcterms:created xsi:type="dcterms:W3CDTF">2022-08-04T12:33:00Z</dcterms:created>
  <dcterms:modified xsi:type="dcterms:W3CDTF">2023-09-10T11:02:00Z</dcterms:modified>
</cp:coreProperties>
</file>