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B0F" w:rsidRPr="00B85B0F" w:rsidRDefault="00B85B0F" w:rsidP="00B85B0F">
      <w:pPr>
        <w:spacing w:after="160" w:line="259" w:lineRule="auto"/>
        <w:rPr>
          <w:rFonts w:ascii="Calibri" w:eastAsia="Calibri" w:hAnsi="Calibri" w:cs="Times New Roman"/>
          <w:b/>
          <w:sz w:val="32"/>
        </w:rPr>
      </w:pPr>
      <w:r w:rsidRPr="00B85B0F">
        <w:rPr>
          <w:rFonts w:ascii="Calibri" w:eastAsia="Calibri" w:hAnsi="Calibri" w:cs="Times New Roman"/>
          <w:b/>
          <w:sz w:val="32"/>
        </w:rPr>
        <w:t>Invitation to Tender</w:t>
      </w:r>
    </w:p>
    <w:p w:rsidR="00B85B0F" w:rsidRPr="00B85B0F" w:rsidRDefault="00B85B0F" w:rsidP="00B85B0F">
      <w:pPr>
        <w:spacing w:after="160" w:line="240" w:lineRule="auto"/>
        <w:jc w:val="both"/>
        <w:rPr>
          <w:rFonts w:ascii="Arial" w:eastAsia="Calibri" w:hAnsi="Arial" w:cs="Arial"/>
          <w:b/>
        </w:rPr>
      </w:pPr>
      <w:r w:rsidRPr="00B85B0F">
        <w:rPr>
          <w:rFonts w:ascii="Arial" w:eastAsia="Calibri" w:hAnsi="Arial" w:cs="Arial"/>
          <w:b/>
        </w:rPr>
        <w:t xml:space="preserve">Tender Reference No: </w:t>
      </w:r>
      <w:r w:rsidRPr="00B85B0F">
        <w:rPr>
          <w:rFonts w:ascii="Arial" w:eastAsia="Calibri" w:hAnsi="Arial" w:cs="Arial"/>
          <w:b/>
          <w:highlight w:val="cyan"/>
        </w:rPr>
        <w:t>IDT/EC/ADM/2022/</w:t>
      </w:r>
      <w:r w:rsidR="00DE7497">
        <w:rPr>
          <w:rFonts w:ascii="Arial" w:eastAsia="Calibri" w:hAnsi="Arial" w:cs="Arial"/>
          <w:b/>
          <w:highlight w:val="cyan"/>
        </w:rPr>
        <w:t>23/</w:t>
      </w:r>
      <w:r w:rsidR="006A48AE">
        <w:rPr>
          <w:rFonts w:ascii="Arial" w:eastAsia="Calibri" w:hAnsi="Arial" w:cs="Arial"/>
          <w:b/>
          <w:highlight w:val="cyan"/>
        </w:rPr>
        <w:t>0</w:t>
      </w:r>
      <w:r w:rsidRPr="00B85B0F">
        <w:rPr>
          <w:rFonts w:ascii="Arial" w:eastAsia="Calibri" w:hAnsi="Arial" w:cs="Arial"/>
          <w:b/>
          <w:highlight w:val="cyan"/>
        </w:rPr>
        <w:t>1</w:t>
      </w:r>
      <w:r w:rsidR="00B85FF6">
        <w:rPr>
          <w:rFonts w:ascii="Arial" w:eastAsia="Calibri" w:hAnsi="Arial" w:cs="Arial"/>
          <w:b/>
        </w:rPr>
        <w:t xml:space="preserve">   17 June 2022</w:t>
      </w:r>
    </w:p>
    <w:p w:rsidR="00B85B0F" w:rsidRPr="00B85B0F" w:rsidRDefault="00B85B0F" w:rsidP="00B85B0F">
      <w:pPr>
        <w:spacing w:after="160" w:line="240" w:lineRule="auto"/>
        <w:jc w:val="both"/>
        <w:rPr>
          <w:rFonts w:ascii="Arial" w:eastAsia="Calibri" w:hAnsi="Arial" w:cs="Arial"/>
          <w:b/>
        </w:rPr>
      </w:pPr>
      <w:r w:rsidRPr="00B85B0F">
        <w:rPr>
          <w:rFonts w:ascii="Arial" w:eastAsia="Calibri" w:hAnsi="Arial" w:cs="Arial"/>
          <w:b/>
        </w:rPr>
        <w:t>Provision of Suitable Offices and Secure Undercover Parking Bays for IDT (Eastern Cape Region).</w:t>
      </w:r>
    </w:p>
    <w:p w:rsidR="00B85B0F" w:rsidRPr="00B85B0F" w:rsidRDefault="00B85B0F" w:rsidP="00B85B0F">
      <w:pPr>
        <w:spacing w:after="160" w:line="360" w:lineRule="auto"/>
        <w:jc w:val="both"/>
        <w:rPr>
          <w:rFonts w:ascii="Arial" w:eastAsia="Calibri" w:hAnsi="Arial" w:cs="Arial"/>
          <w:sz w:val="20"/>
          <w:szCs w:val="24"/>
        </w:rPr>
      </w:pPr>
      <w:r w:rsidRPr="00B85B0F">
        <w:rPr>
          <w:rFonts w:ascii="Calibri" w:eastAsia="Calibri" w:hAnsi="Calibri" w:cs="Times New Roman"/>
        </w:rPr>
        <w:t xml:space="preserve">The Independent Development Trust (IDT) is a Schedule 2 Public Entity </w:t>
      </w:r>
      <w:r w:rsidRPr="00B85B0F">
        <w:rPr>
          <w:rFonts w:ascii="Arial" w:eastAsia="Calibri" w:hAnsi="Arial" w:cs="Arial"/>
          <w:sz w:val="20"/>
          <w:szCs w:val="24"/>
        </w:rPr>
        <w:t>governed by its Deed of Trust, The Public Finance Management Act (Act No 1 of 1999), as amended by Act No 29 of 1999 (PFMA) and other relevant legislative frameworks. The IDT manages and delivers integrated social infrastructure programmes on behalf of Government. The IDT</w:t>
      </w:r>
      <w:r w:rsidR="00047E94">
        <w:rPr>
          <w:rFonts w:ascii="Arial" w:eastAsia="Calibri" w:hAnsi="Arial" w:cs="Arial"/>
          <w:sz w:val="20"/>
          <w:szCs w:val="24"/>
        </w:rPr>
        <w:t xml:space="preserve"> has a regional office in East London, Eastern Cape</w:t>
      </w:r>
      <w:bookmarkStart w:id="0" w:name="_GoBack"/>
      <w:bookmarkEnd w:id="0"/>
      <w:r w:rsidRPr="00B85B0F">
        <w:rPr>
          <w:rFonts w:ascii="Arial" w:eastAsia="Calibri" w:hAnsi="Arial" w:cs="Arial"/>
          <w:sz w:val="20"/>
          <w:szCs w:val="24"/>
        </w:rPr>
        <w:t xml:space="preserve"> Province. The IDT is seeking to procure offices within </w:t>
      </w:r>
      <w:r w:rsidR="006A48AE">
        <w:rPr>
          <w:rFonts w:ascii="Arial" w:eastAsia="Calibri" w:hAnsi="Arial" w:cs="Arial"/>
          <w:sz w:val="20"/>
          <w:szCs w:val="24"/>
        </w:rPr>
        <w:t>Buffalo City</w:t>
      </w:r>
      <w:r w:rsidRPr="00B85B0F">
        <w:rPr>
          <w:rFonts w:ascii="Arial" w:eastAsia="Calibri" w:hAnsi="Arial" w:cs="Arial"/>
          <w:sz w:val="20"/>
          <w:szCs w:val="24"/>
        </w:rPr>
        <w:t xml:space="preserve"> Municipality for an initial period of 36 months with an option of extension.</w:t>
      </w:r>
    </w:p>
    <w:p w:rsidR="00B85B0F" w:rsidRPr="00B85B0F" w:rsidRDefault="00B85B0F" w:rsidP="00B85B0F">
      <w:pPr>
        <w:spacing w:after="160" w:line="360" w:lineRule="auto"/>
        <w:jc w:val="both"/>
        <w:rPr>
          <w:rFonts w:ascii="Arial" w:eastAsia="Calibri" w:hAnsi="Arial" w:cs="Arial"/>
          <w:sz w:val="20"/>
          <w:szCs w:val="24"/>
        </w:rPr>
      </w:pPr>
      <w:r w:rsidRPr="00B85B0F">
        <w:rPr>
          <w:rFonts w:ascii="Arial" w:eastAsia="Calibri" w:hAnsi="Arial" w:cs="Arial"/>
          <w:sz w:val="20"/>
          <w:szCs w:val="24"/>
        </w:rPr>
        <w:t xml:space="preserve">Only bidders, who meet the following </w:t>
      </w:r>
      <w:proofErr w:type="gramStart"/>
      <w:r w:rsidRPr="00B85B0F">
        <w:rPr>
          <w:rFonts w:ascii="Arial" w:eastAsia="Calibri" w:hAnsi="Arial" w:cs="Arial"/>
          <w:sz w:val="20"/>
          <w:szCs w:val="24"/>
        </w:rPr>
        <w:t>requirements</w:t>
      </w:r>
      <w:proofErr w:type="gramEnd"/>
      <w:r w:rsidRPr="00B85B0F">
        <w:rPr>
          <w:rFonts w:ascii="Arial" w:eastAsia="Calibri" w:hAnsi="Arial" w:cs="Arial"/>
          <w:sz w:val="20"/>
          <w:szCs w:val="24"/>
        </w:rPr>
        <w:t xml:space="preserve"> will be eligible for this bid;</w:t>
      </w:r>
    </w:p>
    <w:p w:rsidR="00B85B0F" w:rsidRPr="00B85B0F" w:rsidRDefault="00B85B0F" w:rsidP="00B85B0F">
      <w:pPr>
        <w:numPr>
          <w:ilvl w:val="0"/>
          <w:numId w:val="1"/>
        </w:numPr>
        <w:spacing w:after="0" w:line="360" w:lineRule="auto"/>
        <w:jc w:val="both"/>
        <w:rPr>
          <w:rFonts w:ascii="Arial" w:eastAsia="Calibri" w:hAnsi="Arial" w:cs="Arial"/>
          <w:sz w:val="20"/>
          <w:szCs w:val="24"/>
        </w:rPr>
      </w:pPr>
      <w:r w:rsidRPr="00B85B0F">
        <w:rPr>
          <w:rFonts w:ascii="Arial" w:eastAsia="Calibri" w:hAnsi="Arial" w:cs="Arial"/>
          <w:sz w:val="20"/>
          <w:szCs w:val="24"/>
        </w:rPr>
        <w:t>Proof of Central Supplier Database (CSD) registration;</w:t>
      </w:r>
    </w:p>
    <w:p w:rsidR="00B85B0F" w:rsidRPr="00B85B0F" w:rsidRDefault="00B85B0F" w:rsidP="00B85B0F">
      <w:pPr>
        <w:numPr>
          <w:ilvl w:val="0"/>
          <w:numId w:val="1"/>
        </w:numPr>
        <w:spacing w:after="0" w:line="360" w:lineRule="auto"/>
        <w:jc w:val="both"/>
        <w:rPr>
          <w:rFonts w:ascii="Arial" w:eastAsia="Calibri" w:hAnsi="Arial" w:cs="Arial"/>
          <w:sz w:val="20"/>
          <w:szCs w:val="24"/>
        </w:rPr>
      </w:pPr>
      <w:r w:rsidRPr="00B85B0F">
        <w:rPr>
          <w:rFonts w:ascii="Arial" w:eastAsia="Calibri" w:hAnsi="Arial" w:cs="Arial"/>
          <w:sz w:val="20"/>
          <w:szCs w:val="24"/>
        </w:rPr>
        <w:t>Copy of the certified valid tax clearance with Tax Compliance Pin certificate (TCC);</w:t>
      </w:r>
    </w:p>
    <w:p w:rsidR="00B85B0F" w:rsidRPr="00B85B0F" w:rsidRDefault="00B85B0F" w:rsidP="00B85B0F">
      <w:pPr>
        <w:numPr>
          <w:ilvl w:val="0"/>
          <w:numId w:val="1"/>
        </w:numPr>
        <w:spacing w:after="0" w:line="360" w:lineRule="auto"/>
        <w:jc w:val="both"/>
        <w:rPr>
          <w:rFonts w:ascii="Arial" w:eastAsia="Calibri" w:hAnsi="Arial" w:cs="Arial"/>
          <w:sz w:val="20"/>
          <w:szCs w:val="24"/>
        </w:rPr>
      </w:pPr>
      <w:r w:rsidRPr="00B85B0F">
        <w:rPr>
          <w:rFonts w:ascii="Arial" w:eastAsia="Calibri" w:hAnsi="Arial" w:cs="Arial"/>
          <w:sz w:val="20"/>
          <w:szCs w:val="24"/>
        </w:rPr>
        <w:t>Completion o</w:t>
      </w:r>
      <w:r w:rsidR="00B85FF6">
        <w:rPr>
          <w:rFonts w:ascii="Arial" w:eastAsia="Calibri" w:hAnsi="Arial" w:cs="Arial"/>
          <w:sz w:val="20"/>
          <w:szCs w:val="24"/>
        </w:rPr>
        <w:t>f SBD 1, SBD</w:t>
      </w:r>
      <w:r>
        <w:rPr>
          <w:rFonts w:ascii="Arial" w:eastAsia="Calibri" w:hAnsi="Arial" w:cs="Arial"/>
          <w:sz w:val="20"/>
          <w:szCs w:val="24"/>
        </w:rPr>
        <w:t xml:space="preserve"> 4</w:t>
      </w:r>
      <w:r w:rsidR="00B85FF6">
        <w:rPr>
          <w:rFonts w:ascii="Arial" w:eastAsia="Calibri" w:hAnsi="Arial" w:cs="Arial"/>
          <w:sz w:val="20"/>
          <w:szCs w:val="24"/>
        </w:rPr>
        <w:t xml:space="preserve"> and SBD 6.1</w:t>
      </w:r>
    </w:p>
    <w:p w:rsidR="00B85B0F" w:rsidRPr="00B85B0F" w:rsidRDefault="00B85B0F" w:rsidP="00B85B0F">
      <w:pPr>
        <w:numPr>
          <w:ilvl w:val="0"/>
          <w:numId w:val="1"/>
        </w:numPr>
        <w:spacing w:after="0" w:line="360" w:lineRule="auto"/>
        <w:jc w:val="both"/>
        <w:rPr>
          <w:rFonts w:ascii="Arial" w:eastAsia="Calibri" w:hAnsi="Arial" w:cs="Arial"/>
          <w:sz w:val="20"/>
          <w:szCs w:val="24"/>
        </w:rPr>
      </w:pPr>
      <w:r w:rsidRPr="00B85B0F">
        <w:rPr>
          <w:rFonts w:ascii="Arial" w:eastAsia="Calibri" w:hAnsi="Arial" w:cs="Arial"/>
          <w:sz w:val="20"/>
          <w:szCs w:val="24"/>
        </w:rPr>
        <w:t>Signed form of offer in the tender document;</w:t>
      </w:r>
    </w:p>
    <w:p w:rsidR="00B85B0F" w:rsidRPr="00B85B0F" w:rsidRDefault="00B85B0F" w:rsidP="00B85B0F">
      <w:pPr>
        <w:numPr>
          <w:ilvl w:val="0"/>
          <w:numId w:val="1"/>
        </w:numPr>
        <w:spacing w:after="0" w:line="360" w:lineRule="auto"/>
        <w:jc w:val="both"/>
        <w:rPr>
          <w:rFonts w:ascii="Arial" w:eastAsia="Calibri" w:hAnsi="Arial" w:cs="Arial"/>
          <w:sz w:val="20"/>
          <w:szCs w:val="24"/>
        </w:rPr>
      </w:pPr>
      <w:r w:rsidRPr="00B85B0F">
        <w:rPr>
          <w:rFonts w:ascii="Arial" w:eastAsia="Calibri" w:hAnsi="Arial" w:cs="Arial"/>
          <w:sz w:val="20"/>
          <w:szCs w:val="24"/>
        </w:rPr>
        <w:t>A Grade Building</w:t>
      </w:r>
    </w:p>
    <w:p w:rsidR="00B85B0F" w:rsidRPr="00B85B0F" w:rsidRDefault="00B85B0F" w:rsidP="00B85B0F">
      <w:pPr>
        <w:numPr>
          <w:ilvl w:val="0"/>
          <w:numId w:val="1"/>
        </w:numPr>
        <w:spacing w:after="0" w:line="360" w:lineRule="auto"/>
        <w:jc w:val="both"/>
        <w:rPr>
          <w:rFonts w:ascii="Arial" w:eastAsia="Calibri" w:hAnsi="Arial" w:cs="Arial"/>
          <w:sz w:val="20"/>
          <w:szCs w:val="24"/>
        </w:rPr>
      </w:pPr>
      <w:r w:rsidRPr="00B85B0F">
        <w:rPr>
          <w:rFonts w:ascii="Arial" w:eastAsia="Calibri" w:hAnsi="Arial" w:cs="Arial"/>
          <w:sz w:val="20"/>
          <w:szCs w:val="24"/>
        </w:rPr>
        <w:t>Valid Occupancy cer</w:t>
      </w:r>
      <w:r>
        <w:rPr>
          <w:rFonts w:ascii="Arial" w:eastAsia="Calibri" w:hAnsi="Arial" w:cs="Arial"/>
          <w:sz w:val="20"/>
          <w:szCs w:val="24"/>
        </w:rPr>
        <w:t xml:space="preserve">tificate as issued by Buffalo City Metro </w:t>
      </w:r>
      <w:r w:rsidRPr="00B85B0F">
        <w:rPr>
          <w:rFonts w:ascii="Arial" w:eastAsia="Calibri" w:hAnsi="Arial" w:cs="Arial"/>
          <w:sz w:val="20"/>
          <w:szCs w:val="24"/>
        </w:rPr>
        <w:t>Municipality or other relevant authority;</w:t>
      </w:r>
    </w:p>
    <w:p w:rsidR="00B85B0F" w:rsidRPr="00B85B0F" w:rsidRDefault="00B85B0F" w:rsidP="00B85B0F">
      <w:pPr>
        <w:numPr>
          <w:ilvl w:val="0"/>
          <w:numId w:val="1"/>
        </w:numPr>
        <w:spacing w:after="0" w:line="360" w:lineRule="auto"/>
        <w:jc w:val="both"/>
        <w:rPr>
          <w:rFonts w:ascii="Arial" w:eastAsia="Calibri" w:hAnsi="Arial" w:cs="Arial"/>
          <w:b/>
        </w:rPr>
      </w:pPr>
      <w:r w:rsidRPr="00B85B0F">
        <w:rPr>
          <w:rFonts w:ascii="Arial" w:eastAsia="Calibri" w:hAnsi="Arial" w:cs="Arial"/>
          <w:sz w:val="20"/>
          <w:szCs w:val="24"/>
        </w:rPr>
        <w:t>Proof of ownership of the building and proof of insurance of the building structure</w:t>
      </w:r>
      <w:r w:rsidRPr="00B85B0F">
        <w:rPr>
          <w:rFonts w:ascii="Arial" w:eastAsia="Calibri" w:hAnsi="Arial" w:cs="Arial"/>
          <w:b/>
        </w:rPr>
        <w:t>;</w:t>
      </w:r>
    </w:p>
    <w:p w:rsidR="00B85B0F" w:rsidRPr="00B85B0F" w:rsidRDefault="00B85B0F" w:rsidP="00B85B0F">
      <w:pPr>
        <w:numPr>
          <w:ilvl w:val="0"/>
          <w:numId w:val="1"/>
        </w:numPr>
        <w:spacing w:after="0" w:line="360" w:lineRule="auto"/>
        <w:jc w:val="both"/>
        <w:rPr>
          <w:rFonts w:ascii="Arial" w:eastAsia="Calibri" w:hAnsi="Arial" w:cs="Arial"/>
          <w:sz w:val="20"/>
          <w:szCs w:val="24"/>
        </w:rPr>
      </w:pPr>
      <w:r w:rsidRPr="00B85B0F">
        <w:rPr>
          <w:rFonts w:ascii="Arial" w:eastAsia="Calibri" w:hAnsi="Arial" w:cs="Arial"/>
          <w:sz w:val="20"/>
          <w:szCs w:val="24"/>
        </w:rPr>
        <w:t>Detailed description of the Proposed offices and physical address</w:t>
      </w:r>
    </w:p>
    <w:p w:rsidR="00B85B0F" w:rsidRPr="00B85B0F" w:rsidRDefault="00B85B0F" w:rsidP="00B85B0F">
      <w:pPr>
        <w:numPr>
          <w:ilvl w:val="0"/>
          <w:numId w:val="1"/>
        </w:numPr>
        <w:spacing w:after="0" w:line="360" w:lineRule="auto"/>
        <w:jc w:val="both"/>
        <w:rPr>
          <w:rFonts w:ascii="Arial" w:eastAsia="Calibri" w:hAnsi="Arial" w:cs="Arial"/>
          <w:sz w:val="20"/>
          <w:szCs w:val="24"/>
        </w:rPr>
      </w:pPr>
      <w:r w:rsidRPr="00B85B0F">
        <w:rPr>
          <w:rFonts w:ascii="Arial" w:eastAsia="Calibri" w:hAnsi="Arial" w:cs="Arial"/>
          <w:sz w:val="20"/>
          <w:szCs w:val="24"/>
        </w:rPr>
        <w:t>Health and safety compliance certificates</w:t>
      </w:r>
    </w:p>
    <w:p w:rsidR="00B85B0F" w:rsidRPr="00B85B0F" w:rsidRDefault="00B85B0F" w:rsidP="00B85B0F">
      <w:pPr>
        <w:numPr>
          <w:ilvl w:val="0"/>
          <w:numId w:val="1"/>
        </w:numPr>
        <w:spacing w:after="0" w:line="360" w:lineRule="auto"/>
        <w:jc w:val="both"/>
        <w:rPr>
          <w:rFonts w:ascii="Arial" w:eastAsia="Calibri" w:hAnsi="Arial" w:cs="Arial"/>
          <w:sz w:val="20"/>
          <w:szCs w:val="24"/>
        </w:rPr>
      </w:pPr>
      <w:r w:rsidRPr="00B85B0F">
        <w:rPr>
          <w:rFonts w:ascii="Arial" w:eastAsia="Calibri" w:hAnsi="Arial" w:cs="Arial"/>
          <w:sz w:val="20"/>
          <w:szCs w:val="24"/>
        </w:rPr>
        <w:t>Pictures of the office building in colour</w:t>
      </w:r>
    </w:p>
    <w:p w:rsidR="00B85B0F" w:rsidRPr="00B85B0F" w:rsidRDefault="00B85B0F" w:rsidP="00B85B0F">
      <w:pPr>
        <w:spacing w:after="0" w:line="360" w:lineRule="auto"/>
        <w:ind w:left="720"/>
        <w:jc w:val="both"/>
        <w:rPr>
          <w:rFonts w:ascii="Arial" w:eastAsia="Calibri" w:hAnsi="Arial" w:cs="Arial"/>
          <w:sz w:val="20"/>
          <w:szCs w:val="24"/>
        </w:rPr>
      </w:pPr>
    </w:p>
    <w:p w:rsidR="00B85B0F" w:rsidRPr="00B85B0F" w:rsidRDefault="00B85B0F" w:rsidP="00B85B0F">
      <w:pPr>
        <w:spacing w:after="160" w:line="259" w:lineRule="auto"/>
        <w:jc w:val="both"/>
        <w:rPr>
          <w:rFonts w:ascii="Arial" w:eastAsia="Calibri" w:hAnsi="Arial" w:cs="Arial"/>
        </w:rPr>
      </w:pPr>
      <w:r w:rsidRPr="00B85B0F">
        <w:rPr>
          <w:rFonts w:ascii="Arial" w:eastAsia="Calibri" w:hAnsi="Arial" w:cs="Arial"/>
          <w:b/>
        </w:rPr>
        <w:t>Note:</w:t>
      </w:r>
      <w:r w:rsidRPr="00B85B0F">
        <w:rPr>
          <w:rFonts w:ascii="Arial" w:eastAsia="Calibri" w:hAnsi="Arial" w:cs="Arial"/>
        </w:rPr>
        <w:t xml:space="preserve">    (i)    Failure to submit any of the above documents / requirements shall result in an immediate   disqualification of the bidder.</w:t>
      </w:r>
    </w:p>
    <w:p w:rsidR="00B85B0F" w:rsidRPr="00B85B0F" w:rsidRDefault="00B85B0F" w:rsidP="00B85B0F">
      <w:pPr>
        <w:spacing w:after="160" w:line="259" w:lineRule="auto"/>
        <w:jc w:val="both"/>
        <w:rPr>
          <w:rFonts w:ascii="Arial" w:eastAsia="Calibri" w:hAnsi="Arial" w:cs="Arial"/>
        </w:rPr>
      </w:pPr>
      <w:r w:rsidRPr="00B85B0F">
        <w:rPr>
          <w:rFonts w:ascii="Arial" w:eastAsia="Calibri" w:hAnsi="Arial" w:cs="Arial"/>
        </w:rPr>
        <w:t>(ii)    Failure to complete and sign any designated spaces in the bid document shall result in the immediate disqualification of the bidder.</w:t>
      </w:r>
    </w:p>
    <w:p w:rsidR="00B85B0F" w:rsidRPr="00B85B0F" w:rsidRDefault="00B85B0F" w:rsidP="00B85B0F">
      <w:pPr>
        <w:spacing w:after="160" w:line="259" w:lineRule="auto"/>
        <w:jc w:val="both"/>
        <w:rPr>
          <w:rFonts w:ascii="Arial" w:eastAsia="Calibri" w:hAnsi="Arial" w:cs="Arial"/>
        </w:rPr>
      </w:pPr>
    </w:p>
    <w:p w:rsidR="00B85B0F" w:rsidRPr="00B85B0F" w:rsidRDefault="00B85B0F" w:rsidP="00B85B0F">
      <w:pPr>
        <w:spacing w:after="160" w:line="259" w:lineRule="auto"/>
        <w:jc w:val="both"/>
        <w:rPr>
          <w:rFonts w:ascii="Arial" w:eastAsia="Calibri" w:hAnsi="Arial" w:cs="Arial"/>
          <w:sz w:val="20"/>
          <w:szCs w:val="24"/>
        </w:rPr>
      </w:pPr>
    </w:p>
    <w:p w:rsidR="00B85B0F" w:rsidRPr="00B85B0F" w:rsidRDefault="00B85B0F" w:rsidP="00B85B0F">
      <w:pPr>
        <w:spacing w:after="160" w:line="259" w:lineRule="auto"/>
        <w:jc w:val="both"/>
        <w:rPr>
          <w:rFonts w:ascii="Arial" w:eastAsia="Calibri" w:hAnsi="Arial" w:cs="Arial"/>
          <w:sz w:val="20"/>
          <w:szCs w:val="24"/>
        </w:rPr>
      </w:pPr>
    </w:p>
    <w:p w:rsidR="00B85B0F" w:rsidRPr="00B85B0F" w:rsidRDefault="00B85B0F" w:rsidP="00B85B0F">
      <w:pPr>
        <w:spacing w:after="160" w:line="259" w:lineRule="auto"/>
        <w:jc w:val="both"/>
        <w:rPr>
          <w:rFonts w:ascii="Arial" w:eastAsia="Calibri" w:hAnsi="Arial" w:cs="Arial"/>
          <w:sz w:val="20"/>
          <w:szCs w:val="24"/>
        </w:rPr>
      </w:pPr>
    </w:p>
    <w:p w:rsidR="00B85B0F" w:rsidRPr="00B85B0F" w:rsidRDefault="00B85B0F" w:rsidP="00B85B0F">
      <w:pPr>
        <w:spacing w:after="160" w:line="259" w:lineRule="auto"/>
        <w:jc w:val="both"/>
        <w:rPr>
          <w:rFonts w:ascii="Arial" w:eastAsia="Calibri" w:hAnsi="Arial" w:cs="Arial"/>
          <w:sz w:val="20"/>
          <w:szCs w:val="24"/>
        </w:rPr>
      </w:pPr>
    </w:p>
    <w:p w:rsidR="00B85B0F" w:rsidRPr="00B85B0F" w:rsidRDefault="00B85B0F" w:rsidP="00B85B0F">
      <w:pPr>
        <w:spacing w:after="160" w:line="259" w:lineRule="auto"/>
        <w:jc w:val="both"/>
        <w:rPr>
          <w:rFonts w:ascii="Arial" w:eastAsia="Calibri" w:hAnsi="Arial" w:cs="Arial"/>
          <w:sz w:val="20"/>
          <w:szCs w:val="24"/>
        </w:rPr>
      </w:pPr>
      <w:r w:rsidRPr="00B85B0F">
        <w:rPr>
          <w:rFonts w:ascii="Arial" w:eastAsia="Calibri" w:hAnsi="Arial" w:cs="Arial"/>
          <w:sz w:val="20"/>
          <w:szCs w:val="24"/>
        </w:rPr>
        <w:t xml:space="preserve">The tender evaluation criteria, is in line with the IDT Supply Chain Management Policy, will be as follows: </w:t>
      </w:r>
      <w:r w:rsidRPr="00B85B0F">
        <w:rPr>
          <w:rFonts w:ascii="Arial" w:eastAsia="Calibri" w:hAnsi="Arial" w:cs="Arial"/>
          <w:color w:val="FF0000"/>
          <w:sz w:val="20"/>
          <w:szCs w:val="24"/>
        </w:rPr>
        <w:t>preference/specifications</w:t>
      </w:r>
      <w:r w:rsidRPr="00B85B0F">
        <w:rPr>
          <w:rFonts w:ascii="Arial" w:eastAsia="Calibri" w:hAnsi="Arial" w:cs="Arial"/>
          <w:sz w:val="20"/>
          <w:szCs w:val="24"/>
        </w:rPr>
        <w:t>.</w:t>
      </w:r>
    </w:p>
    <w:tbl>
      <w:tblPr>
        <w:tblStyle w:val="TableGrid"/>
        <w:tblW w:w="0" w:type="auto"/>
        <w:tblLook w:val="04A0" w:firstRow="1" w:lastRow="0" w:firstColumn="1" w:lastColumn="0" w:noHBand="0" w:noVBand="1"/>
      </w:tblPr>
      <w:tblGrid>
        <w:gridCol w:w="7508"/>
        <w:gridCol w:w="1508"/>
      </w:tblGrid>
      <w:tr w:rsidR="00B85B0F" w:rsidRPr="00B85B0F" w:rsidTr="00D905AD">
        <w:tc>
          <w:tcPr>
            <w:tcW w:w="7508" w:type="dxa"/>
          </w:tcPr>
          <w:p w:rsidR="00B85B0F" w:rsidRPr="00B85B0F" w:rsidRDefault="00B85B0F" w:rsidP="00B85B0F">
            <w:pPr>
              <w:jc w:val="both"/>
              <w:rPr>
                <w:rFonts w:ascii="Arial" w:eastAsia="Calibri" w:hAnsi="Arial" w:cs="Arial"/>
                <w:b/>
                <w:sz w:val="20"/>
                <w:szCs w:val="24"/>
                <w:highlight w:val="cyan"/>
              </w:rPr>
            </w:pPr>
            <w:r w:rsidRPr="00B85B0F">
              <w:rPr>
                <w:rFonts w:ascii="Arial" w:eastAsia="Calibri" w:hAnsi="Arial" w:cs="Arial"/>
                <w:b/>
                <w:sz w:val="20"/>
                <w:szCs w:val="24"/>
                <w:highlight w:val="cyan"/>
              </w:rPr>
              <w:t>Functionality Criteria</w:t>
            </w:r>
          </w:p>
        </w:tc>
        <w:tc>
          <w:tcPr>
            <w:tcW w:w="1508" w:type="dxa"/>
          </w:tcPr>
          <w:p w:rsidR="00B85B0F" w:rsidRPr="00B85B0F" w:rsidRDefault="00B85B0F" w:rsidP="00B85B0F">
            <w:pPr>
              <w:jc w:val="center"/>
              <w:rPr>
                <w:rFonts w:ascii="Arial" w:eastAsia="Calibri" w:hAnsi="Arial" w:cs="Arial"/>
                <w:b/>
                <w:sz w:val="20"/>
                <w:szCs w:val="24"/>
                <w:highlight w:val="cyan"/>
              </w:rPr>
            </w:pPr>
            <w:r w:rsidRPr="00B85B0F">
              <w:rPr>
                <w:rFonts w:ascii="Arial" w:eastAsia="Calibri" w:hAnsi="Arial" w:cs="Arial"/>
                <w:b/>
                <w:sz w:val="20"/>
                <w:szCs w:val="24"/>
                <w:highlight w:val="cyan"/>
              </w:rPr>
              <w:t>Points</w:t>
            </w:r>
          </w:p>
        </w:tc>
      </w:tr>
      <w:tr w:rsidR="00B85B0F" w:rsidRPr="00B85B0F" w:rsidTr="00D905AD">
        <w:tc>
          <w:tcPr>
            <w:tcW w:w="7508" w:type="dxa"/>
          </w:tcPr>
          <w:p w:rsidR="00B85B0F" w:rsidRPr="00B85B0F" w:rsidRDefault="00B85B0F" w:rsidP="00B85B0F">
            <w:pPr>
              <w:jc w:val="both"/>
              <w:rPr>
                <w:rFonts w:ascii="Arial" w:eastAsia="Calibri" w:hAnsi="Arial" w:cs="Arial"/>
                <w:sz w:val="20"/>
                <w:szCs w:val="24"/>
                <w:highlight w:val="cyan"/>
              </w:rPr>
            </w:pPr>
            <w:r w:rsidRPr="00B85B0F">
              <w:rPr>
                <w:rFonts w:ascii="Arial" w:eastAsia="Calibri" w:hAnsi="Arial" w:cs="Arial"/>
                <w:sz w:val="20"/>
                <w:szCs w:val="24"/>
                <w:highlight w:val="cyan"/>
              </w:rPr>
              <w:t xml:space="preserve">Proposed Offices (Detailed) as per the specifications </w:t>
            </w:r>
          </w:p>
        </w:tc>
        <w:tc>
          <w:tcPr>
            <w:tcW w:w="1508" w:type="dxa"/>
          </w:tcPr>
          <w:p w:rsidR="00B85B0F" w:rsidRPr="00B85B0F" w:rsidRDefault="00B85B0F" w:rsidP="00B85B0F">
            <w:pPr>
              <w:jc w:val="center"/>
              <w:rPr>
                <w:rFonts w:ascii="Arial" w:eastAsia="Calibri" w:hAnsi="Arial" w:cs="Arial"/>
                <w:sz w:val="20"/>
                <w:szCs w:val="24"/>
                <w:highlight w:val="cyan"/>
              </w:rPr>
            </w:pPr>
            <w:r w:rsidRPr="00B85B0F">
              <w:rPr>
                <w:rFonts w:ascii="Arial" w:eastAsia="Calibri" w:hAnsi="Arial" w:cs="Arial"/>
                <w:sz w:val="20"/>
                <w:szCs w:val="24"/>
                <w:highlight w:val="cyan"/>
              </w:rPr>
              <w:t>30</w:t>
            </w:r>
          </w:p>
        </w:tc>
      </w:tr>
      <w:tr w:rsidR="00B85B0F" w:rsidRPr="00B85B0F" w:rsidTr="00D905AD">
        <w:tc>
          <w:tcPr>
            <w:tcW w:w="7508" w:type="dxa"/>
          </w:tcPr>
          <w:p w:rsidR="00B85B0F" w:rsidRPr="00B85B0F" w:rsidRDefault="00B85B0F" w:rsidP="00B85B0F">
            <w:pPr>
              <w:jc w:val="both"/>
              <w:rPr>
                <w:rFonts w:ascii="Arial" w:eastAsia="Calibri" w:hAnsi="Arial" w:cs="Arial"/>
                <w:sz w:val="20"/>
                <w:szCs w:val="24"/>
                <w:highlight w:val="cyan"/>
              </w:rPr>
            </w:pPr>
            <w:r w:rsidRPr="00B85B0F">
              <w:rPr>
                <w:rFonts w:ascii="Arial" w:eastAsia="Calibri" w:hAnsi="Arial" w:cs="Arial"/>
                <w:sz w:val="20"/>
                <w:szCs w:val="24"/>
                <w:highlight w:val="cyan"/>
              </w:rPr>
              <w:t xml:space="preserve">Location and suitability of offices and secured undercover parking </w:t>
            </w:r>
          </w:p>
        </w:tc>
        <w:tc>
          <w:tcPr>
            <w:tcW w:w="1508" w:type="dxa"/>
          </w:tcPr>
          <w:p w:rsidR="00B85B0F" w:rsidRPr="00B85B0F" w:rsidRDefault="00B85B0F" w:rsidP="00B85B0F">
            <w:pPr>
              <w:jc w:val="center"/>
              <w:rPr>
                <w:rFonts w:ascii="Arial" w:eastAsia="Calibri" w:hAnsi="Arial" w:cs="Arial"/>
                <w:sz w:val="20"/>
                <w:szCs w:val="24"/>
                <w:highlight w:val="cyan"/>
              </w:rPr>
            </w:pPr>
            <w:r w:rsidRPr="00B85B0F">
              <w:rPr>
                <w:rFonts w:ascii="Arial" w:eastAsia="Calibri" w:hAnsi="Arial" w:cs="Arial"/>
                <w:sz w:val="20"/>
                <w:szCs w:val="24"/>
                <w:highlight w:val="cyan"/>
              </w:rPr>
              <w:t>25</w:t>
            </w:r>
          </w:p>
        </w:tc>
      </w:tr>
      <w:tr w:rsidR="00B85B0F" w:rsidRPr="00B85B0F" w:rsidTr="00D905AD">
        <w:tc>
          <w:tcPr>
            <w:tcW w:w="7508" w:type="dxa"/>
          </w:tcPr>
          <w:p w:rsidR="00B85B0F" w:rsidRPr="00B85B0F" w:rsidRDefault="00B85B0F" w:rsidP="00B85B0F">
            <w:pPr>
              <w:jc w:val="both"/>
              <w:rPr>
                <w:rFonts w:ascii="Arial" w:eastAsia="Calibri" w:hAnsi="Arial" w:cs="Arial"/>
                <w:sz w:val="20"/>
                <w:szCs w:val="24"/>
                <w:highlight w:val="cyan"/>
              </w:rPr>
            </w:pPr>
            <w:r w:rsidRPr="00B85B0F">
              <w:rPr>
                <w:rFonts w:ascii="Arial" w:eastAsia="Calibri" w:hAnsi="Arial" w:cs="Arial"/>
                <w:sz w:val="20"/>
                <w:szCs w:val="24"/>
                <w:highlight w:val="cyan"/>
              </w:rPr>
              <w:t xml:space="preserve">Accessibility of the Proposed Offices </w:t>
            </w:r>
          </w:p>
        </w:tc>
        <w:tc>
          <w:tcPr>
            <w:tcW w:w="1508" w:type="dxa"/>
          </w:tcPr>
          <w:p w:rsidR="00B85B0F" w:rsidRPr="00B85B0F" w:rsidRDefault="00B85B0F" w:rsidP="00B85B0F">
            <w:pPr>
              <w:jc w:val="center"/>
              <w:rPr>
                <w:rFonts w:ascii="Arial" w:eastAsia="Calibri" w:hAnsi="Arial" w:cs="Arial"/>
                <w:sz w:val="20"/>
                <w:szCs w:val="24"/>
                <w:highlight w:val="cyan"/>
              </w:rPr>
            </w:pPr>
            <w:r w:rsidRPr="00B85B0F">
              <w:rPr>
                <w:rFonts w:ascii="Arial" w:eastAsia="Calibri" w:hAnsi="Arial" w:cs="Arial"/>
                <w:sz w:val="20"/>
                <w:szCs w:val="24"/>
                <w:highlight w:val="cyan"/>
              </w:rPr>
              <w:t>20</w:t>
            </w:r>
          </w:p>
        </w:tc>
      </w:tr>
      <w:tr w:rsidR="00B85B0F" w:rsidRPr="00B85B0F" w:rsidTr="00D905AD">
        <w:tc>
          <w:tcPr>
            <w:tcW w:w="7508" w:type="dxa"/>
          </w:tcPr>
          <w:p w:rsidR="00B85B0F" w:rsidRPr="00B85B0F" w:rsidRDefault="00B85B0F" w:rsidP="00B85B0F">
            <w:pPr>
              <w:jc w:val="both"/>
              <w:rPr>
                <w:rFonts w:ascii="Arial" w:eastAsia="Calibri" w:hAnsi="Arial" w:cs="Arial"/>
                <w:sz w:val="20"/>
                <w:szCs w:val="24"/>
                <w:highlight w:val="cyan"/>
              </w:rPr>
            </w:pPr>
            <w:r w:rsidRPr="00B85B0F">
              <w:rPr>
                <w:rFonts w:ascii="Arial" w:eastAsia="Calibri" w:hAnsi="Arial" w:cs="Arial"/>
                <w:sz w:val="20"/>
                <w:szCs w:val="24"/>
                <w:highlight w:val="cyan"/>
              </w:rPr>
              <w:t>Facilities Management of the Building</w:t>
            </w:r>
          </w:p>
        </w:tc>
        <w:tc>
          <w:tcPr>
            <w:tcW w:w="1508" w:type="dxa"/>
          </w:tcPr>
          <w:p w:rsidR="00B85B0F" w:rsidRPr="00B85B0F" w:rsidRDefault="00B85B0F" w:rsidP="00B85B0F">
            <w:pPr>
              <w:jc w:val="center"/>
              <w:rPr>
                <w:rFonts w:ascii="Arial" w:eastAsia="Calibri" w:hAnsi="Arial" w:cs="Arial"/>
                <w:sz w:val="20"/>
                <w:szCs w:val="24"/>
                <w:highlight w:val="cyan"/>
              </w:rPr>
            </w:pPr>
            <w:r w:rsidRPr="00B85B0F">
              <w:rPr>
                <w:rFonts w:ascii="Arial" w:eastAsia="Calibri" w:hAnsi="Arial" w:cs="Arial"/>
                <w:sz w:val="20"/>
                <w:szCs w:val="24"/>
                <w:highlight w:val="cyan"/>
              </w:rPr>
              <w:t>15</w:t>
            </w:r>
          </w:p>
        </w:tc>
      </w:tr>
      <w:tr w:rsidR="00B85B0F" w:rsidRPr="00B85B0F" w:rsidTr="00D905AD">
        <w:tc>
          <w:tcPr>
            <w:tcW w:w="7508" w:type="dxa"/>
          </w:tcPr>
          <w:p w:rsidR="00B85B0F" w:rsidRPr="00B85B0F" w:rsidRDefault="00B85B0F" w:rsidP="00B85B0F">
            <w:pPr>
              <w:jc w:val="both"/>
              <w:rPr>
                <w:rFonts w:ascii="Arial" w:eastAsia="Calibri" w:hAnsi="Arial" w:cs="Arial"/>
                <w:sz w:val="20"/>
                <w:szCs w:val="24"/>
                <w:highlight w:val="cyan"/>
              </w:rPr>
            </w:pPr>
            <w:r w:rsidRPr="00B85B0F">
              <w:rPr>
                <w:rFonts w:ascii="Arial" w:eastAsia="Calibri" w:hAnsi="Arial" w:cs="Arial"/>
                <w:sz w:val="20"/>
                <w:szCs w:val="24"/>
                <w:highlight w:val="cyan"/>
              </w:rPr>
              <w:lastRenderedPageBreak/>
              <w:t>Financial management and viability</w:t>
            </w:r>
          </w:p>
        </w:tc>
        <w:tc>
          <w:tcPr>
            <w:tcW w:w="1508" w:type="dxa"/>
          </w:tcPr>
          <w:p w:rsidR="00B85B0F" w:rsidRPr="00B85B0F" w:rsidRDefault="00B85B0F" w:rsidP="00B85B0F">
            <w:pPr>
              <w:jc w:val="center"/>
              <w:rPr>
                <w:rFonts w:ascii="Arial" w:eastAsia="Calibri" w:hAnsi="Arial" w:cs="Arial"/>
                <w:sz w:val="20"/>
                <w:szCs w:val="24"/>
              </w:rPr>
            </w:pPr>
            <w:r w:rsidRPr="00B85B0F">
              <w:rPr>
                <w:rFonts w:ascii="Arial" w:eastAsia="Calibri" w:hAnsi="Arial" w:cs="Arial"/>
                <w:sz w:val="20"/>
                <w:szCs w:val="24"/>
                <w:highlight w:val="cyan"/>
              </w:rPr>
              <w:t>10</w:t>
            </w:r>
          </w:p>
        </w:tc>
      </w:tr>
    </w:tbl>
    <w:p w:rsidR="00B85B0F" w:rsidRPr="00B85B0F" w:rsidRDefault="00B85B0F" w:rsidP="00B85B0F">
      <w:pPr>
        <w:spacing w:after="160" w:line="259" w:lineRule="auto"/>
        <w:jc w:val="both"/>
        <w:rPr>
          <w:rFonts w:ascii="Arial" w:eastAsia="Calibri" w:hAnsi="Arial" w:cs="Arial"/>
          <w:sz w:val="20"/>
          <w:szCs w:val="24"/>
        </w:rPr>
      </w:pPr>
    </w:p>
    <w:p w:rsidR="00B85B0F" w:rsidRPr="00B85B0F" w:rsidRDefault="00B85B0F" w:rsidP="00B85B0F">
      <w:pPr>
        <w:spacing w:after="160" w:line="259" w:lineRule="auto"/>
        <w:jc w:val="both"/>
        <w:rPr>
          <w:rFonts w:ascii="Arial" w:eastAsia="Calibri" w:hAnsi="Arial" w:cs="Arial"/>
          <w:sz w:val="20"/>
          <w:szCs w:val="24"/>
        </w:rPr>
      </w:pPr>
      <w:r w:rsidRPr="00B85B0F">
        <w:rPr>
          <w:rFonts w:ascii="Arial" w:eastAsia="Calibri" w:hAnsi="Arial" w:cs="Arial"/>
          <w:sz w:val="20"/>
          <w:szCs w:val="24"/>
        </w:rPr>
        <w:t xml:space="preserve">Further details of functionality points are indicated in the tender document. Tenders not meeting the minimum 70% of the total functionality points will be disqualified and will not be </w:t>
      </w:r>
      <w:r>
        <w:rPr>
          <w:rFonts w:ascii="Arial" w:eastAsia="Calibri" w:hAnsi="Arial" w:cs="Arial"/>
          <w:sz w:val="20"/>
          <w:szCs w:val="24"/>
        </w:rPr>
        <w:t>evaluated</w:t>
      </w:r>
      <w:r w:rsidRPr="00B85B0F">
        <w:rPr>
          <w:rFonts w:ascii="Arial" w:eastAsia="Calibri" w:hAnsi="Arial" w:cs="Arial"/>
          <w:sz w:val="20"/>
          <w:szCs w:val="24"/>
        </w:rPr>
        <w:t>.</w:t>
      </w:r>
    </w:p>
    <w:p w:rsidR="00B85B0F" w:rsidRPr="00B85B0F" w:rsidRDefault="00B85B0F" w:rsidP="00B85B0F">
      <w:pPr>
        <w:spacing w:after="160" w:line="259" w:lineRule="auto"/>
        <w:jc w:val="both"/>
        <w:rPr>
          <w:rFonts w:ascii="Arial" w:eastAsia="Calibri" w:hAnsi="Arial" w:cs="Arial"/>
          <w:b/>
          <w:sz w:val="20"/>
          <w:szCs w:val="24"/>
        </w:rPr>
      </w:pPr>
      <w:r w:rsidRPr="00B85B0F">
        <w:rPr>
          <w:rFonts w:ascii="Arial" w:eastAsia="Calibri" w:hAnsi="Arial" w:cs="Arial"/>
          <w:b/>
          <w:sz w:val="20"/>
          <w:szCs w:val="24"/>
        </w:rPr>
        <w:t>The tender docu</w:t>
      </w:r>
      <w:r>
        <w:rPr>
          <w:rFonts w:ascii="Arial" w:eastAsia="Calibri" w:hAnsi="Arial" w:cs="Arial"/>
          <w:b/>
          <w:sz w:val="20"/>
          <w:szCs w:val="24"/>
        </w:rPr>
        <w:t>ment will be available at the IDT Eastern Cape Regional office’s Reception, Palm</w:t>
      </w:r>
      <w:r w:rsidR="006A48AE">
        <w:rPr>
          <w:rFonts w:ascii="Arial" w:eastAsia="Calibri" w:hAnsi="Arial" w:cs="Arial"/>
          <w:b/>
          <w:sz w:val="20"/>
          <w:szCs w:val="24"/>
        </w:rPr>
        <w:t xml:space="preserve"> S</w:t>
      </w:r>
      <w:r>
        <w:rPr>
          <w:rFonts w:ascii="Arial" w:eastAsia="Calibri" w:hAnsi="Arial" w:cs="Arial"/>
          <w:b/>
          <w:sz w:val="20"/>
          <w:szCs w:val="24"/>
        </w:rPr>
        <w:t>quare, Beacon Bay, Silverwood House, East London, 524</w:t>
      </w:r>
      <w:r w:rsidRPr="00B85B0F">
        <w:rPr>
          <w:rFonts w:ascii="Arial" w:eastAsia="Calibri" w:hAnsi="Arial" w:cs="Arial"/>
          <w:b/>
          <w:sz w:val="20"/>
          <w:szCs w:val="24"/>
        </w:rPr>
        <w:t>1.</w:t>
      </w:r>
    </w:p>
    <w:p w:rsidR="00B85B0F" w:rsidRPr="00B85B0F" w:rsidRDefault="00B85B0F" w:rsidP="00B85B0F">
      <w:pPr>
        <w:spacing w:after="160" w:line="259" w:lineRule="auto"/>
        <w:jc w:val="both"/>
        <w:rPr>
          <w:rFonts w:ascii="Arial" w:eastAsia="Calibri" w:hAnsi="Arial" w:cs="Arial"/>
          <w:sz w:val="20"/>
          <w:szCs w:val="24"/>
        </w:rPr>
      </w:pPr>
      <w:r w:rsidRPr="00B85B0F">
        <w:rPr>
          <w:rFonts w:ascii="Arial" w:eastAsia="Calibri" w:hAnsi="Arial" w:cs="Arial"/>
          <w:sz w:val="20"/>
          <w:szCs w:val="24"/>
        </w:rPr>
        <w:t>Tender documents will be available from t</w:t>
      </w:r>
      <w:r>
        <w:rPr>
          <w:rFonts w:ascii="Arial" w:eastAsia="Calibri" w:hAnsi="Arial" w:cs="Arial"/>
          <w:sz w:val="20"/>
          <w:szCs w:val="24"/>
        </w:rPr>
        <w:t>he 31 May 2022 at the IDT East London</w:t>
      </w:r>
      <w:r w:rsidRPr="00B85B0F">
        <w:rPr>
          <w:rFonts w:ascii="Arial" w:eastAsia="Calibri" w:hAnsi="Arial" w:cs="Arial"/>
          <w:sz w:val="20"/>
          <w:szCs w:val="24"/>
        </w:rPr>
        <w:t xml:space="preserve"> Office. </w:t>
      </w:r>
    </w:p>
    <w:p w:rsidR="00B85B0F" w:rsidRPr="00B85B0F" w:rsidRDefault="00B85B0F" w:rsidP="00B85B0F">
      <w:pPr>
        <w:spacing w:after="160" w:line="240" w:lineRule="auto"/>
        <w:jc w:val="both"/>
        <w:rPr>
          <w:rFonts w:ascii="Arial" w:eastAsia="Calibri" w:hAnsi="Arial" w:cs="Arial"/>
          <w:b/>
        </w:rPr>
      </w:pPr>
      <w:r w:rsidRPr="00B85B0F">
        <w:rPr>
          <w:rFonts w:ascii="Arial" w:eastAsia="Calibri" w:hAnsi="Arial" w:cs="Arial"/>
          <w:b/>
          <w:sz w:val="20"/>
          <w:szCs w:val="24"/>
        </w:rPr>
        <w:t xml:space="preserve">Reference: </w:t>
      </w:r>
      <w:r w:rsidRPr="00B85B0F">
        <w:rPr>
          <w:rFonts w:ascii="Arial" w:eastAsia="Calibri" w:hAnsi="Arial" w:cs="Arial"/>
          <w:b/>
        </w:rPr>
        <w:t xml:space="preserve"> </w:t>
      </w:r>
      <w:r>
        <w:rPr>
          <w:rFonts w:ascii="Arial" w:eastAsia="Calibri" w:hAnsi="Arial" w:cs="Arial"/>
          <w:b/>
        </w:rPr>
        <w:t>I</w:t>
      </w:r>
      <w:r w:rsidRPr="00B85B0F">
        <w:rPr>
          <w:rFonts w:ascii="Arial" w:eastAsia="Calibri" w:hAnsi="Arial" w:cs="Arial"/>
          <w:b/>
          <w:highlight w:val="cyan"/>
        </w:rPr>
        <w:t>DT/EC/ADM/2022/</w:t>
      </w:r>
      <w:r w:rsidR="00DE7497">
        <w:rPr>
          <w:rFonts w:ascii="Arial" w:eastAsia="Calibri" w:hAnsi="Arial" w:cs="Arial"/>
          <w:b/>
          <w:highlight w:val="cyan"/>
        </w:rPr>
        <w:t>23/</w:t>
      </w:r>
      <w:r w:rsidR="006A48AE">
        <w:rPr>
          <w:rFonts w:ascii="Arial" w:eastAsia="Calibri" w:hAnsi="Arial" w:cs="Arial"/>
          <w:b/>
          <w:highlight w:val="cyan"/>
        </w:rPr>
        <w:t>0</w:t>
      </w:r>
      <w:r w:rsidRPr="00B85B0F">
        <w:rPr>
          <w:rFonts w:ascii="Arial" w:eastAsia="Calibri" w:hAnsi="Arial" w:cs="Arial"/>
          <w:b/>
          <w:highlight w:val="cyan"/>
        </w:rPr>
        <w:t>1</w:t>
      </w:r>
    </w:p>
    <w:p w:rsidR="00B85B0F" w:rsidRPr="00B85B0F" w:rsidRDefault="00B85B0F" w:rsidP="00B85B0F">
      <w:pPr>
        <w:spacing w:after="160" w:line="240" w:lineRule="auto"/>
        <w:jc w:val="both"/>
        <w:rPr>
          <w:rFonts w:ascii="Arial" w:eastAsia="Calibri" w:hAnsi="Arial" w:cs="Arial"/>
          <w:b/>
          <w:sz w:val="20"/>
          <w:szCs w:val="24"/>
        </w:rPr>
      </w:pPr>
      <w:r w:rsidRPr="00B85B0F">
        <w:rPr>
          <w:rFonts w:ascii="Arial" w:eastAsia="Calibri" w:hAnsi="Arial" w:cs="Arial"/>
          <w:b/>
          <w:sz w:val="20"/>
          <w:szCs w:val="24"/>
        </w:rPr>
        <w:t>Closing Date:</w:t>
      </w:r>
    </w:p>
    <w:p w:rsidR="00B85B0F" w:rsidRPr="00B85B0F" w:rsidRDefault="00B85B0F" w:rsidP="00B85B0F">
      <w:pPr>
        <w:spacing w:after="160" w:line="360" w:lineRule="auto"/>
        <w:jc w:val="both"/>
        <w:rPr>
          <w:rFonts w:ascii="Arial" w:eastAsia="Calibri" w:hAnsi="Arial" w:cs="Arial"/>
          <w:sz w:val="20"/>
          <w:szCs w:val="24"/>
        </w:rPr>
      </w:pPr>
      <w:r w:rsidRPr="00B85B0F">
        <w:rPr>
          <w:rFonts w:ascii="Arial" w:eastAsia="Calibri" w:hAnsi="Arial" w:cs="Arial"/>
          <w:sz w:val="20"/>
          <w:szCs w:val="24"/>
        </w:rPr>
        <w:t xml:space="preserve">The tender will close on the </w:t>
      </w:r>
      <w:r w:rsidR="00B85FF6">
        <w:rPr>
          <w:rFonts w:ascii="Arial" w:eastAsia="Calibri" w:hAnsi="Arial" w:cs="Arial"/>
          <w:b/>
          <w:sz w:val="20"/>
          <w:szCs w:val="24"/>
        </w:rPr>
        <w:t>18 July</w:t>
      </w:r>
      <w:r>
        <w:rPr>
          <w:rFonts w:ascii="Arial" w:eastAsia="Calibri" w:hAnsi="Arial" w:cs="Arial"/>
          <w:b/>
          <w:sz w:val="20"/>
          <w:szCs w:val="24"/>
        </w:rPr>
        <w:t xml:space="preserve"> 2022</w:t>
      </w:r>
      <w:r w:rsidR="00B85FF6">
        <w:rPr>
          <w:rFonts w:ascii="Arial" w:eastAsia="Calibri" w:hAnsi="Arial" w:cs="Arial"/>
          <w:sz w:val="20"/>
          <w:szCs w:val="24"/>
        </w:rPr>
        <w:t xml:space="preserve"> at 12h00</w:t>
      </w:r>
      <w:r w:rsidRPr="00B85B0F">
        <w:rPr>
          <w:rFonts w:ascii="Arial" w:eastAsia="Calibri" w:hAnsi="Arial" w:cs="Arial"/>
          <w:sz w:val="20"/>
          <w:szCs w:val="24"/>
        </w:rPr>
        <w:t xml:space="preserve">. </w:t>
      </w:r>
    </w:p>
    <w:p w:rsidR="00B85B0F" w:rsidRPr="00B85B0F" w:rsidRDefault="00B85B0F" w:rsidP="00B85B0F">
      <w:pPr>
        <w:spacing w:after="160" w:line="360" w:lineRule="auto"/>
        <w:jc w:val="both"/>
        <w:rPr>
          <w:rFonts w:ascii="Arial" w:eastAsia="Calibri" w:hAnsi="Arial" w:cs="Arial"/>
          <w:sz w:val="20"/>
          <w:szCs w:val="24"/>
        </w:rPr>
      </w:pPr>
      <w:r w:rsidRPr="00B85B0F">
        <w:rPr>
          <w:rFonts w:ascii="Arial" w:eastAsia="Calibri" w:hAnsi="Arial" w:cs="Arial"/>
          <w:sz w:val="20"/>
          <w:szCs w:val="24"/>
        </w:rPr>
        <w:t>The bid document must be placed in the tender box si</w:t>
      </w:r>
      <w:r>
        <w:rPr>
          <w:rFonts w:ascii="Arial" w:eastAsia="Calibri" w:hAnsi="Arial" w:cs="Arial"/>
          <w:sz w:val="20"/>
          <w:szCs w:val="24"/>
        </w:rPr>
        <w:t>tuated at the IDT East London, Reception, Beacon Bay, Silverwood House, East London</w:t>
      </w:r>
      <w:r w:rsidRPr="00B85B0F">
        <w:rPr>
          <w:rFonts w:ascii="Arial" w:eastAsia="Calibri" w:hAnsi="Arial" w:cs="Arial"/>
          <w:sz w:val="20"/>
          <w:szCs w:val="24"/>
        </w:rPr>
        <w:t xml:space="preserve">, </w:t>
      </w:r>
      <w:r>
        <w:rPr>
          <w:rFonts w:ascii="Arial" w:eastAsia="Calibri" w:hAnsi="Arial" w:cs="Arial"/>
          <w:sz w:val="20"/>
          <w:szCs w:val="24"/>
        </w:rPr>
        <w:t>Eastern Cape</w:t>
      </w:r>
    </w:p>
    <w:p w:rsidR="00B85B0F" w:rsidRPr="00B85B0F" w:rsidRDefault="00B85B0F" w:rsidP="00B85B0F">
      <w:pPr>
        <w:spacing w:after="160" w:line="240" w:lineRule="auto"/>
        <w:jc w:val="both"/>
        <w:rPr>
          <w:rFonts w:ascii="Arial" w:eastAsia="Calibri" w:hAnsi="Arial" w:cs="Arial"/>
          <w:sz w:val="20"/>
          <w:szCs w:val="24"/>
        </w:rPr>
      </w:pPr>
      <w:r w:rsidRPr="00B85B0F">
        <w:rPr>
          <w:rFonts w:ascii="Arial" w:eastAsia="Calibri" w:hAnsi="Arial" w:cs="Arial"/>
          <w:sz w:val="20"/>
          <w:szCs w:val="24"/>
        </w:rPr>
        <w:t>No late submission of tenders will be accepted.</w:t>
      </w:r>
    </w:p>
    <w:p w:rsidR="00B85B0F" w:rsidRPr="00B85B0F" w:rsidRDefault="00B85B0F" w:rsidP="00B85B0F">
      <w:pPr>
        <w:spacing w:after="160" w:line="240" w:lineRule="auto"/>
        <w:jc w:val="both"/>
        <w:rPr>
          <w:rFonts w:ascii="Arial" w:eastAsia="Calibri" w:hAnsi="Arial" w:cs="Arial"/>
          <w:b/>
          <w:sz w:val="20"/>
          <w:szCs w:val="24"/>
        </w:rPr>
      </w:pPr>
      <w:r w:rsidRPr="00B85B0F">
        <w:rPr>
          <w:rFonts w:ascii="Arial" w:eastAsia="Calibri" w:hAnsi="Arial" w:cs="Arial"/>
          <w:b/>
          <w:sz w:val="20"/>
          <w:szCs w:val="24"/>
        </w:rPr>
        <w:t xml:space="preserve">Bid Validity Period: </w:t>
      </w:r>
    </w:p>
    <w:p w:rsidR="00B85B0F" w:rsidRPr="00B85B0F" w:rsidRDefault="00B85B0F" w:rsidP="00B85B0F">
      <w:pPr>
        <w:spacing w:after="160" w:line="240" w:lineRule="auto"/>
        <w:jc w:val="both"/>
        <w:rPr>
          <w:rFonts w:ascii="Arial" w:eastAsia="Calibri" w:hAnsi="Arial" w:cs="Arial"/>
          <w:sz w:val="20"/>
          <w:szCs w:val="24"/>
        </w:rPr>
      </w:pPr>
      <w:r w:rsidRPr="00B85B0F">
        <w:rPr>
          <w:rFonts w:ascii="Arial" w:eastAsia="Calibri" w:hAnsi="Arial" w:cs="Arial"/>
          <w:sz w:val="20"/>
          <w:szCs w:val="24"/>
        </w:rPr>
        <w:t>The bid will be valid for 90 calendar days from the closing date.</w:t>
      </w:r>
    </w:p>
    <w:p w:rsidR="00B85B0F" w:rsidRPr="00B85B0F" w:rsidRDefault="00B85B0F" w:rsidP="00B85B0F">
      <w:pPr>
        <w:spacing w:after="160" w:line="240" w:lineRule="auto"/>
        <w:jc w:val="both"/>
        <w:rPr>
          <w:rFonts w:ascii="Arial" w:eastAsia="Calibri" w:hAnsi="Arial" w:cs="Arial"/>
          <w:sz w:val="20"/>
          <w:szCs w:val="24"/>
        </w:rPr>
      </w:pPr>
      <w:r w:rsidRPr="00B85B0F">
        <w:rPr>
          <w:rFonts w:ascii="Arial" w:eastAsia="Calibri" w:hAnsi="Arial" w:cs="Arial"/>
          <w:sz w:val="20"/>
          <w:szCs w:val="24"/>
        </w:rPr>
        <w:t>Tender must be on the original documents and must include all information as requested in the tender document.</w:t>
      </w:r>
    </w:p>
    <w:p w:rsidR="00B85B0F" w:rsidRPr="00B85B0F" w:rsidRDefault="00B85B0F" w:rsidP="00B85B0F">
      <w:pPr>
        <w:spacing w:after="160" w:line="240" w:lineRule="auto"/>
        <w:jc w:val="both"/>
        <w:rPr>
          <w:rFonts w:ascii="Arial" w:eastAsia="Calibri" w:hAnsi="Arial" w:cs="Arial"/>
          <w:sz w:val="20"/>
          <w:szCs w:val="24"/>
        </w:rPr>
      </w:pPr>
      <w:r w:rsidRPr="00B85B0F">
        <w:rPr>
          <w:rFonts w:ascii="Arial" w:eastAsia="Calibri" w:hAnsi="Arial" w:cs="Arial"/>
          <w:sz w:val="20"/>
          <w:szCs w:val="24"/>
        </w:rPr>
        <w:t xml:space="preserve">The lowest tender may not necessarily be accepted. No correspondence will be entered into with unsuccessful tenderers and the appointment will be at the IDT’s sole discretion and will be final. </w:t>
      </w:r>
    </w:p>
    <w:p w:rsidR="00B85B0F" w:rsidRPr="00B85B0F" w:rsidRDefault="00B85B0F" w:rsidP="00B85B0F">
      <w:pPr>
        <w:spacing w:after="160" w:line="240" w:lineRule="auto"/>
        <w:jc w:val="both"/>
        <w:rPr>
          <w:rFonts w:ascii="Arial" w:eastAsia="Calibri" w:hAnsi="Arial" w:cs="Arial"/>
          <w:b/>
          <w:sz w:val="20"/>
          <w:szCs w:val="24"/>
        </w:rPr>
      </w:pPr>
    </w:p>
    <w:p w:rsidR="006A0331" w:rsidRDefault="00B85B0F" w:rsidP="00B85B0F">
      <w:r w:rsidRPr="00B85B0F">
        <w:rPr>
          <w:rFonts w:ascii="Arial" w:eastAsia="Calibri" w:hAnsi="Arial" w:cs="Arial"/>
          <w:b/>
          <w:sz w:val="20"/>
          <w:szCs w:val="24"/>
        </w:rPr>
        <w:t>Enquiries can be d</w:t>
      </w:r>
      <w:r>
        <w:rPr>
          <w:rFonts w:ascii="Arial" w:eastAsia="Calibri" w:hAnsi="Arial" w:cs="Arial"/>
          <w:b/>
          <w:sz w:val="20"/>
          <w:szCs w:val="24"/>
        </w:rPr>
        <w:t>irected to Mrs Yolanda Mbange</w:t>
      </w:r>
      <w:r w:rsidRPr="00B85B0F">
        <w:rPr>
          <w:rFonts w:ascii="Arial" w:eastAsia="Calibri" w:hAnsi="Arial" w:cs="Arial"/>
          <w:b/>
          <w:sz w:val="20"/>
          <w:szCs w:val="24"/>
        </w:rPr>
        <w:t xml:space="preserve"> at </w:t>
      </w:r>
      <w:hyperlink r:id="rId5" w:history="1">
        <w:r w:rsidRPr="00F96406">
          <w:rPr>
            <w:rStyle w:val="Hyperlink"/>
            <w:rFonts w:ascii="Arial" w:eastAsia="Calibri" w:hAnsi="Arial" w:cs="Arial"/>
            <w:b/>
            <w:sz w:val="20"/>
            <w:szCs w:val="24"/>
          </w:rPr>
          <w:t>yolandam@idt.org.za</w:t>
        </w:r>
      </w:hyperlink>
    </w:p>
    <w:sectPr w:rsidR="006A03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415DB1"/>
    <w:multiLevelType w:val="hybridMultilevel"/>
    <w:tmpl w:val="33CC8E2E"/>
    <w:lvl w:ilvl="0" w:tplc="04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B0F"/>
    <w:rsid w:val="00047E94"/>
    <w:rsid w:val="000C209E"/>
    <w:rsid w:val="006A0331"/>
    <w:rsid w:val="006A48AE"/>
    <w:rsid w:val="00B85B0F"/>
    <w:rsid w:val="00B85FF6"/>
    <w:rsid w:val="00DE749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0792D"/>
  <w15:docId w15:val="{9695B85C-E415-4F18-8BB6-D012AD2A6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5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5B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yolandam@idt.org.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Mpfumelo Magoro</dc:creator>
  <cp:lastModifiedBy>Yolanda Mbange</cp:lastModifiedBy>
  <cp:revision>2</cp:revision>
  <dcterms:created xsi:type="dcterms:W3CDTF">2022-06-15T10:47:00Z</dcterms:created>
  <dcterms:modified xsi:type="dcterms:W3CDTF">2022-06-15T10:47:00Z</dcterms:modified>
</cp:coreProperties>
</file>