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9B98B2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73236">
        <w:rPr>
          <w:rFonts w:ascii="Calibri" w:hAnsi="Calibri" w:cs="Calibri"/>
          <w:color w:val="000000"/>
          <w:sz w:val="24"/>
          <w:szCs w:val="24"/>
        </w:rPr>
        <w:t>11-03</w:t>
      </w:r>
    </w:p>
    <w:p w14:paraId="48AA0D18" w14:textId="73144ACF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24090" w:rsidRPr="00F24090">
        <w:t>081592</w:t>
      </w:r>
    </w:p>
    <w:p w14:paraId="1AAB7A6B" w14:textId="0A68BD1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F24090">
        <w:rPr>
          <w:rFonts w:ascii="Arial" w:hAnsi="Arial" w:cs="Arial"/>
          <w:color w:val="000000"/>
          <w:sz w:val="24"/>
          <w:szCs w:val="24"/>
        </w:rPr>
        <w:t xml:space="preserve"> Estelle Nieuwenhuis</w:t>
      </w:r>
    </w:p>
    <w:p w14:paraId="6EA0A2E2" w14:textId="07B789D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F24090">
        <w:rPr>
          <w:rFonts w:ascii="Arial" w:hAnsi="Arial" w:cs="Arial"/>
          <w:sz w:val="24"/>
          <w:szCs w:val="24"/>
        </w:rPr>
        <w:t>013 753 7081</w:t>
      </w:r>
    </w:p>
    <w:p w14:paraId="74605508" w14:textId="0550EB3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F24090">
        <w:rPr>
          <w:lang w:val="en-US" w:eastAsia="en-ZA"/>
        </w:rPr>
        <w:t>Estelle@a</w:t>
      </w:r>
      <w:r w:rsidR="007F0206">
        <w:rPr>
          <w:lang w:val="en-US" w:eastAsia="en-ZA"/>
        </w:rPr>
        <w:t>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130E1A0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C73236">
        <w:rPr>
          <w:rFonts w:ascii="Calibri" w:hAnsi="Calibri" w:cs="Calibri"/>
          <w:color w:val="000000"/>
          <w:sz w:val="24"/>
          <w:szCs w:val="24"/>
        </w:rPr>
        <w:t>11-10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6804B7D4" w:rsidR="007743FC" w:rsidRPr="00062FE7" w:rsidRDefault="00AC395A" w:rsidP="00AC395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C39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Methods for Soil Health Analysis (Soil Health series, Volume 2)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1814CD18" w:rsidR="007743FC" w:rsidRDefault="003C148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395A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2409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90f9c7c8-dc85-4e83-aff2-331ac0111ae2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0E417-18D1-468F-B75D-6E5C0247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2023-09-26T13:02:00Z</cp:lastPrinted>
  <dcterms:created xsi:type="dcterms:W3CDTF">2023-11-03T11:59:00Z</dcterms:created>
  <dcterms:modified xsi:type="dcterms:W3CDTF">2023-11-03T12:00:00Z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