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7831" w14:textId="77777777" w:rsidR="00C12F37" w:rsidRPr="0086105C" w:rsidRDefault="00C12F37" w:rsidP="0086105C">
      <w:pPr>
        <w:jc w:val="both"/>
        <w:rPr>
          <w:rFonts w:ascii="Arial" w:eastAsia="Times New Roman" w:hAnsi="Arial" w:cs="Arial"/>
          <w:b/>
          <w:bCs/>
          <w:lang w:val="en-ZA" w:eastAsia="en-GB"/>
        </w:rPr>
      </w:pPr>
      <w:r w:rsidRPr="00C12F37">
        <w:rPr>
          <w:rFonts w:ascii="Arial" w:eastAsia="Times New Roman" w:hAnsi="Arial" w:cs="Arial"/>
          <w:b/>
          <w:bCs/>
          <w:lang w:val="en-ZA" w:eastAsia="en-GB"/>
        </w:rPr>
        <w:t xml:space="preserve">ANNEXURE </w:t>
      </w:r>
      <w:r w:rsidRPr="0086105C">
        <w:rPr>
          <w:rFonts w:ascii="Arial" w:eastAsia="Times New Roman" w:hAnsi="Arial" w:cs="Arial"/>
          <w:b/>
          <w:bCs/>
          <w:lang w:val="en-ZA" w:eastAsia="en-GB"/>
        </w:rPr>
        <w:t>A</w:t>
      </w:r>
    </w:p>
    <w:p w14:paraId="1744E7B0" w14:textId="77777777" w:rsidR="00C12F37" w:rsidRPr="0086105C" w:rsidRDefault="00C12F37" w:rsidP="0086105C">
      <w:pPr>
        <w:jc w:val="both"/>
        <w:rPr>
          <w:rFonts w:ascii="Arial" w:eastAsia="Times New Roman" w:hAnsi="Arial" w:cs="Arial"/>
          <w:b/>
          <w:bCs/>
          <w:lang w:val="en-ZA" w:eastAsia="en-GB"/>
        </w:rPr>
      </w:pPr>
    </w:p>
    <w:p w14:paraId="49791664" w14:textId="3C77A1EE" w:rsidR="00C12F37" w:rsidRPr="0086105C" w:rsidRDefault="00C12F37" w:rsidP="0086105C">
      <w:pPr>
        <w:jc w:val="center"/>
        <w:rPr>
          <w:rFonts w:ascii="Arial" w:eastAsia="Times New Roman" w:hAnsi="Arial" w:cs="Arial"/>
          <w:b/>
          <w:bCs/>
          <w:lang w:val="en-ZA" w:eastAsia="en-GB"/>
        </w:rPr>
      </w:pPr>
      <w:r w:rsidRPr="00C12F37">
        <w:rPr>
          <w:rFonts w:ascii="Arial" w:eastAsia="Times New Roman" w:hAnsi="Arial" w:cs="Arial"/>
          <w:b/>
          <w:bCs/>
          <w:lang w:val="en-ZA" w:eastAsia="en-GB"/>
        </w:rPr>
        <w:t>TENDERER’S SDL</w:t>
      </w:r>
      <w:r w:rsidR="00F64863">
        <w:rPr>
          <w:rFonts w:ascii="Arial" w:eastAsia="Times New Roman" w:hAnsi="Arial" w:cs="Arial"/>
          <w:b/>
          <w:bCs/>
          <w:lang w:val="en-ZA" w:eastAsia="en-GB"/>
        </w:rPr>
        <w:t>&amp;I</w:t>
      </w:r>
      <w:r w:rsidRPr="00C12F37">
        <w:rPr>
          <w:rFonts w:ascii="Arial" w:eastAsia="Times New Roman" w:hAnsi="Arial" w:cs="Arial"/>
          <w:b/>
          <w:bCs/>
          <w:lang w:val="en-ZA" w:eastAsia="en-GB"/>
        </w:rPr>
        <w:t xml:space="preserve"> </w:t>
      </w:r>
      <w:r w:rsidR="00026A97">
        <w:rPr>
          <w:rFonts w:ascii="Arial" w:eastAsia="Times New Roman" w:hAnsi="Arial" w:cs="Arial"/>
          <w:b/>
          <w:bCs/>
          <w:lang w:val="en-ZA" w:eastAsia="en-GB"/>
        </w:rPr>
        <w:t>BIDDER ANNEXURE</w:t>
      </w:r>
    </w:p>
    <w:p w14:paraId="455CD0CC" w14:textId="26F1F1D2" w:rsidR="00C12F37" w:rsidRDefault="00C12F37" w:rsidP="0086105C">
      <w:pPr>
        <w:jc w:val="both"/>
        <w:rPr>
          <w:rFonts w:ascii="Arial" w:eastAsia="Times New Roman" w:hAnsi="Arial" w:cs="Arial"/>
          <w:lang w:val="en-ZA" w:eastAsia="en-GB"/>
        </w:rPr>
      </w:pPr>
    </w:p>
    <w:p w14:paraId="2AD6CCD9" w14:textId="77777777" w:rsidR="00D0425D" w:rsidRPr="0086105C" w:rsidRDefault="00D0425D" w:rsidP="0086105C">
      <w:pPr>
        <w:jc w:val="both"/>
        <w:rPr>
          <w:rFonts w:ascii="Arial" w:eastAsia="Times New Roman" w:hAnsi="Arial" w:cs="Arial"/>
          <w:lang w:val="en-ZA" w:eastAsia="en-GB"/>
        </w:rPr>
      </w:pPr>
    </w:p>
    <w:p w14:paraId="07FA3D53" w14:textId="5B6F5D26" w:rsidR="003575D3" w:rsidRDefault="00C12F37" w:rsidP="00AE21B7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 w:rsidRPr="00C12F37">
        <w:rPr>
          <w:rFonts w:ascii="Arial" w:eastAsia="Times New Roman" w:hAnsi="Arial" w:cs="Arial"/>
          <w:lang w:val="en-ZA" w:eastAsia="en-GB"/>
        </w:rPr>
        <w:t xml:space="preserve">The tenderer is </w:t>
      </w:r>
      <w:r w:rsidR="009822B6">
        <w:rPr>
          <w:rFonts w:ascii="Arial" w:eastAsia="Times New Roman" w:hAnsi="Arial" w:cs="Arial"/>
          <w:lang w:val="en-ZA" w:eastAsia="en-GB"/>
        </w:rPr>
        <w:t>to note</w:t>
      </w:r>
      <w:r w:rsidR="004F2CA1">
        <w:rPr>
          <w:rFonts w:ascii="Arial" w:eastAsia="Times New Roman" w:hAnsi="Arial" w:cs="Arial"/>
          <w:lang w:val="en-ZA" w:eastAsia="en-GB"/>
        </w:rPr>
        <w:t xml:space="preserve"> the inclusion of </w:t>
      </w:r>
      <w:r w:rsidR="00AE21B7">
        <w:rPr>
          <w:rFonts w:ascii="Arial" w:eastAsia="Times New Roman" w:hAnsi="Arial" w:cs="Arial"/>
          <w:lang w:val="en-ZA" w:eastAsia="en-GB"/>
        </w:rPr>
        <w:t xml:space="preserve">the Tenderer’s SDL&amp;I Bidder Annexure, </w:t>
      </w:r>
      <w:r w:rsidR="009822B6">
        <w:rPr>
          <w:rFonts w:ascii="Arial" w:eastAsia="Times New Roman" w:hAnsi="Arial" w:cs="Arial"/>
          <w:lang w:val="en-ZA" w:eastAsia="en-GB"/>
        </w:rPr>
        <w:t>specifying</w:t>
      </w:r>
      <w:r w:rsidR="00AE21B7">
        <w:rPr>
          <w:rFonts w:ascii="Arial" w:eastAsia="Times New Roman" w:hAnsi="Arial" w:cs="Arial"/>
          <w:lang w:val="en-ZA" w:eastAsia="en-GB"/>
        </w:rPr>
        <w:t xml:space="preserve"> Eskom’s requirements regarding </w:t>
      </w:r>
      <w:r w:rsidR="00AE21B7" w:rsidRPr="0019676B">
        <w:rPr>
          <w:rFonts w:ascii="Arial" w:eastAsia="Times New Roman" w:hAnsi="Arial" w:cs="Arial"/>
          <w:b/>
          <w:bCs/>
          <w:lang w:val="en-ZA" w:eastAsia="en-GB"/>
        </w:rPr>
        <w:t>objective criteri</w:t>
      </w:r>
      <w:r w:rsidR="009822B6" w:rsidRPr="0019676B">
        <w:rPr>
          <w:rFonts w:ascii="Arial" w:eastAsia="Times New Roman" w:hAnsi="Arial" w:cs="Arial"/>
          <w:b/>
          <w:bCs/>
          <w:lang w:val="en-ZA" w:eastAsia="en-GB"/>
        </w:rPr>
        <w:t>a</w:t>
      </w:r>
      <w:r w:rsidR="00AE21B7">
        <w:rPr>
          <w:rFonts w:ascii="Arial" w:eastAsia="Times New Roman" w:hAnsi="Arial" w:cs="Arial"/>
          <w:lang w:val="en-ZA" w:eastAsia="en-GB"/>
        </w:rPr>
        <w:t>, and included in the Invitation to Tender (</w:t>
      </w:r>
      <w:r w:rsidR="00AE21B7" w:rsidRPr="00AE21B7">
        <w:rPr>
          <w:rFonts w:ascii="Arial" w:eastAsia="Times New Roman" w:hAnsi="Arial" w:cs="Arial"/>
          <w:lang w:val="en-ZA" w:eastAsia="en-GB"/>
        </w:rPr>
        <w:t>enquiry</w:t>
      </w:r>
      <w:r w:rsidR="00AE21B7">
        <w:rPr>
          <w:rFonts w:ascii="Arial" w:eastAsia="Times New Roman" w:hAnsi="Arial" w:cs="Arial"/>
          <w:lang w:val="en-ZA" w:eastAsia="en-GB"/>
        </w:rPr>
        <w:t>)</w:t>
      </w:r>
      <w:r w:rsidR="00AE21B7" w:rsidRPr="00AE21B7">
        <w:rPr>
          <w:rFonts w:ascii="Arial" w:eastAsia="Times New Roman" w:hAnsi="Arial" w:cs="Arial"/>
          <w:lang w:val="en-ZA" w:eastAsia="en-GB"/>
        </w:rPr>
        <w:t xml:space="preserve"> as a </w:t>
      </w:r>
      <w:r w:rsidR="00AE21B7" w:rsidRPr="00AE21B7">
        <w:rPr>
          <w:rFonts w:ascii="Arial" w:eastAsia="Times New Roman" w:hAnsi="Arial" w:cs="Arial"/>
          <w:b/>
          <w:bCs/>
          <w:lang w:val="en-ZA" w:eastAsia="en-GB"/>
        </w:rPr>
        <w:t xml:space="preserve">tender returnable to be submitted before contract </w:t>
      </w:r>
      <w:r w:rsidR="00AE21B7" w:rsidRPr="0019676B">
        <w:rPr>
          <w:rFonts w:ascii="Arial" w:eastAsia="Times New Roman" w:hAnsi="Arial" w:cs="Arial"/>
          <w:lang w:val="en-ZA" w:eastAsia="en-GB"/>
        </w:rPr>
        <w:t xml:space="preserve">award to allow for negotiation and agreement on the targets, </w:t>
      </w:r>
      <w:r w:rsidR="00AE21B7" w:rsidRPr="00AE21B7">
        <w:rPr>
          <w:rFonts w:ascii="Arial" w:eastAsia="Times New Roman" w:hAnsi="Arial" w:cs="Arial"/>
          <w:lang w:val="en-ZA" w:eastAsia="en-GB"/>
        </w:rPr>
        <w:t>where applicable.</w:t>
      </w:r>
    </w:p>
    <w:p w14:paraId="24155C4A" w14:textId="77777777" w:rsidR="00AE21B7" w:rsidRDefault="00AE21B7" w:rsidP="00AE21B7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</w:p>
    <w:p w14:paraId="0B3A43B5" w14:textId="2CB5C178" w:rsidR="005E39CC" w:rsidRDefault="00D51B9A" w:rsidP="00D51B9A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 w:rsidRPr="00D51B9A">
        <w:rPr>
          <w:rFonts w:ascii="Arial" w:eastAsia="Times New Roman" w:hAnsi="Arial" w:cs="Arial"/>
          <w:lang w:val="en-ZA" w:eastAsia="en-GB"/>
        </w:rPr>
        <w:t xml:space="preserve">The inclusion of </w:t>
      </w:r>
      <w:r w:rsidRPr="00341008">
        <w:rPr>
          <w:rFonts w:ascii="Arial" w:eastAsia="Times New Roman" w:hAnsi="Arial" w:cs="Arial"/>
          <w:b/>
          <w:bCs/>
          <w:lang w:val="en-ZA" w:eastAsia="en-GB"/>
        </w:rPr>
        <w:t>objective criteria</w:t>
      </w:r>
      <w:r w:rsidRPr="00D51B9A">
        <w:rPr>
          <w:rFonts w:ascii="Arial" w:eastAsia="Times New Roman" w:hAnsi="Arial" w:cs="Arial"/>
          <w:lang w:val="en-ZA" w:eastAsia="en-GB"/>
        </w:rPr>
        <w:t xml:space="preserve"> in an enquiry is not mandatory but </w:t>
      </w:r>
      <w:r w:rsidRPr="00D51B9A">
        <w:rPr>
          <w:rFonts w:ascii="Arial" w:eastAsia="Times New Roman" w:hAnsi="Arial" w:cs="Arial"/>
          <w:b/>
          <w:bCs/>
          <w:u w:val="single"/>
          <w:lang w:val="en-ZA" w:eastAsia="en-GB"/>
        </w:rPr>
        <w:t>a condition for contract award</w:t>
      </w:r>
      <w:r w:rsidRPr="00D51B9A">
        <w:rPr>
          <w:rFonts w:ascii="Arial" w:eastAsia="Times New Roman" w:hAnsi="Arial" w:cs="Arial"/>
          <w:lang w:val="en-ZA" w:eastAsia="en-GB"/>
        </w:rPr>
        <w:t>,</w:t>
      </w:r>
      <w:r>
        <w:rPr>
          <w:rFonts w:ascii="Arial" w:eastAsia="Times New Roman" w:hAnsi="Arial" w:cs="Arial"/>
          <w:lang w:val="en-ZA" w:eastAsia="en-GB"/>
        </w:rPr>
        <w:t xml:space="preserve"> </w:t>
      </w:r>
      <w:r w:rsidRPr="00D51B9A">
        <w:rPr>
          <w:rFonts w:ascii="Arial" w:eastAsia="Times New Roman" w:hAnsi="Arial" w:cs="Arial"/>
          <w:lang w:val="en-ZA" w:eastAsia="en-GB"/>
        </w:rPr>
        <w:t>and if included, this must align with the requirements of the PPPFA [clause 2(1)(f)] and be clearly</w:t>
      </w:r>
      <w:r>
        <w:rPr>
          <w:rFonts w:ascii="Arial" w:eastAsia="Times New Roman" w:hAnsi="Arial" w:cs="Arial"/>
          <w:lang w:val="en-ZA" w:eastAsia="en-GB"/>
        </w:rPr>
        <w:t xml:space="preserve"> </w:t>
      </w:r>
      <w:r w:rsidRPr="00D51B9A">
        <w:rPr>
          <w:rFonts w:ascii="Arial" w:eastAsia="Times New Roman" w:hAnsi="Arial" w:cs="Arial"/>
          <w:lang w:val="en-ZA" w:eastAsia="en-GB"/>
        </w:rPr>
        <w:t>stated in the enquiry together with the consequence of such objective criteria (i.e., if the tenderer</w:t>
      </w:r>
      <w:r>
        <w:rPr>
          <w:rFonts w:ascii="Arial" w:eastAsia="Times New Roman" w:hAnsi="Arial" w:cs="Arial"/>
          <w:lang w:val="en-ZA" w:eastAsia="en-GB"/>
        </w:rPr>
        <w:t xml:space="preserve"> </w:t>
      </w:r>
      <w:r w:rsidRPr="00D51B9A">
        <w:rPr>
          <w:rFonts w:ascii="Arial" w:eastAsia="Times New Roman" w:hAnsi="Arial" w:cs="Arial"/>
          <w:lang w:val="en-ZA" w:eastAsia="en-GB"/>
        </w:rPr>
        <w:t>does not meet objective criteria; it may lead to the second-ranked tenderer being recommended for</w:t>
      </w:r>
      <w:r>
        <w:rPr>
          <w:rFonts w:ascii="Arial" w:eastAsia="Times New Roman" w:hAnsi="Arial" w:cs="Arial"/>
          <w:lang w:val="en-ZA" w:eastAsia="en-GB"/>
        </w:rPr>
        <w:t xml:space="preserve"> </w:t>
      </w:r>
      <w:r w:rsidRPr="00D51B9A">
        <w:rPr>
          <w:rFonts w:ascii="Arial" w:eastAsia="Times New Roman" w:hAnsi="Arial" w:cs="Arial"/>
          <w:lang w:val="en-ZA" w:eastAsia="en-GB"/>
        </w:rPr>
        <w:t>award).</w:t>
      </w:r>
    </w:p>
    <w:p w14:paraId="051A9B29" w14:textId="22C4F771" w:rsidR="003575D3" w:rsidRDefault="00D51B9A" w:rsidP="00D51B9A">
      <w:pPr>
        <w:spacing w:line="360" w:lineRule="auto"/>
        <w:jc w:val="both"/>
        <w:rPr>
          <w:rFonts w:ascii="Arial" w:hAnsi="Arial" w:cs="Arial"/>
        </w:rPr>
      </w:pPr>
      <w:r w:rsidRPr="00D51B9A">
        <w:rPr>
          <w:rFonts w:ascii="Arial" w:eastAsia="Times New Roman" w:hAnsi="Arial" w:cs="Arial"/>
          <w:lang w:val="en-ZA" w:eastAsia="en-GB"/>
        </w:rPr>
        <w:t xml:space="preserve">Extract from the PPPFA Act of 2000 clause 2(1)(f) </w:t>
      </w:r>
      <w:r w:rsidR="00C124D5">
        <w:rPr>
          <w:rFonts w:ascii="Arial" w:hAnsi="Arial" w:cs="Arial"/>
        </w:rPr>
        <w:t>is</w:t>
      </w:r>
      <w:r w:rsidRPr="00D51B9A">
        <w:rPr>
          <w:rFonts w:ascii="Arial" w:hAnsi="Arial" w:cs="Arial"/>
        </w:rPr>
        <w:t xml:space="preserve"> clearly specified in the invitation to submit a </w:t>
      </w:r>
      <w:r w:rsidR="003575D3" w:rsidRPr="00D51B9A">
        <w:rPr>
          <w:rFonts w:ascii="Arial" w:hAnsi="Arial" w:cs="Arial"/>
        </w:rPr>
        <w:t>tender</w:t>
      </w:r>
      <w:r w:rsidR="00C124D5">
        <w:rPr>
          <w:rFonts w:ascii="Arial" w:hAnsi="Arial" w:cs="Arial"/>
        </w:rPr>
        <w:t xml:space="preserve"> as below:</w:t>
      </w:r>
    </w:p>
    <w:p w14:paraId="0C06CEF4" w14:textId="77777777" w:rsidR="003575D3" w:rsidRDefault="003575D3" w:rsidP="00D51B9A">
      <w:pPr>
        <w:spacing w:line="360" w:lineRule="auto"/>
        <w:jc w:val="both"/>
        <w:rPr>
          <w:rFonts w:ascii="Arial" w:hAnsi="Arial" w:cs="Arial"/>
        </w:rPr>
      </w:pPr>
    </w:p>
    <w:p w14:paraId="3B9E9232" w14:textId="1CACF2F3" w:rsidR="003575D3" w:rsidRDefault="003575D3" w:rsidP="003575D3">
      <w:pPr>
        <w:spacing w:line="360" w:lineRule="auto"/>
        <w:jc w:val="center"/>
        <w:rPr>
          <w:rFonts w:ascii="Arial" w:hAnsi="Arial" w:cs="Arial"/>
        </w:rPr>
      </w:pPr>
      <w:r w:rsidRPr="003575D3">
        <w:rPr>
          <w:rFonts w:ascii="Arial" w:hAnsi="Arial" w:cs="Arial"/>
          <w:noProof/>
        </w:rPr>
        <w:drawing>
          <wp:inline distT="0" distB="0" distL="0" distR="0" wp14:anchorId="33DB9FFF" wp14:editId="78088A60">
            <wp:extent cx="7346950" cy="680720"/>
            <wp:effectExtent l="19050" t="19050" r="25400" b="241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0" cy="680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E7C2B91" w14:textId="64917767" w:rsidR="00D51B9A" w:rsidRPr="00D51B9A" w:rsidRDefault="00D51B9A" w:rsidP="00D51B9A">
      <w:pPr>
        <w:spacing w:line="360" w:lineRule="auto"/>
        <w:jc w:val="both"/>
        <w:rPr>
          <w:rFonts w:ascii="Arial" w:eastAsia="Times New Roman" w:hAnsi="Arial" w:cs="Arial"/>
          <w:lang w:val="en-ZA" w:eastAsia="en-GB"/>
        </w:rPr>
      </w:pPr>
      <w:r w:rsidRPr="00D51B9A">
        <w:rPr>
          <w:rFonts w:ascii="Arial" w:hAnsi="Arial" w:cs="Arial"/>
        </w:rPr>
        <w:t>and</w:t>
      </w:r>
    </w:p>
    <w:p w14:paraId="08575FFD" w14:textId="3D15DDF4" w:rsidR="00D51B9A" w:rsidRDefault="00D51B9A" w:rsidP="003575D3">
      <w:pPr>
        <w:spacing w:line="360" w:lineRule="auto"/>
        <w:rPr>
          <w:rFonts w:ascii="Arial" w:eastAsia="Times New Roman" w:hAnsi="Arial" w:cs="Arial"/>
          <w:lang w:val="en-ZA" w:eastAsia="en-GB"/>
        </w:rPr>
      </w:pPr>
      <w:r w:rsidRPr="003575D3">
        <w:rPr>
          <w:rFonts w:ascii="Arial" w:eastAsia="Times New Roman" w:hAnsi="Arial" w:cs="Arial"/>
          <w:b/>
          <w:bCs/>
          <w:lang w:val="en-ZA" w:eastAsia="en-GB"/>
        </w:rPr>
        <w:t>Link to the PPPFA Act of 2000 available on National Treasury website:</w:t>
      </w:r>
      <w:r>
        <w:rPr>
          <w:rFonts w:ascii="Arial" w:eastAsia="Times New Roman" w:hAnsi="Arial" w:cs="Arial"/>
          <w:lang w:val="en-ZA" w:eastAsia="en-GB"/>
        </w:rPr>
        <w:t xml:space="preserve"> </w:t>
      </w:r>
      <w:hyperlink r:id="rId8" w:history="1">
        <w:r w:rsidRPr="00C05A8A">
          <w:rPr>
            <w:rStyle w:val="Hyperlink"/>
            <w:rFonts w:ascii="Arial" w:eastAsia="Times New Roman" w:hAnsi="Arial" w:cs="Arial"/>
            <w:lang w:val="en-ZA" w:eastAsia="en-GB"/>
          </w:rPr>
          <w:t>https://www.treasury.gov.za/legislation/pfma/supplychain/PPPFA.pdf</w:t>
        </w:r>
      </w:hyperlink>
    </w:p>
    <w:p w14:paraId="52973967" w14:textId="2E34189F" w:rsidR="006C0ABD" w:rsidRDefault="00BF3240" w:rsidP="00BF32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CDE2E34" w14:textId="1F97E006" w:rsidR="00341008" w:rsidRPr="000B1219" w:rsidRDefault="00341008" w:rsidP="005110B2">
      <w:pPr>
        <w:pStyle w:val="ListParagraph"/>
        <w:numPr>
          <w:ilvl w:val="0"/>
          <w:numId w:val="8"/>
        </w:numPr>
        <w:spacing w:before="60" w:after="60" w:line="360" w:lineRule="auto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0B1219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Objective Criteria: </w:t>
      </w:r>
      <w:r w:rsidRPr="00E07D10">
        <w:rPr>
          <w:rFonts w:ascii="Arial" w:hAnsi="Arial" w:cs="Arial"/>
          <w:b/>
          <w:sz w:val="28"/>
          <w:szCs w:val="28"/>
          <w:lang w:val="en-US"/>
        </w:rPr>
        <w:t>Local Content and Production</w:t>
      </w:r>
    </w:p>
    <w:p w14:paraId="0D7FF4E8" w14:textId="77777777" w:rsidR="00341008" w:rsidRPr="00341008" w:rsidRDefault="00341008" w:rsidP="005110B2">
      <w:pPr>
        <w:numPr>
          <w:ilvl w:val="0"/>
          <w:numId w:val="9"/>
        </w:numPr>
        <w:spacing w:before="60" w:after="60" w:line="360" w:lineRule="auto"/>
        <w:rPr>
          <w:rFonts w:ascii="Arial" w:hAnsi="Arial" w:cs="Arial"/>
          <w:b/>
          <w:u w:val="single"/>
        </w:rPr>
      </w:pPr>
      <w:r w:rsidRPr="00341008">
        <w:rPr>
          <w:rFonts w:ascii="Arial" w:hAnsi="Arial" w:cs="Arial"/>
          <w:b/>
          <w:u w:val="single"/>
        </w:rPr>
        <w:t>Designated Sectors:</w:t>
      </w:r>
    </w:p>
    <w:p w14:paraId="5E0A0DE5" w14:textId="48C0FE4A" w:rsidR="00DE7EFF" w:rsidRPr="00DE7EFF" w:rsidRDefault="00DE7EFF" w:rsidP="00026A97">
      <w:pPr>
        <w:spacing w:line="360" w:lineRule="auto"/>
        <w:jc w:val="both"/>
        <w:rPr>
          <w:rFonts w:ascii="Arial" w:hAnsi="Arial" w:cs="Arial"/>
          <w:bCs/>
          <w:lang w:val="en-ZA"/>
        </w:rPr>
      </w:pPr>
      <w:r w:rsidRPr="00DE7EFF">
        <w:rPr>
          <w:rFonts w:ascii="Arial" w:hAnsi="Arial" w:cs="Arial"/>
          <w:bCs/>
          <w:lang w:val="en-ZA"/>
        </w:rPr>
        <w:t xml:space="preserve">As </w:t>
      </w:r>
      <w:r w:rsidRPr="00DE7EFF">
        <w:rPr>
          <w:rFonts w:ascii="Arial" w:eastAsia="Times New Roman" w:hAnsi="Arial" w:cs="Arial"/>
          <w:lang w:val="en-ZA" w:eastAsia="en-GB"/>
        </w:rPr>
        <w:t>part</w:t>
      </w:r>
      <w:r w:rsidRPr="00DE7EFF">
        <w:rPr>
          <w:rFonts w:ascii="Arial" w:hAnsi="Arial" w:cs="Arial"/>
          <w:bCs/>
          <w:lang w:val="en-ZA"/>
        </w:rPr>
        <w:t xml:space="preserve"> of the government’s industrialisation policy, the government adopted the designation of</w:t>
      </w:r>
      <w:r>
        <w:rPr>
          <w:rFonts w:ascii="Arial" w:hAnsi="Arial" w:cs="Arial"/>
          <w:bCs/>
          <w:lang w:val="en-ZA"/>
        </w:rPr>
        <w:t xml:space="preserve"> </w:t>
      </w:r>
      <w:r w:rsidRPr="00DE7EFF">
        <w:rPr>
          <w:rFonts w:ascii="Arial" w:hAnsi="Arial" w:cs="Arial"/>
          <w:bCs/>
          <w:lang w:val="en-ZA"/>
        </w:rPr>
        <w:t>sectors and products for local production and content to be supported through public procurement.</w:t>
      </w:r>
      <w:r>
        <w:rPr>
          <w:rFonts w:ascii="Arial" w:hAnsi="Arial" w:cs="Arial"/>
          <w:bCs/>
          <w:lang w:val="en-ZA"/>
        </w:rPr>
        <w:t xml:space="preserve"> </w:t>
      </w:r>
      <w:r w:rsidRPr="00DE7EFF">
        <w:rPr>
          <w:rFonts w:ascii="Arial" w:hAnsi="Arial" w:cs="Arial"/>
          <w:bCs/>
          <w:lang w:val="en-ZA"/>
        </w:rPr>
        <w:t>Procurement of locally manufactured products applies to all procurement irrespective of the value</w:t>
      </w:r>
      <w:r>
        <w:rPr>
          <w:rFonts w:ascii="Arial" w:hAnsi="Arial" w:cs="Arial"/>
          <w:bCs/>
          <w:lang w:val="en-ZA"/>
        </w:rPr>
        <w:t xml:space="preserve"> </w:t>
      </w:r>
      <w:r w:rsidRPr="00DE7EFF">
        <w:rPr>
          <w:rFonts w:ascii="Arial" w:hAnsi="Arial" w:cs="Arial"/>
          <w:bCs/>
          <w:lang w:val="en-ZA"/>
        </w:rPr>
        <w:t>and method of procurement where suppliers are invited.</w:t>
      </w:r>
    </w:p>
    <w:p w14:paraId="00E30F53" w14:textId="2263832A" w:rsidR="00341008" w:rsidRDefault="00DE7EFF" w:rsidP="00071622">
      <w:pPr>
        <w:spacing w:line="360" w:lineRule="auto"/>
        <w:jc w:val="both"/>
        <w:rPr>
          <w:rFonts w:ascii="Arial" w:hAnsi="Arial" w:cs="Arial"/>
          <w:bCs/>
          <w:lang w:val="en-ZA"/>
        </w:rPr>
      </w:pPr>
      <w:r w:rsidRPr="00DE7EFF">
        <w:rPr>
          <w:rFonts w:ascii="Arial" w:hAnsi="Arial" w:cs="Arial"/>
          <w:bCs/>
          <w:lang w:val="en-ZA"/>
        </w:rPr>
        <w:t>Tenders in respect of goods or services that have been designated for local production and content,</w:t>
      </w:r>
      <w:r>
        <w:rPr>
          <w:rFonts w:ascii="Arial" w:hAnsi="Arial" w:cs="Arial"/>
          <w:bCs/>
          <w:lang w:val="en-ZA"/>
        </w:rPr>
        <w:t xml:space="preserve"> </w:t>
      </w:r>
      <w:r w:rsidRPr="00DE7EFF">
        <w:rPr>
          <w:rFonts w:ascii="Arial" w:hAnsi="Arial" w:cs="Arial"/>
          <w:b/>
          <w:bCs/>
          <w:lang w:val="en-ZA"/>
        </w:rPr>
        <w:t xml:space="preserve">must </w:t>
      </w:r>
      <w:r w:rsidRPr="00DE7EFF">
        <w:rPr>
          <w:rFonts w:ascii="Arial" w:hAnsi="Arial" w:cs="Arial"/>
          <w:bCs/>
          <w:lang w:val="en-ZA"/>
        </w:rPr>
        <w:t xml:space="preserve">contain a specific bidding condition </w:t>
      </w:r>
      <w:r w:rsidRPr="00DE7EFF">
        <w:rPr>
          <w:rFonts w:ascii="Arial" w:hAnsi="Arial" w:cs="Arial"/>
          <w:b/>
          <w:lang w:val="en-ZA"/>
        </w:rPr>
        <w:t>(treated as an objective criterion)</w:t>
      </w:r>
      <w:r w:rsidRPr="00DE7EFF">
        <w:rPr>
          <w:rFonts w:ascii="Arial" w:hAnsi="Arial" w:cs="Arial"/>
          <w:bCs/>
          <w:lang w:val="en-ZA"/>
        </w:rPr>
        <w:t xml:space="preserve"> that only locally produced</w:t>
      </w:r>
      <w:r>
        <w:rPr>
          <w:rFonts w:ascii="Arial" w:hAnsi="Arial" w:cs="Arial"/>
          <w:bCs/>
          <w:lang w:val="en-ZA"/>
        </w:rPr>
        <w:t xml:space="preserve"> </w:t>
      </w:r>
      <w:r w:rsidRPr="00DE7EFF">
        <w:rPr>
          <w:rFonts w:ascii="Arial" w:hAnsi="Arial" w:cs="Arial"/>
          <w:bCs/>
          <w:lang w:val="en-ZA"/>
        </w:rPr>
        <w:t>goods or services with a stipulated minimum threshold for local production and content will be</w:t>
      </w:r>
      <w:r>
        <w:rPr>
          <w:rFonts w:ascii="Arial" w:hAnsi="Arial" w:cs="Arial"/>
          <w:bCs/>
          <w:lang w:val="en-ZA"/>
        </w:rPr>
        <w:t xml:space="preserve"> </w:t>
      </w:r>
      <w:r w:rsidRPr="00DE7EFF">
        <w:rPr>
          <w:rFonts w:ascii="Arial" w:hAnsi="Arial" w:cs="Arial"/>
          <w:bCs/>
          <w:lang w:val="en-ZA"/>
        </w:rPr>
        <w:t>considered as a condition for contract award</w:t>
      </w:r>
      <w:r w:rsidR="00071622">
        <w:rPr>
          <w:rFonts w:ascii="Arial" w:hAnsi="Arial" w:cs="Arial"/>
          <w:bCs/>
          <w:lang w:val="en-ZA"/>
        </w:rPr>
        <w:t>.</w:t>
      </w:r>
    </w:p>
    <w:p w14:paraId="5EABADC9" w14:textId="77777777" w:rsidR="00071622" w:rsidRPr="00341008" w:rsidRDefault="00071622" w:rsidP="00071622">
      <w:pPr>
        <w:spacing w:line="360" w:lineRule="auto"/>
        <w:jc w:val="both"/>
        <w:rPr>
          <w:rFonts w:ascii="Arial" w:hAnsi="Arial" w:cs="Arial"/>
          <w:bCs/>
          <w:lang w:val="en-Z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516"/>
        <w:gridCol w:w="6520"/>
      </w:tblGrid>
      <w:tr w:rsidR="00341008" w:rsidRPr="00341008" w14:paraId="1DB6603C" w14:textId="77777777" w:rsidTr="000B1219">
        <w:trPr>
          <w:jc w:val="center"/>
        </w:trPr>
        <w:tc>
          <w:tcPr>
            <w:tcW w:w="6516" w:type="dxa"/>
            <w:shd w:val="clear" w:color="auto" w:fill="DEEAF6" w:themeFill="accent5" w:themeFillTint="33"/>
          </w:tcPr>
          <w:p w14:paraId="21CF889E" w14:textId="77777777" w:rsidR="00341008" w:rsidRPr="00341008" w:rsidRDefault="00341008" w:rsidP="00071622">
            <w:pPr>
              <w:spacing w:line="360" w:lineRule="auto"/>
              <w:rPr>
                <w:rFonts w:ascii="Arial" w:hAnsi="Arial" w:cs="Arial"/>
                <w:bCs/>
                <w:lang w:val="en-ZA"/>
              </w:rPr>
            </w:pPr>
            <w:r w:rsidRPr="00341008">
              <w:rPr>
                <w:rFonts w:ascii="Arial" w:hAnsi="Arial" w:cs="Arial"/>
                <w:bCs/>
                <w:lang w:val="en-ZA"/>
              </w:rPr>
              <w:t>Industry/sector/sub-sector</w:t>
            </w:r>
          </w:p>
        </w:tc>
        <w:tc>
          <w:tcPr>
            <w:tcW w:w="6520" w:type="dxa"/>
            <w:shd w:val="clear" w:color="auto" w:fill="DEEAF6" w:themeFill="accent5" w:themeFillTint="33"/>
          </w:tcPr>
          <w:p w14:paraId="31B8E859" w14:textId="77777777" w:rsidR="00341008" w:rsidRPr="00341008" w:rsidRDefault="00341008" w:rsidP="00071622">
            <w:pPr>
              <w:spacing w:line="360" w:lineRule="auto"/>
              <w:rPr>
                <w:rFonts w:ascii="Arial" w:hAnsi="Arial" w:cs="Arial"/>
                <w:bCs/>
                <w:lang w:val="en-ZA"/>
              </w:rPr>
            </w:pPr>
            <w:r w:rsidRPr="00341008">
              <w:rPr>
                <w:rFonts w:ascii="Arial" w:hAnsi="Arial" w:cs="Arial"/>
                <w:bCs/>
                <w:lang w:val="en-ZA"/>
              </w:rPr>
              <w:t>Minimum threshold for local content</w:t>
            </w:r>
          </w:p>
        </w:tc>
      </w:tr>
      <w:tr w:rsidR="00341008" w:rsidRPr="00341008" w14:paraId="3725DBB7" w14:textId="77777777" w:rsidTr="000B1219">
        <w:trPr>
          <w:jc w:val="center"/>
        </w:trPr>
        <w:tc>
          <w:tcPr>
            <w:tcW w:w="6516" w:type="dxa"/>
          </w:tcPr>
          <w:p w14:paraId="78969AF9" w14:textId="77777777" w:rsidR="00341008" w:rsidRPr="00341008" w:rsidRDefault="00341008" w:rsidP="00071622">
            <w:pPr>
              <w:spacing w:line="360" w:lineRule="auto"/>
              <w:rPr>
                <w:rFonts w:ascii="Arial" w:hAnsi="Arial" w:cs="Arial"/>
                <w:bCs/>
                <w:lang w:val="en-ZA"/>
              </w:rPr>
            </w:pPr>
            <w:r w:rsidRPr="00341008">
              <w:rPr>
                <w:rFonts w:ascii="Arial" w:hAnsi="Arial" w:cs="Arial"/>
                <w:bCs/>
                <w:lang w:val="en-ZA"/>
              </w:rPr>
              <w:t>*Textile, Clothing, Leather, and Footwear</w:t>
            </w:r>
          </w:p>
        </w:tc>
        <w:tc>
          <w:tcPr>
            <w:tcW w:w="6520" w:type="dxa"/>
          </w:tcPr>
          <w:p w14:paraId="44C43B5B" w14:textId="77777777" w:rsidR="00341008" w:rsidRPr="00341008" w:rsidRDefault="00341008" w:rsidP="00071622">
            <w:pPr>
              <w:spacing w:line="360" w:lineRule="auto"/>
              <w:rPr>
                <w:rFonts w:ascii="Arial" w:hAnsi="Arial" w:cs="Arial"/>
                <w:bCs/>
                <w:lang w:val="en-ZA"/>
              </w:rPr>
            </w:pPr>
            <w:r w:rsidRPr="00341008">
              <w:rPr>
                <w:rFonts w:ascii="Arial" w:hAnsi="Arial" w:cs="Arial"/>
                <w:bCs/>
                <w:lang w:val="en-ZA"/>
              </w:rPr>
              <w:t>100%</w:t>
            </w:r>
          </w:p>
        </w:tc>
      </w:tr>
      <w:tr w:rsidR="00341008" w:rsidRPr="00341008" w14:paraId="7864DB4B" w14:textId="77777777" w:rsidTr="000B1219">
        <w:trPr>
          <w:jc w:val="center"/>
        </w:trPr>
        <w:tc>
          <w:tcPr>
            <w:tcW w:w="6516" w:type="dxa"/>
          </w:tcPr>
          <w:p w14:paraId="426AC429" w14:textId="77777777" w:rsidR="00341008" w:rsidRPr="00341008" w:rsidRDefault="00341008" w:rsidP="00071622">
            <w:pPr>
              <w:spacing w:line="360" w:lineRule="auto"/>
              <w:rPr>
                <w:rFonts w:ascii="Arial" w:hAnsi="Arial" w:cs="Arial"/>
                <w:bCs/>
                <w:lang w:val="en-ZA"/>
              </w:rPr>
            </w:pPr>
            <w:r w:rsidRPr="00341008">
              <w:rPr>
                <w:rFonts w:ascii="Arial" w:hAnsi="Arial" w:cs="Arial"/>
                <w:bCs/>
                <w:lang w:val="en-ZA"/>
              </w:rPr>
              <w:t>**Plastic Pipes</w:t>
            </w:r>
          </w:p>
        </w:tc>
        <w:tc>
          <w:tcPr>
            <w:tcW w:w="6520" w:type="dxa"/>
          </w:tcPr>
          <w:p w14:paraId="14F43A14" w14:textId="77777777" w:rsidR="00341008" w:rsidRPr="00341008" w:rsidRDefault="00341008" w:rsidP="00071622">
            <w:pPr>
              <w:spacing w:line="360" w:lineRule="auto"/>
              <w:rPr>
                <w:rFonts w:ascii="Arial" w:hAnsi="Arial" w:cs="Arial"/>
                <w:bCs/>
                <w:lang w:val="en-ZA"/>
              </w:rPr>
            </w:pPr>
            <w:r w:rsidRPr="00341008">
              <w:rPr>
                <w:rFonts w:ascii="Arial" w:hAnsi="Arial" w:cs="Arial"/>
                <w:bCs/>
                <w:lang w:val="en-ZA"/>
              </w:rPr>
              <w:t>100%</w:t>
            </w:r>
          </w:p>
        </w:tc>
      </w:tr>
    </w:tbl>
    <w:p w14:paraId="503DB7C4" w14:textId="77777777" w:rsidR="00341008" w:rsidRPr="00341008" w:rsidRDefault="00341008" w:rsidP="00071622">
      <w:pPr>
        <w:spacing w:line="360" w:lineRule="auto"/>
        <w:rPr>
          <w:rFonts w:ascii="Arial" w:hAnsi="Arial" w:cs="Arial"/>
          <w:bCs/>
        </w:rPr>
      </w:pPr>
    </w:p>
    <w:p w14:paraId="6ABFCD37" w14:textId="77777777" w:rsidR="00341008" w:rsidRPr="00341008" w:rsidRDefault="00341008" w:rsidP="00341008">
      <w:pPr>
        <w:spacing w:before="60" w:after="60" w:line="360" w:lineRule="auto"/>
        <w:rPr>
          <w:rFonts w:ascii="Arial" w:hAnsi="Arial" w:cs="Arial"/>
          <w:bCs/>
        </w:rPr>
      </w:pPr>
      <w:r w:rsidRPr="00341008">
        <w:rPr>
          <w:rFonts w:ascii="Arial" w:hAnsi="Arial" w:cs="Arial"/>
          <w:bCs/>
        </w:rPr>
        <w:t>*Applies to Personal Protective Equipment (PPE) to be used on site.</w:t>
      </w:r>
    </w:p>
    <w:p w14:paraId="77F7CCD9" w14:textId="5B30B037" w:rsidR="00341008" w:rsidRPr="00341008" w:rsidRDefault="00341008" w:rsidP="00341008">
      <w:pPr>
        <w:spacing w:before="60" w:after="60" w:line="360" w:lineRule="auto"/>
        <w:rPr>
          <w:rFonts w:ascii="Arial" w:hAnsi="Arial" w:cs="Arial"/>
          <w:bCs/>
          <w:lang w:val="en-US"/>
        </w:rPr>
      </w:pPr>
      <w:r w:rsidRPr="00341008">
        <w:rPr>
          <w:rFonts w:ascii="Arial" w:hAnsi="Arial" w:cs="Arial"/>
          <w:bCs/>
          <w:lang w:val="en-ZA"/>
        </w:rPr>
        <w:t>**Applies to piping commonly used in Boreholes, e.g., polyvinyl chloride (PVC) piping.</w:t>
      </w:r>
    </w:p>
    <w:p w14:paraId="11D84A09" w14:textId="1A705FA3" w:rsidR="00071622" w:rsidRPr="00AE01B5" w:rsidRDefault="00341008" w:rsidP="00DE7EFF">
      <w:pPr>
        <w:spacing w:before="60" w:after="60" w:line="360" w:lineRule="auto"/>
        <w:rPr>
          <w:rFonts w:ascii="Arial" w:hAnsi="Arial" w:cs="Arial"/>
          <w:b/>
          <w:bCs/>
          <w:lang w:val="en-US"/>
        </w:rPr>
      </w:pPr>
      <w:r w:rsidRPr="00341008">
        <w:rPr>
          <w:rFonts w:ascii="Arial" w:hAnsi="Arial" w:cs="Arial"/>
          <w:b/>
          <w:u w:val="single"/>
          <w:lang w:val="en-US"/>
        </w:rPr>
        <w:t>NOTE</w:t>
      </w:r>
      <w:r w:rsidRPr="00341008">
        <w:rPr>
          <w:rFonts w:ascii="Arial" w:hAnsi="Arial" w:cs="Arial"/>
          <w:u w:val="single"/>
          <w:lang w:val="en-US"/>
        </w:rPr>
        <w:t>:</w:t>
      </w:r>
      <w:r w:rsidRPr="00341008">
        <w:rPr>
          <w:rFonts w:ascii="Arial" w:hAnsi="Arial" w:cs="Arial"/>
          <w:lang w:val="en-US"/>
        </w:rPr>
        <w:t xml:space="preserve"> </w:t>
      </w:r>
      <w:r w:rsidR="00AE01B5" w:rsidRPr="00AE01B5">
        <w:rPr>
          <w:rFonts w:ascii="Arial" w:hAnsi="Arial" w:cs="Arial"/>
          <w:b/>
          <w:bCs/>
          <w:lang w:val="en-US"/>
        </w:rPr>
        <w:t xml:space="preserve">The </w:t>
      </w:r>
      <w:r w:rsidRPr="00341008">
        <w:rPr>
          <w:rFonts w:ascii="Arial" w:hAnsi="Arial" w:cs="Arial"/>
          <w:b/>
          <w:bCs/>
          <w:lang w:val="en-US"/>
        </w:rPr>
        <w:t>Tender Returnable</w:t>
      </w:r>
      <w:r w:rsidR="00A946E4" w:rsidRPr="00AE01B5">
        <w:rPr>
          <w:rFonts w:ascii="Arial" w:hAnsi="Arial" w:cs="Arial"/>
          <w:b/>
          <w:bCs/>
          <w:lang w:val="en-US"/>
        </w:rPr>
        <w:t xml:space="preserve"> Annexures required to be submitted with tender</w:t>
      </w:r>
      <w:r w:rsidR="00071622" w:rsidRPr="00AE01B5">
        <w:rPr>
          <w:rFonts w:ascii="Arial" w:hAnsi="Arial" w:cs="Arial"/>
          <w:b/>
          <w:bCs/>
          <w:lang w:val="en-US"/>
        </w:rPr>
        <w:t xml:space="preserve"> are:</w:t>
      </w:r>
    </w:p>
    <w:p w14:paraId="7DB4CD9B" w14:textId="77777777" w:rsidR="00071622" w:rsidRDefault="00DE7EFF" w:rsidP="00DE7EFF">
      <w:pPr>
        <w:pStyle w:val="ListParagraph"/>
        <w:numPr>
          <w:ilvl w:val="0"/>
          <w:numId w:val="12"/>
        </w:numPr>
        <w:spacing w:before="60" w:after="60" w:line="360" w:lineRule="auto"/>
        <w:rPr>
          <w:rFonts w:ascii="Arial" w:hAnsi="Arial" w:cs="Arial"/>
          <w:bCs/>
          <w:lang w:val="en-ZA"/>
        </w:rPr>
      </w:pPr>
      <w:r w:rsidRPr="00071622">
        <w:rPr>
          <w:rFonts w:ascii="Arial" w:hAnsi="Arial" w:cs="Arial"/>
          <w:bCs/>
          <w:lang w:val="en-ZA"/>
        </w:rPr>
        <w:t xml:space="preserve">The </w:t>
      </w:r>
      <w:r w:rsidRPr="00071622">
        <w:rPr>
          <w:rFonts w:ascii="Arial" w:hAnsi="Arial" w:cs="Arial"/>
          <w:bCs/>
          <w:u w:val="single"/>
          <w:lang w:val="en-ZA"/>
        </w:rPr>
        <w:t>Declaration Certificate for Local Content (SBD 6.2)</w:t>
      </w:r>
      <w:r w:rsidRPr="00071622">
        <w:rPr>
          <w:rFonts w:ascii="Arial" w:hAnsi="Arial" w:cs="Arial"/>
          <w:bCs/>
          <w:lang w:val="en-ZA"/>
        </w:rPr>
        <w:t xml:space="preserve"> and</w:t>
      </w:r>
    </w:p>
    <w:p w14:paraId="6AFE53C0" w14:textId="3D9AFBA5" w:rsidR="00341008" w:rsidRPr="00071622" w:rsidRDefault="00DE7EFF" w:rsidP="00DE7EFF">
      <w:pPr>
        <w:pStyle w:val="ListParagraph"/>
        <w:numPr>
          <w:ilvl w:val="0"/>
          <w:numId w:val="12"/>
        </w:numPr>
        <w:spacing w:before="60" w:after="60" w:line="360" w:lineRule="auto"/>
        <w:rPr>
          <w:rFonts w:ascii="Arial" w:hAnsi="Arial" w:cs="Arial"/>
          <w:bCs/>
          <w:lang w:val="en-ZA"/>
        </w:rPr>
      </w:pPr>
      <w:r w:rsidRPr="00071622">
        <w:rPr>
          <w:rFonts w:ascii="Arial" w:hAnsi="Arial" w:cs="Arial"/>
          <w:bCs/>
          <w:lang w:val="en-ZA"/>
        </w:rPr>
        <w:t xml:space="preserve">corresponding </w:t>
      </w:r>
      <w:r w:rsidRPr="00071622">
        <w:rPr>
          <w:rFonts w:ascii="Arial" w:hAnsi="Arial" w:cs="Arial"/>
          <w:bCs/>
          <w:u w:val="single"/>
          <w:lang w:val="en-ZA"/>
        </w:rPr>
        <w:t>annexures C, D and E</w:t>
      </w:r>
      <w:r w:rsidRPr="00071622">
        <w:rPr>
          <w:rFonts w:ascii="Arial" w:hAnsi="Arial" w:cs="Arial"/>
          <w:bCs/>
          <w:lang w:val="en-ZA"/>
        </w:rPr>
        <w:t xml:space="preserve"> must be completed and duly signed. </w:t>
      </w:r>
    </w:p>
    <w:p w14:paraId="0AA5E2AF" w14:textId="031D4034" w:rsidR="00071622" w:rsidRDefault="00341008" w:rsidP="00071622">
      <w:pPr>
        <w:spacing w:before="60" w:after="60" w:line="360" w:lineRule="auto"/>
        <w:rPr>
          <w:rFonts w:ascii="Arial" w:hAnsi="Arial" w:cs="Arial"/>
          <w:bCs/>
          <w:lang w:val="en-ZA"/>
        </w:rPr>
      </w:pPr>
      <w:r w:rsidRPr="00341008">
        <w:rPr>
          <w:rFonts w:ascii="Arial" w:hAnsi="Arial" w:cs="Arial"/>
          <w:bCs/>
          <w:lang w:val="en-ZA"/>
        </w:rPr>
        <w:t xml:space="preserve">The above </w:t>
      </w:r>
      <w:r w:rsidRPr="00341008">
        <w:rPr>
          <w:rFonts w:ascii="Arial" w:hAnsi="Arial" w:cs="Arial"/>
          <w:b/>
          <w:lang w:val="en-ZA"/>
        </w:rPr>
        <w:t>MUST</w:t>
      </w:r>
      <w:r w:rsidRPr="00341008">
        <w:rPr>
          <w:rFonts w:ascii="Arial" w:hAnsi="Arial" w:cs="Arial"/>
          <w:bCs/>
          <w:lang w:val="en-ZA"/>
        </w:rPr>
        <w:t xml:space="preserve"> be completed, duly </w:t>
      </w:r>
      <w:r w:rsidR="005110B2" w:rsidRPr="00341008">
        <w:rPr>
          <w:rFonts w:ascii="Arial" w:hAnsi="Arial" w:cs="Arial"/>
          <w:bCs/>
          <w:lang w:val="en-ZA"/>
        </w:rPr>
        <w:t>signed,</w:t>
      </w:r>
      <w:r w:rsidRPr="00341008">
        <w:rPr>
          <w:rFonts w:ascii="Arial" w:hAnsi="Arial" w:cs="Arial"/>
          <w:bCs/>
          <w:lang w:val="en-ZA"/>
        </w:rPr>
        <w:t xml:space="preserve"> and submitted by the bidder. </w:t>
      </w:r>
    </w:p>
    <w:p w14:paraId="1434B694" w14:textId="77777777" w:rsidR="00071622" w:rsidRDefault="00071622">
      <w:pPr>
        <w:rPr>
          <w:rFonts w:ascii="Arial" w:hAnsi="Arial" w:cs="Arial"/>
          <w:bCs/>
          <w:lang w:val="en-ZA"/>
        </w:rPr>
      </w:pPr>
      <w:r>
        <w:rPr>
          <w:rFonts w:ascii="Arial" w:hAnsi="Arial" w:cs="Arial"/>
          <w:bCs/>
          <w:lang w:val="en-ZA"/>
        </w:rPr>
        <w:br w:type="page"/>
      </w:r>
    </w:p>
    <w:p w14:paraId="18F61032" w14:textId="4676EB24" w:rsidR="00341008" w:rsidRPr="00AE2FE5" w:rsidRDefault="00A946E4" w:rsidP="00AE2FE5">
      <w:pPr>
        <w:pStyle w:val="ListParagraph"/>
        <w:numPr>
          <w:ilvl w:val="0"/>
          <w:numId w:val="11"/>
        </w:numPr>
        <w:spacing w:before="60" w:after="60" w:line="360" w:lineRule="auto"/>
        <w:rPr>
          <w:rFonts w:ascii="Arial" w:hAnsi="Arial" w:cs="Arial"/>
          <w:b/>
          <w:u w:val="single"/>
          <w:lang w:val="en-ZA"/>
        </w:rPr>
      </w:pPr>
      <w:r>
        <w:rPr>
          <w:rFonts w:ascii="Arial" w:hAnsi="Arial" w:cs="Arial"/>
          <w:b/>
          <w:u w:val="single"/>
        </w:rPr>
        <w:lastRenderedPageBreak/>
        <w:t>Process when requested exemptions letters</w:t>
      </w:r>
    </w:p>
    <w:p w14:paraId="32D7FF9E" w14:textId="011D996D" w:rsidR="00341008" w:rsidRDefault="00341008" w:rsidP="00341008">
      <w:pPr>
        <w:spacing w:before="60" w:after="60" w:line="360" w:lineRule="auto"/>
        <w:rPr>
          <w:rFonts w:ascii="Arial" w:hAnsi="Arial" w:cs="Arial"/>
        </w:rPr>
      </w:pPr>
      <w:bookmarkStart w:id="0" w:name="_Hlk125715194"/>
      <w:r w:rsidRPr="00341008">
        <w:rPr>
          <w:rFonts w:ascii="Arial" w:hAnsi="Arial" w:cs="Arial"/>
        </w:rPr>
        <w:t xml:space="preserve">If the required input materials cannot be wholly sourced from South Africa, bidders should request and obtain a written exemption letter from the </w:t>
      </w:r>
      <w:r w:rsidR="005110B2">
        <w:rPr>
          <w:rFonts w:ascii="Arial" w:hAnsi="Arial" w:cs="Arial"/>
        </w:rPr>
        <w:t>dtic</w:t>
      </w:r>
      <w:r w:rsidRPr="00341008">
        <w:rPr>
          <w:rFonts w:ascii="Arial" w:hAnsi="Arial" w:cs="Arial"/>
        </w:rPr>
        <w:t xml:space="preserve">. The exemption letter should then be submitted, and approvals obtained prior to the closure of the bid(s). The </w:t>
      </w:r>
      <w:r w:rsidR="005110B2">
        <w:rPr>
          <w:rFonts w:ascii="Arial" w:hAnsi="Arial" w:cs="Arial"/>
        </w:rPr>
        <w:t>dtic</w:t>
      </w:r>
      <w:r w:rsidRPr="00341008">
        <w:rPr>
          <w:rFonts w:ascii="Arial" w:hAnsi="Arial" w:cs="Arial"/>
        </w:rPr>
        <w:t xml:space="preserve"> together with the procuring organ of state and the winning bidder will consider the exemption on a case-by-case basis.</w:t>
      </w:r>
    </w:p>
    <w:p w14:paraId="1A0EFA2E" w14:textId="77777777" w:rsidR="00A946E4" w:rsidRDefault="00A946E4" w:rsidP="00A946E4">
      <w:pPr>
        <w:spacing w:before="60" w:after="60" w:line="360" w:lineRule="auto"/>
        <w:rPr>
          <w:rFonts w:ascii="Arial" w:hAnsi="Arial" w:cs="Arial"/>
        </w:rPr>
      </w:pPr>
    </w:p>
    <w:p w14:paraId="4C5BB32F" w14:textId="0FF533DB" w:rsidR="00A946E4" w:rsidRPr="00A946E4" w:rsidRDefault="00A946E4" w:rsidP="00A946E4">
      <w:pPr>
        <w:spacing w:before="60" w:after="60" w:line="360" w:lineRule="auto"/>
        <w:rPr>
          <w:rFonts w:ascii="Arial" w:hAnsi="Arial" w:cs="Arial"/>
        </w:rPr>
      </w:pPr>
      <w:r w:rsidRPr="00A946E4">
        <w:rPr>
          <w:rFonts w:ascii="Arial" w:hAnsi="Arial" w:cs="Arial"/>
          <w:b/>
          <w:bCs/>
        </w:rPr>
        <w:t xml:space="preserve">Link </w:t>
      </w:r>
      <w:r w:rsidRPr="00A946E4">
        <w:rPr>
          <w:rFonts w:ascii="Arial" w:hAnsi="Arial" w:cs="Arial"/>
        </w:rPr>
        <w:t>to the “Process when requesting exemption letters” on the dtic’s website:</w:t>
      </w:r>
    </w:p>
    <w:bookmarkEnd w:id="0"/>
    <w:p w14:paraId="0DBC8D68" w14:textId="60C5C2C7" w:rsidR="00A946E4" w:rsidRPr="00A946E4" w:rsidRDefault="00A946E4" w:rsidP="00AB7BF8">
      <w:pPr>
        <w:spacing w:before="60" w:after="60" w:line="360" w:lineRule="auto"/>
        <w:rPr>
          <w:rFonts w:ascii="Arial" w:hAnsi="Arial" w:cs="Arial"/>
        </w:rPr>
      </w:pPr>
      <w:r w:rsidRPr="00A946E4">
        <w:rPr>
          <w:rFonts w:ascii="Arial" w:hAnsi="Arial" w:cs="Arial"/>
        </w:rPr>
        <w:fldChar w:fldCharType="begin"/>
      </w:r>
      <w:r w:rsidRPr="00A946E4">
        <w:rPr>
          <w:rFonts w:ascii="Arial" w:hAnsi="Arial" w:cs="Arial"/>
        </w:rPr>
        <w:instrText xml:space="preserve"> HYPERLINK "http://www.thedtic.gov.za/wp-content/uploads/IP-Exemption_letters.pdf" </w:instrText>
      </w:r>
      <w:r w:rsidRPr="00A946E4">
        <w:rPr>
          <w:rFonts w:ascii="Arial" w:hAnsi="Arial" w:cs="Arial"/>
        </w:rPr>
        <w:fldChar w:fldCharType="separate"/>
      </w:r>
      <w:r w:rsidRPr="00A946E4">
        <w:rPr>
          <w:rStyle w:val="Hyperlink"/>
          <w:rFonts w:ascii="Arial" w:hAnsi="Arial" w:cs="Arial"/>
        </w:rPr>
        <w:t>http://www.thedtic.gov.za/wp-content/uploads/IP-Exemption_letters.pdf</w:t>
      </w:r>
      <w:r w:rsidRPr="00A946E4">
        <w:rPr>
          <w:rFonts w:ascii="Arial" w:hAnsi="Arial" w:cs="Arial"/>
        </w:rPr>
        <w:fldChar w:fldCharType="end"/>
      </w:r>
    </w:p>
    <w:p w14:paraId="2466F969" w14:textId="77777777" w:rsidR="00A946E4" w:rsidRPr="0086105C" w:rsidRDefault="00A946E4" w:rsidP="00AB7BF8">
      <w:pPr>
        <w:spacing w:before="60" w:after="60" w:line="360" w:lineRule="auto"/>
        <w:rPr>
          <w:rFonts w:ascii="Arial" w:hAnsi="Arial" w:cs="Arial"/>
        </w:rPr>
      </w:pPr>
    </w:p>
    <w:sectPr w:rsidR="00A946E4" w:rsidRPr="0086105C" w:rsidSect="008330D0">
      <w:footerReference w:type="even" r:id="rId9"/>
      <w:foot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C6BB" w14:textId="77777777" w:rsidR="009C636C" w:rsidRDefault="009C636C" w:rsidP="0002181E">
      <w:r>
        <w:separator/>
      </w:r>
    </w:p>
  </w:endnote>
  <w:endnote w:type="continuationSeparator" w:id="0">
    <w:p w14:paraId="6012B225" w14:textId="77777777" w:rsidR="009C636C" w:rsidRDefault="009C636C" w:rsidP="0002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45403053"/>
      <w:docPartObj>
        <w:docPartGallery w:val="Page Numbers (Bottom of Page)"/>
        <w:docPartUnique/>
      </w:docPartObj>
    </w:sdtPr>
    <w:sdtContent>
      <w:p w14:paraId="3FC0C95A" w14:textId="35D7ACD7" w:rsidR="0002181E" w:rsidRDefault="0002181E" w:rsidP="008825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64E562" w14:textId="77777777" w:rsidR="0002181E" w:rsidRDefault="0002181E" w:rsidP="000218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27625102"/>
      <w:docPartObj>
        <w:docPartGallery w:val="Page Numbers (Bottom of Page)"/>
        <w:docPartUnique/>
      </w:docPartObj>
    </w:sdtPr>
    <w:sdtContent>
      <w:p w14:paraId="38FAA33F" w14:textId="33A3C931" w:rsidR="0002181E" w:rsidRDefault="0002181E" w:rsidP="0088257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3D4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F76C18" w14:textId="77777777" w:rsidR="0002181E" w:rsidRPr="0002181E" w:rsidRDefault="0002181E" w:rsidP="0002181E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6228" w14:textId="77777777" w:rsidR="009C636C" w:rsidRDefault="009C636C" w:rsidP="0002181E">
      <w:r>
        <w:separator/>
      </w:r>
    </w:p>
  </w:footnote>
  <w:footnote w:type="continuationSeparator" w:id="0">
    <w:p w14:paraId="117D2FBA" w14:textId="77777777" w:rsidR="009C636C" w:rsidRDefault="009C636C" w:rsidP="0002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89F"/>
    <w:multiLevelType w:val="hybridMultilevel"/>
    <w:tmpl w:val="DF30F7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F15A1"/>
    <w:multiLevelType w:val="multilevel"/>
    <w:tmpl w:val="E04A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4B0D27"/>
    <w:multiLevelType w:val="hybridMultilevel"/>
    <w:tmpl w:val="EF98278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C61"/>
    <w:multiLevelType w:val="hybridMultilevel"/>
    <w:tmpl w:val="7F5C6288"/>
    <w:lvl w:ilvl="0" w:tplc="1D3A7AAC">
      <w:start w:val="1"/>
      <w:numFmt w:val="lowerLetter"/>
      <w:lvlText w:val="%1)"/>
      <w:lvlJc w:val="left"/>
      <w:pPr>
        <w:ind w:left="39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12" w:hanging="360"/>
      </w:pPr>
    </w:lvl>
    <w:lvl w:ilvl="2" w:tplc="1C09001B" w:tentative="1">
      <w:start w:val="1"/>
      <w:numFmt w:val="lowerRoman"/>
      <w:lvlText w:val="%3."/>
      <w:lvlJc w:val="right"/>
      <w:pPr>
        <w:ind w:left="1832" w:hanging="180"/>
      </w:pPr>
    </w:lvl>
    <w:lvl w:ilvl="3" w:tplc="1C09000F" w:tentative="1">
      <w:start w:val="1"/>
      <w:numFmt w:val="decimal"/>
      <w:lvlText w:val="%4."/>
      <w:lvlJc w:val="left"/>
      <w:pPr>
        <w:ind w:left="2552" w:hanging="360"/>
      </w:pPr>
    </w:lvl>
    <w:lvl w:ilvl="4" w:tplc="1C090019" w:tentative="1">
      <w:start w:val="1"/>
      <w:numFmt w:val="lowerLetter"/>
      <w:lvlText w:val="%5."/>
      <w:lvlJc w:val="left"/>
      <w:pPr>
        <w:ind w:left="3272" w:hanging="360"/>
      </w:pPr>
    </w:lvl>
    <w:lvl w:ilvl="5" w:tplc="1C09001B" w:tentative="1">
      <w:start w:val="1"/>
      <w:numFmt w:val="lowerRoman"/>
      <w:lvlText w:val="%6."/>
      <w:lvlJc w:val="right"/>
      <w:pPr>
        <w:ind w:left="3992" w:hanging="180"/>
      </w:pPr>
    </w:lvl>
    <w:lvl w:ilvl="6" w:tplc="1C09000F" w:tentative="1">
      <w:start w:val="1"/>
      <w:numFmt w:val="decimal"/>
      <w:lvlText w:val="%7."/>
      <w:lvlJc w:val="left"/>
      <w:pPr>
        <w:ind w:left="4712" w:hanging="360"/>
      </w:pPr>
    </w:lvl>
    <w:lvl w:ilvl="7" w:tplc="1C090019" w:tentative="1">
      <w:start w:val="1"/>
      <w:numFmt w:val="lowerLetter"/>
      <w:lvlText w:val="%8."/>
      <w:lvlJc w:val="left"/>
      <w:pPr>
        <w:ind w:left="5432" w:hanging="360"/>
      </w:pPr>
    </w:lvl>
    <w:lvl w:ilvl="8" w:tplc="1C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328D1725"/>
    <w:multiLevelType w:val="hybridMultilevel"/>
    <w:tmpl w:val="5B821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56A5"/>
    <w:multiLevelType w:val="hybridMultilevel"/>
    <w:tmpl w:val="C3448D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12F5"/>
    <w:multiLevelType w:val="hybridMultilevel"/>
    <w:tmpl w:val="FCCE0B66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85A96"/>
    <w:multiLevelType w:val="hybridMultilevel"/>
    <w:tmpl w:val="C3448D2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248A0"/>
    <w:multiLevelType w:val="hybridMultilevel"/>
    <w:tmpl w:val="99ACE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46049"/>
    <w:multiLevelType w:val="hybridMultilevel"/>
    <w:tmpl w:val="2B4C9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7103E"/>
    <w:multiLevelType w:val="hybridMultilevel"/>
    <w:tmpl w:val="B338F9A8"/>
    <w:lvl w:ilvl="0" w:tplc="3D86A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utami" w:hAnsi="Gautami" w:cs="Times New Roman" w:hint="default"/>
      </w:rPr>
    </w:lvl>
    <w:lvl w:ilvl="1" w:tplc="65E47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utami" w:hAnsi="Gautami" w:cs="Times New Roman" w:hint="default"/>
      </w:rPr>
    </w:lvl>
    <w:lvl w:ilvl="2" w:tplc="C5FCF5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utami" w:hAnsi="Gautami" w:cs="Times New Roman" w:hint="default"/>
      </w:rPr>
    </w:lvl>
    <w:lvl w:ilvl="3" w:tplc="040464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utami" w:hAnsi="Gautami" w:cs="Times New Roman" w:hint="default"/>
      </w:rPr>
    </w:lvl>
    <w:lvl w:ilvl="4" w:tplc="145C53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utami" w:hAnsi="Gautami" w:cs="Times New Roman" w:hint="default"/>
      </w:rPr>
    </w:lvl>
    <w:lvl w:ilvl="5" w:tplc="A630F3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utami" w:hAnsi="Gautami" w:cs="Times New Roman" w:hint="default"/>
      </w:rPr>
    </w:lvl>
    <w:lvl w:ilvl="6" w:tplc="9754DEC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utami" w:hAnsi="Gautami" w:cs="Times New Roman" w:hint="default"/>
      </w:rPr>
    </w:lvl>
    <w:lvl w:ilvl="7" w:tplc="2996CB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utami" w:hAnsi="Gautami" w:cs="Times New Roman" w:hint="default"/>
      </w:rPr>
    </w:lvl>
    <w:lvl w:ilvl="8" w:tplc="448AD4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utami" w:hAnsi="Gautami" w:cs="Times New Roman" w:hint="default"/>
      </w:rPr>
    </w:lvl>
  </w:abstractNum>
  <w:abstractNum w:abstractNumId="11" w15:restartNumberingAfterBreak="0">
    <w:nsid w:val="7DAB6F37"/>
    <w:multiLevelType w:val="hybridMultilevel"/>
    <w:tmpl w:val="0B66BFA0"/>
    <w:lvl w:ilvl="0" w:tplc="1C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851541">
    <w:abstractNumId w:val="4"/>
  </w:num>
  <w:num w:numId="2" w16cid:durableId="2091002354">
    <w:abstractNumId w:val="1"/>
  </w:num>
  <w:num w:numId="3" w16cid:durableId="1305938294">
    <w:abstractNumId w:val="9"/>
  </w:num>
  <w:num w:numId="4" w16cid:durableId="1115447197">
    <w:abstractNumId w:val="10"/>
  </w:num>
  <w:num w:numId="5" w16cid:durableId="360128436">
    <w:abstractNumId w:val="0"/>
  </w:num>
  <w:num w:numId="6" w16cid:durableId="158927324">
    <w:abstractNumId w:val="3"/>
  </w:num>
  <w:num w:numId="7" w16cid:durableId="168569223">
    <w:abstractNumId w:val="8"/>
  </w:num>
  <w:num w:numId="8" w16cid:durableId="885485266">
    <w:abstractNumId w:val="6"/>
  </w:num>
  <w:num w:numId="9" w16cid:durableId="1853643129">
    <w:abstractNumId w:val="7"/>
  </w:num>
  <w:num w:numId="10" w16cid:durableId="1790127293">
    <w:abstractNumId w:val="2"/>
  </w:num>
  <w:num w:numId="11" w16cid:durableId="1893422896">
    <w:abstractNumId w:val="11"/>
  </w:num>
  <w:num w:numId="12" w16cid:durableId="800000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37"/>
    <w:rsid w:val="00004B33"/>
    <w:rsid w:val="000202B1"/>
    <w:rsid w:val="0002181E"/>
    <w:rsid w:val="00026A97"/>
    <w:rsid w:val="00033E6C"/>
    <w:rsid w:val="00070F5B"/>
    <w:rsid w:val="00071622"/>
    <w:rsid w:val="00073332"/>
    <w:rsid w:val="00084C90"/>
    <w:rsid w:val="000B1219"/>
    <w:rsid w:val="000E03B4"/>
    <w:rsid w:val="001025A8"/>
    <w:rsid w:val="00112002"/>
    <w:rsid w:val="00162DFD"/>
    <w:rsid w:val="00165845"/>
    <w:rsid w:val="0019676B"/>
    <w:rsid w:val="00201152"/>
    <w:rsid w:val="00230FA7"/>
    <w:rsid w:val="00236FFC"/>
    <w:rsid w:val="00237258"/>
    <w:rsid w:val="002579A6"/>
    <w:rsid w:val="00273176"/>
    <w:rsid w:val="00286A3F"/>
    <w:rsid w:val="002A1E40"/>
    <w:rsid w:val="002A6A29"/>
    <w:rsid w:val="002B6BAD"/>
    <w:rsid w:val="00332768"/>
    <w:rsid w:val="00340988"/>
    <w:rsid w:val="00341008"/>
    <w:rsid w:val="00344BAD"/>
    <w:rsid w:val="003575D3"/>
    <w:rsid w:val="00362A87"/>
    <w:rsid w:val="0036720C"/>
    <w:rsid w:val="00374C66"/>
    <w:rsid w:val="00374CF4"/>
    <w:rsid w:val="00381A24"/>
    <w:rsid w:val="00394F41"/>
    <w:rsid w:val="003D048D"/>
    <w:rsid w:val="003D2220"/>
    <w:rsid w:val="003F414E"/>
    <w:rsid w:val="003F5E07"/>
    <w:rsid w:val="00413609"/>
    <w:rsid w:val="00434E3B"/>
    <w:rsid w:val="00450512"/>
    <w:rsid w:val="00454D38"/>
    <w:rsid w:val="0045793B"/>
    <w:rsid w:val="00471D71"/>
    <w:rsid w:val="0049186D"/>
    <w:rsid w:val="004B2567"/>
    <w:rsid w:val="004B3272"/>
    <w:rsid w:val="004F2CA1"/>
    <w:rsid w:val="005110B2"/>
    <w:rsid w:val="00540C47"/>
    <w:rsid w:val="00542553"/>
    <w:rsid w:val="00555392"/>
    <w:rsid w:val="00575D77"/>
    <w:rsid w:val="00586ADA"/>
    <w:rsid w:val="005C2A3B"/>
    <w:rsid w:val="005C353C"/>
    <w:rsid w:val="005C3B9B"/>
    <w:rsid w:val="005E39CC"/>
    <w:rsid w:val="00605E00"/>
    <w:rsid w:val="006624BB"/>
    <w:rsid w:val="006664BD"/>
    <w:rsid w:val="00695978"/>
    <w:rsid w:val="006A5192"/>
    <w:rsid w:val="006B368D"/>
    <w:rsid w:val="006C0ABD"/>
    <w:rsid w:val="006D71C5"/>
    <w:rsid w:val="006E3169"/>
    <w:rsid w:val="006F0BB3"/>
    <w:rsid w:val="006F1A1C"/>
    <w:rsid w:val="00704E22"/>
    <w:rsid w:val="00780D51"/>
    <w:rsid w:val="00784B4B"/>
    <w:rsid w:val="007860B5"/>
    <w:rsid w:val="007A2D40"/>
    <w:rsid w:val="007B0490"/>
    <w:rsid w:val="007B335B"/>
    <w:rsid w:val="008330D0"/>
    <w:rsid w:val="00850A65"/>
    <w:rsid w:val="0086105C"/>
    <w:rsid w:val="008654D1"/>
    <w:rsid w:val="0089055E"/>
    <w:rsid w:val="008A65CB"/>
    <w:rsid w:val="008E12E6"/>
    <w:rsid w:val="008F1A8E"/>
    <w:rsid w:val="00910BD1"/>
    <w:rsid w:val="009132EF"/>
    <w:rsid w:val="009217C9"/>
    <w:rsid w:val="00947ACF"/>
    <w:rsid w:val="00966914"/>
    <w:rsid w:val="00977A45"/>
    <w:rsid w:val="009822B6"/>
    <w:rsid w:val="009A2ADA"/>
    <w:rsid w:val="009B6302"/>
    <w:rsid w:val="009C636C"/>
    <w:rsid w:val="009F0F92"/>
    <w:rsid w:val="00A101DA"/>
    <w:rsid w:val="00A308BA"/>
    <w:rsid w:val="00A4607A"/>
    <w:rsid w:val="00A6368B"/>
    <w:rsid w:val="00A669FE"/>
    <w:rsid w:val="00A9272E"/>
    <w:rsid w:val="00A946E4"/>
    <w:rsid w:val="00A96259"/>
    <w:rsid w:val="00AB704B"/>
    <w:rsid w:val="00AB7BF8"/>
    <w:rsid w:val="00AD3F27"/>
    <w:rsid w:val="00AE01B5"/>
    <w:rsid w:val="00AE21B7"/>
    <w:rsid w:val="00AE2BC0"/>
    <w:rsid w:val="00AE2FE5"/>
    <w:rsid w:val="00B00D86"/>
    <w:rsid w:val="00B03D49"/>
    <w:rsid w:val="00B04A63"/>
    <w:rsid w:val="00B17AFC"/>
    <w:rsid w:val="00B40772"/>
    <w:rsid w:val="00B471BD"/>
    <w:rsid w:val="00B66CB1"/>
    <w:rsid w:val="00B708BE"/>
    <w:rsid w:val="00B72156"/>
    <w:rsid w:val="00B73D81"/>
    <w:rsid w:val="00BB4925"/>
    <w:rsid w:val="00BB69B6"/>
    <w:rsid w:val="00BB73FA"/>
    <w:rsid w:val="00BF04FC"/>
    <w:rsid w:val="00BF3240"/>
    <w:rsid w:val="00C11EEF"/>
    <w:rsid w:val="00C12043"/>
    <w:rsid w:val="00C124D5"/>
    <w:rsid w:val="00C12F37"/>
    <w:rsid w:val="00C21A11"/>
    <w:rsid w:val="00C23E03"/>
    <w:rsid w:val="00C55313"/>
    <w:rsid w:val="00C81CB1"/>
    <w:rsid w:val="00C8257C"/>
    <w:rsid w:val="00C91F81"/>
    <w:rsid w:val="00CA4AB4"/>
    <w:rsid w:val="00D0425D"/>
    <w:rsid w:val="00D3289D"/>
    <w:rsid w:val="00D331FD"/>
    <w:rsid w:val="00D44396"/>
    <w:rsid w:val="00D51B9A"/>
    <w:rsid w:val="00D5722D"/>
    <w:rsid w:val="00D6335A"/>
    <w:rsid w:val="00D80812"/>
    <w:rsid w:val="00D85B2F"/>
    <w:rsid w:val="00D96F1A"/>
    <w:rsid w:val="00DB6877"/>
    <w:rsid w:val="00DD1A85"/>
    <w:rsid w:val="00DE7EFF"/>
    <w:rsid w:val="00DF1CC9"/>
    <w:rsid w:val="00E03E1D"/>
    <w:rsid w:val="00E07D10"/>
    <w:rsid w:val="00E25518"/>
    <w:rsid w:val="00E62E92"/>
    <w:rsid w:val="00E80C66"/>
    <w:rsid w:val="00E907DF"/>
    <w:rsid w:val="00E94F3F"/>
    <w:rsid w:val="00E96345"/>
    <w:rsid w:val="00EB4DFB"/>
    <w:rsid w:val="00EB656A"/>
    <w:rsid w:val="00EC255D"/>
    <w:rsid w:val="00EC2F98"/>
    <w:rsid w:val="00ED208D"/>
    <w:rsid w:val="00ED4F36"/>
    <w:rsid w:val="00F008D5"/>
    <w:rsid w:val="00F01B84"/>
    <w:rsid w:val="00F06282"/>
    <w:rsid w:val="00F25220"/>
    <w:rsid w:val="00F51D72"/>
    <w:rsid w:val="00F64863"/>
    <w:rsid w:val="00F761E8"/>
    <w:rsid w:val="00F77D79"/>
    <w:rsid w:val="00F93ADE"/>
    <w:rsid w:val="00F94CBD"/>
    <w:rsid w:val="00FB0D5B"/>
    <w:rsid w:val="00FC3971"/>
    <w:rsid w:val="00FC7AE4"/>
    <w:rsid w:val="00FD02D0"/>
    <w:rsid w:val="00FE304D"/>
    <w:rsid w:val="00FF0A2C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216A"/>
  <w14:defaultImageDpi w14:val="32767"/>
  <w15:docId w15:val="{7E1DCB5B-EE8A-409A-A88C-0CDD8A23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F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2F98"/>
    <w:pPr>
      <w:ind w:left="720"/>
      <w:contextualSpacing/>
    </w:pPr>
  </w:style>
  <w:style w:type="paragraph" w:styleId="NoSpacing">
    <w:name w:val="No Spacing"/>
    <w:uiPriority w:val="1"/>
    <w:qFormat/>
    <w:rsid w:val="00D3289D"/>
    <w:pPr>
      <w:tabs>
        <w:tab w:val="left" w:pos="397"/>
        <w:tab w:val="left" w:pos="794"/>
        <w:tab w:val="left" w:pos="1191"/>
        <w:tab w:val="left" w:pos="1587"/>
        <w:tab w:val="left" w:pos="1984"/>
        <w:tab w:val="left" w:pos="2381"/>
        <w:tab w:val="left" w:pos="2778"/>
        <w:tab w:val="left" w:pos="3175"/>
        <w:tab w:val="left" w:pos="3572"/>
        <w:tab w:val="left" w:pos="3969"/>
        <w:tab w:val="left" w:pos="4365"/>
      </w:tabs>
    </w:pPr>
    <w:rPr>
      <w:rFonts w:ascii="Arial" w:eastAsia="Times New Roman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021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81E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02181E"/>
  </w:style>
  <w:style w:type="paragraph" w:styleId="Header">
    <w:name w:val="header"/>
    <w:basedOn w:val="Normal"/>
    <w:link w:val="HeaderChar"/>
    <w:uiPriority w:val="99"/>
    <w:unhideWhenUsed/>
    <w:rsid w:val="00021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81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C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CC9"/>
    <w:rPr>
      <w:rFonts w:ascii="Times New Roman" w:eastAsiaTheme="minorEastAsia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1CC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styleId="Hyperlink">
    <w:name w:val="Hyperlink"/>
    <w:basedOn w:val="DefaultParagraphFont"/>
    <w:uiPriority w:val="99"/>
    <w:unhideWhenUsed/>
    <w:rsid w:val="00D51B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B9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41008"/>
    <w:rPr>
      <w:sz w:val="22"/>
      <w:szCs w:val="22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asury.gov.za/legislation/pfma/supplychain/PPPF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1786528</dc:creator>
  <cp:lastModifiedBy>Wilma Butler</cp:lastModifiedBy>
  <cp:revision>2</cp:revision>
  <cp:lastPrinted>2020-09-10T05:05:00Z</cp:lastPrinted>
  <dcterms:created xsi:type="dcterms:W3CDTF">2023-05-25T08:08:00Z</dcterms:created>
  <dcterms:modified xsi:type="dcterms:W3CDTF">2023-05-25T08:08:00Z</dcterms:modified>
</cp:coreProperties>
</file>