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AE7A5E"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6"/>
      </w:tblGrid>
      <w:tr w:rsidR="001E38AD" w:rsidRPr="001E38AD" w:rsidTr="00F83D3F">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lang w:val="en-GB"/>
              </w:rPr>
            </w:pPr>
            <w:bookmarkStart w:id="0" w:name="_Hlk67408358"/>
            <w:bookmarkStart w:id="1" w:name="_Hlk56671764"/>
            <w:r w:rsidRPr="001E38AD">
              <w:rPr>
                <w:rFonts w:ascii="Calibri" w:eastAsia="Times New Roman" w:hAnsi="Calibri" w:cs="Calibri"/>
                <w:b/>
                <w:bCs/>
                <w:lang w:val="en-GB"/>
              </w:rPr>
              <w:t>RFB REF. NO:</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RFB 2771/2023</w:t>
            </w:r>
          </w:p>
        </w:tc>
      </w:tr>
      <w:tr w:rsidR="001E38AD" w:rsidRPr="001E38AD" w:rsidTr="00F83D3F">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highlight w:val="lightGray"/>
                <w:lang w:val="en-GB"/>
              </w:rPr>
            </w:pPr>
            <w:bookmarkStart w:id="2" w:name="_Hlk67409835"/>
            <w:r w:rsidRPr="001E38AD">
              <w:rPr>
                <w:rFonts w:ascii="Calibri" w:eastAsia="Times New Roman" w:hAnsi="Calibri" w:cs="Calibri"/>
                <w:b/>
                <w:bCs/>
                <w:lang w:val="en-GB"/>
              </w:rPr>
              <w:t>DESCRIPTION</w:t>
            </w:r>
          </w:p>
        </w:tc>
        <w:tc>
          <w:tcPr>
            <w:tcW w:w="6946" w:type="dxa"/>
            <w:shd w:val="clear" w:color="auto" w:fill="auto"/>
            <w:hideMark/>
          </w:tcPr>
          <w:p w:rsidR="001E38AD" w:rsidRPr="001E38AD" w:rsidRDefault="0033251B" w:rsidP="001E38AD">
            <w:pPr>
              <w:spacing w:after="0" w:line="240" w:lineRule="auto"/>
              <w:jc w:val="left"/>
              <w:rPr>
                <w:rFonts w:ascii="Calibri" w:eastAsia="Times New Roman" w:hAnsi="Calibri" w:cs="Calibri"/>
                <w:b/>
                <w:bCs/>
                <w:highlight w:val="lightGray"/>
              </w:rPr>
            </w:pPr>
            <w:r>
              <w:rPr>
                <w:rFonts w:ascii="Calibri" w:eastAsia="Times New Roman" w:hAnsi="Calibri" w:cs="Times New Roman"/>
                <w:b/>
              </w:rPr>
              <w:t xml:space="preserve">Provision </w:t>
            </w:r>
            <w:proofErr w:type="gramStart"/>
            <w:r>
              <w:rPr>
                <w:rFonts w:ascii="Calibri" w:eastAsia="Times New Roman" w:hAnsi="Calibri" w:cs="Times New Roman"/>
                <w:b/>
              </w:rPr>
              <w:t>Of</w:t>
            </w:r>
            <w:proofErr w:type="gramEnd"/>
            <w:r>
              <w:rPr>
                <w:rFonts w:ascii="Calibri" w:eastAsia="Times New Roman" w:hAnsi="Calibri" w:cs="Times New Roman"/>
                <w:b/>
              </w:rPr>
              <w:t xml:space="preserve"> </w:t>
            </w:r>
            <w:r w:rsidRPr="001E38AD">
              <w:rPr>
                <w:rFonts w:ascii="Calibri" w:eastAsia="Times New Roman" w:hAnsi="Calibri" w:cs="Times New Roman"/>
                <w:b/>
              </w:rPr>
              <w:t xml:space="preserve">BMC Control Software Support And Maintenance For The Numerus And Centurion Data Centres </w:t>
            </w:r>
          </w:p>
        </w:tc>
      </w:tr>
      <w:tr w:rsidR="001E38AD" w:rsidRPr="001E38AD" w:rsidTr="00F83D3F">
        <w:trPr>
          <w:trHeight w:val="163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1E38AD" w:rsidRPr="001E38AD" w:rsidRDefault="001E38AD" w:rsidP="001E38AD">
            <w:pPr>
              <w:spacing w:after="0" w:line="240" w:lineRule="auto"/>
              <w:jc w:val="left"/>
              <w:rPr>
                <w:rFonts w:ascii="Calibri" w:eastAsia="Times New Roman" w:hAnsi="Calibri" w:cs="Calibri"/>
                <w:b/>
                <w:bCs/>
                <w:lang w:val="en-GB"/>
              </w:rPr>
            </w:pPr>
            <w:bookmarkStart w:id="3" w:name="_Hlk67409530"/>
            <w:bookmarkEnd w:id="2"/>
            <w:r w:rsidRPr="001E38AD">
              <w:rPr>
                <w:rFonts w:ascii="Calibri" w:eastAsia="Times New Roman" w:hAnsi="Calibri" w:cs="Calibri"/>
                <w:b/>
                <w:bCs/>
              </w:rPr>
              <w:t>BRIEFING SESSION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1E38AD" w:rsidRPr="001E38AD" w:rsidRDefault="001E38AD" w:rsidP="001E38AD">
            <w:pPr>
              <w:spacing w:after="0" w:line="360" w:lineRule="auto"/>
              <w:jc w:val="left"/>
              <w:rPr>
                <w:rFonts w:ascii="Calibri" w:eastAsia="Times New Roman" w:hAnsi="Calibri" w:cs="Calibri"/>
                <w:b/>
                <w:bCs/>
                <w:lang w:val="en-GB"/>
              </w:rPr>
            </w:pPr>
            <w:bookmarkStart w:id="4" w:name="_GoBack"/>
            <w:bookmarkEnd w:id="4"/>
          </w:p>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NON- COMPULSORY VIRTUAL BRIEFING</w:t>
            </w:r>
          </w:p>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DATE: 11 AUGUST 2023</w:t>
            </w:r>
          </w:p>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TIME: 10:00am</w:t>
            </w:r>
          </w:p>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 xml:space="preserve">Link will be sent upon request from </w:t>
            </w:r>
            <w:hyperlink r:id="rId13" w:history="1">
              <w:r w:rsidRPr="001E38AD">
                <w:rPr>
                  <w:rFonts w:ascii="Calibri" w:eastAsia="Times New Roman" w:hAnsi="Calibri" w:cs="Calibri"/>
                  <w:b/>
                  <w:bCs/>
                  <w:color w:val="0000FF"/>
                  <w:u w:val="single"/>
                  <w:lang w:val="en-GB"/>
                </w:rPr>
                <w:t>portia.mphela@sita.co.za</w:t>
              </w:r>
            </w:hyperlink>
          </w:p>
        </w:tc>
      </w:tr>
      <w:bookmarkEnd w:id="3"/>
      <w:tr w:rsidR="001E38AD" w:rsidRPr="001E38AD" w:rsidTr="00F83D3F">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CLOSING DATE FOR QUESTIONS AND ANSWERS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16 AUGUST 2023</w:t>
            </w:r>
          </w:p>
        </w:tc>
      </w:tr>
      <w:tr w:rsidR="001E38AD" w:rsidRPr="001E38AD" w:rsidTr="00F83D3F">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RFB CLOSING DETAILS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DATE: 25 AUGUST 2023</w:t>
            </w:r>
          </w:p>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TIME: 11:00 AM (SOUTH AFRICAN TIME)</w:t>
            </w:r>
          </w:p>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PLACE: TENDER OFFICE, PONGOLA IN APOLLO, 459 TSITSA STREET, ERASMUSKLOOF, PRETORIA (HEAD OFFICE)</w:t>
            </w:r>
          </w:p>
        </w:tc>
      </w:tr>
      <w:tr w:rsidR="001E38AD" w:rsidRPr="001E38AD" w:rsidTr="00F83D3F">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PUBLIC OPENING OF RFB RESPONSES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N/A</w:t>
            </w:r>
          </w:p>
        </w:tc>
      </w:tr>
      <w:tr w:rsidR="001E38AD" w:rsidRPr="001E38AD" w:rsidTr="00F83D3F">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RFB VALIDITY PERIOD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8AD" w:rsidRPr="001E38AD" w:rsidRDefault="001E38AD" w:rsidP="001E38AD">
            <w:pPr>
              <w:spacing w:after="0" w:line="240" w:lineRule="auto"/>
              <w:jc w:val="left"/>
              <w:rPr>
                <w:rFonts w:ascii="Calibri" w:eastAsia="Times New Roman" w:hAnsi="Calibri" w:cs="Calibri"/>
                <w:b/>
                <w:bCs/>
                <w:lang w:val="en-GB"/>
              </w:rPr>
            </w:pPr>
            <w:r w:rsidRPr="001E38AD">
              <w:rPr>
                <w:rFonts w:ascii="Calibri" w:eastAsia="Times New Roman" w:hAnsi="Calibri" w:cs="Calibri"/>
                <w:b/>
                <w:bCs/>
                <w:color w:val="FF0000"/>
                <w:lang w:val="en-GB"/>
              </w:rPr>
              <w:t>200 DAYS FROM THE CLOSING DATE</w:t>
            </w:r>
          </w:p>
        </w:tc>
      </w:tr>
    </w:tbl>
    <w:bookmarkEnd w:id="0"/>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1"/>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045AE7" w:rsidRPr="00045AE7" w:rsidRDefault="00045AE7" w:rsidP="00045AE7"/>
    <w:p w:rsidR="00A44D99" w:rsidRPr="006C0A8D" w:rsidRDefault="00A44D99" w:rsidP="00C2646C">
      <w:pPr>
        <w:pStyle w:val="Title"/>
      </w:pPr>
      <w:r w:rsidRPr="006C0A8D">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AE7A5E">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3C1245">
          <w:rPr>
            <w:rStyle w:val="Hyperlink"/>
            <w:rFonts w:cs="Arial"/>
            <w:iCs/>
            <w:noProof/>
            <w:lang w:val="en-GB"/>
          </w:rPr>
          <w:t>RFB</w:t>
        </w:r>
        <w:r w:rsidR="00D06577" w:rsidRPr="00C55E84">
          <w:rPr>
            <w:rStyle w:val="Hyperlink"/>
            <w:rFonts w:cs="Arial"/>
            <w:iCs/>
            <w:noProof/>
            <w:lang w:val="en-GB"/>
          </w:rPr>
          <w:t xml:space="preserve">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AE7A5E">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AE7A5E">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AE7A5E">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AE7A5E">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AE7A5E">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AE7A5E">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AE7A5E">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AE7A5E"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AE7A5E">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Default="00A44D99" w:rsidP="00E14656">
      <w:r w:rsidRPr="00A44D99">
        <w:fldChar w:fldCharType="end"/>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Default="00DD59F1" w:rsidP="00E14656">
      <w:pPr>
        <w:rPr>
          <w:rFonts w:asciiTheme="majorHAnsi" w:eastAsiaTheme="majorEastAsia" w:hAnsiTheme="majorHAnsi"/>
          <w:b/>
          <w:color w:val="0E1B8D"/>
        </w:rPr>
      </w:pPr>
    </w:p>
    <w:p w:rsidR="00DD59F1" w:rsidRPr="00E14656" w:rsidRDefault="00DD59F1" w:rsidP="00E14656">
      <w:pPr>
        <w:rPr>
          <w:rFonts w:asciiTheme="majorHAnsi" w:eastAsiaTheme="majorEastAsia" w:hAnsiTheme="majorHAnsi"/>
          <w:b/>
          <w:color w:val="0E1B8D"/>
        </w:rPr>
      </w:pPr>
    </w:p>
    <w:p w:rsidR="00E14656" w:rsidRDefault="00E14656" w:rsidP="00E14656">
      <w:pPr>
        <w:pStyle w:val="Heading1"/>
      </w:pPr>
      <w:bookmarkStart w:id="12" w:name="_Toc110433303"/>
      <w:r w:rsidRPr="0056332A">
        <w:t>Invitation to Bid</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684D6B">
        <w:rPr>
          <w:b/>
          <w:lang w:val="en-GB"/>
        </w:rPr>
        <w:t>7</w:t>
      </w:r>
      <w:r w:rsidR="00DD59F1">
        <w:rPr>
          <w:b/>
          <w:lang w:val="en-GB"/>
        </w:rPr>
        <w:t>71</w:t>
      </w:r>
      <w:r w:rsidR="003F7B53">
        <w:rPr>
          <w:b/>
          <w:lang w:val="en-GB"/>
        </w:rPr>
        <w:t>/2</w:t>
      </w:r>
      <w:r w:rsidR="00FF7CA2" w:rsidRPr="00FF7CA2">
        <w:rPr>
          <w:b/>
          <w:lang w:val="en-GB"/>
        </w:rPr>
        <w:t>02</w:t>
      </w:r>
      <w:r w:rsidR="00DD59F1">
        <w:rPr>
          <w:b/>
          <w:lang w:val="en-GB"/>
        </w:rPr>
        <w:t>3</w:t>
      </w:r>
    </w:p>
    <w:p w:rsidR="00DD59F1" w:rsidRDefault="00AA33FF" w:rsidP="005048EE">
      <w:pPr>
        <w:rPr>
          <w:b/>
          <w:lang w:val="en-GB"/>
        </w:rPr>
      </w:pPr>
      <w:r>
        <w:rPr>
          <w:lang w:val="en-GB"/>
        </w:rPr>
        <w:t>Description:</w:t>
      </w:r>
      <w:r w:rsidRPr="001613EB">
        <w:rPr>
          <w:b/>
          <w:lang w:val="en-GB"/>
        </w:rPr>
        <w:t xml:space="preserve"> </w:t>
      </w:r>
      <w:r w:rsidR="00DD59F1" w:rsidRPr="00DD59F1">
        <w:rPr>
          <w:b/>
          <w:lang w:val="en-GB"/>
        </w:rPr>
        <w:t>Provision of support and maintenance of the BMC CONTROL software products, for one (1) year with an option to extend for a further two (2) years.”</w:t>
      </w:r>
    </w:p>
    <w:p w:rsidR="001E38AD" w:rsidRDefault="001E38AD" w:rsidP="005048EE">
      <w:pPr>
        <w:rPr>
          <w:b/>
          <w:lang w:val="en-GB"/>
        </w:rPr>
      </w:pPr>
    </w:p>
    <w:p w:rsidR="001E38AD" w:rsidRDefault="00DD59F1" w:rsidP="005048EE">
      <w:pPr>
        <w:rPr>
          <w:b/>
          <w:lang w:val="en-GB"/>
        </w:rPr>
      </w:pPr>
      <w:r w:rsidRPr="001E38AD">
        <w:rPr>
          <w:lang w:val="en-GB"/>
        </w:rPr>
        <w:t>Non-</w:t>
      </w:r>
      <w:r w:rsidR="00323903" w:rsidRPr="001E38AD">
        <w:rPr>
          <w:lang w:val="en-GB"/>
        </w:rPr>
        <w:t>Compulsory Virtual Briefing Session</w:t>
      </w:r>
      <w:r w:rsidR="001E38AD" w:rsidRPr="001E38AD">
        <w:rPr>
          <w:lang w:val="en-GB"/>
        </w:rPr>
        <w:t>:</w:t>
      </w:r>
      <w:r w:rsidR="001E38AD">
        <w:rPr>
          <w:b/>
          <w:lang w:val="en-GB"/>
        </w:rPr>
        <w:t xml:space="preserve"> 11 August 2023@ 10:00 (Link will be sent upon request from </w:t>
      </w:r>
      <w:hyperlink r:id="rId14" w:history="1">
        <w:r w:rsidR="001E38AD" w:rsidRPr="00F0712E">
          <w:rPr>
            <w:rStyle w:val="Hyperlink"/>
            <w:b/>
            <w:lang w:val="en-GB"/>
          </w:rPr>
          <w:t>portia.mphela@sita.co.za</w:t>
        </w:r>
      </w:hyperlink>
      <w:r w:rsidR="001E38AD">
        <w:rPr>
          <w:b/>
          <w:lang w:val="en-GB"/>
        </w:rPr>
        <w:t xml:space="preserve"> ).</w:t>
      </w:r>
    </w:p>
    <w:p w:rsidR="00AA33FF" w:rsidRDefault="00AA33FF" w:rsidP="005048EE">
      <w:pPr>
        <w:rPr>
          <w:lang w:val="en-GB"/>
        </w:rPr>
      </w:pPr>
      <w:r>
        <w:rPr>
          <w:lang w:val="en-GB"/>
        </w:rPr>
        <w:t xml:space="preserve">Closing date and time of </w:t>
      </w:r>
      <w:r w:rsidR="003F7B53">
        <w:rPr>
          <w:lang w:val="en-GB"/>
        </w:rPr>
        <w:t xml:space="preserve">RFB </w:t>
      </w:r>
      <w:r w:rsidR="00684D6B">
        <w:rPr>
          <w:lang w:val="en-GB"/>
        </w:rPr>
        <w:t>27</w:t>
      </w:r>
      <w:r w:rsidR="00DD59F1">
        <w:rPr>
          <w:lang w:val="en-GB"/>
        </w:rPr>
        <w:t>71</w:t>
      </w:r>
      <w:r w:rsidR="003F7B53">
        <w:rPr>
          <w:lang w:val="en-GB"/>
        </w:rPr>
        <w:t>/</w:t>
      </w:r>
      <w:r w:rsidR="00894548">
        <w:rPr>
          <w:lang w:val="en-GB"/>
        </w:rPr>
        <w:t>2</w:t>
      </w:r>
      <w:r w:rsidR="00FF7CA2">
        <w:rPr>
          <w:lang w:val="en-GB"/>
        </w:rPr>
        <w:t>02</w:t>
      </w:r>
      <w:r w:rsidR="008C2FBA">
        <w:rPr>
          <w:lang w:val="en-GB"/>
        </w:rPr>
        <w:t>3</w:t>
      </w:r>
      <w:r w:rsidR="00FF7CA2">
        <w:rPr>
          <w:lang w:val="en-GB"/>
        </w:rPr>
        <w:t xml:space="preserve">: </w:t>
      </w:r>
      <w:r w:rsidR="00DD59F1">
        <w:rPr>
          <w:b/>
          <w:lang w:val="en-GB"/>
        </w:rPr>
        <w:t>2</w:t>
      </w:r>
      <w:r w:rsidR="001E38AD">
        <w:rPr>
          <w:b/>
          <w:lang w:val="en-GB"/>
        </w:rPr>
        <w:t>5</w:t>
      </w:r>
      <w:r w:rsidR="00DD59F1">
        <w:rPr>
          <w:b/>
          <w:lang w:val="en-GB"/>
        </w:rPr>
        <w:t xml:space="preserve"> August </w:t>
      </w:r>
      <w:r w:rsidR="00FF7CA2" w:rsidRPr="00ED49A6">
        <w:rPr>
          <w:b/>
          <w:lang w:val="en-GB"/>
        </w:rPr>
        <w:t>2</w:t>
      </w:r>
      <w:r w:rsidR="00ED49A6">
        <w:rPr>
          <w:b/>
          <w:lang w:val="en-GB"/>
        </w:rPr>
        <w:t>0</w:t>
      </w:r>
      <w:r w:rsidR="00FF7CA2" w:rsidRPr="00ED49A6">
        <w:rPr>
          <w:b/>
          <w:lang w:val="en-GB"/>
        </w:rPr>
        <w:t>2</w:t>
      </w:r>
      <w:r w:rsidR="00684D6B">
        <w:rPr>
          <w:b/>
          <w:lang w:val="en-GB"/>
        </w:rPr>
        <w:t>3</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3"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E7A5E">
              <w:rPr>
                <w:rFonts w:ascii="Arial" w:hAnsi="Arial" w:cs="Arial"/>
                <w:sz w:val="20"/>
                <w:lang w:val="en-GB"/>
              </w:rPr>
            </w:r>
            <w:r w:rsidR="00AE7A5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E7A5E">
              <w:rPr>
                <w:rFonts w:ascii="Arial" w:hAnsi="Arial" w:cs="Arial"/>
                <w:sz w:val="20"/>
                <w:lang w:val="en-GB"/>
              </w:rPr>
            </w:r>
            <w:r w:rsidR="00AE7A5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7" w:name="_Toc110433304"/>
            <w:r w:rsidRPr="0090233F">
              <w:t>Bid Submission Requirements</w:t>
            </w:r>
            <w:bookmarkEnd w:id="17"/>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8" w:name="_Toc110433305"/>
            <w:r w:rsidRPr="0090233F">
              <w:t>Bid Submission Instructions</w:t>
            </w:r>
            <w:bookmarkEnd w:id="18"/>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r w:rsidR="003C1245">
              <w:t>RFB</w:t>
            </w:r>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10433306"/>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C1245">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3C1245">
              <w:rPr>
                <w:rFonts w:cstheme="minorHAnsi"/>
              </w:rPr>
              <w:t>RFB</w:t>
            </w:r>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3C1245">
              <w:rPr>
                <w:rFonts w:cstheme="minorHAnsi"/>
              </w:rPr>
              <w:t>RFB</w:t>
            </w:r>
            <w:r w:rsidRPr="00886179">
              <w:rPr>
                <w:rFonts w:cstheme="minorHAnsi"/>
              </w:rPr>
              <w:t xml:space="preserve"> shall not in any manner, be construed to be a waiver of any of SITA’s rights in that regard and in terms of this </w:t>
            </w:r>
            <w:r w:rsidR="003C1245">
              <w:rPr>
                <w:rFonts w:cstheme="minorHAnsi"/>
              </w:rPr>
              <w:t>RFB</w:t>
            </w:r>
            <w:r w:rsidRPr="00886179">
              <w:rPr>
                <w:rFonts w:cstheme="minorHAnsi"/>
              </w:rPr>
              <w:t xml:space="preserve">. Such failure or neglect shall not, in any manner, affect the continued, unaltered validity of this </w:t>
            </w:r>
            <w:r w:rsidR="003C1245">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3C1245">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3C1245">
              <w:rPr>
                <w:rFonts w:cstheme="minorHAnsi"/>
              </w:rPr>
              <w:t>RFB</w:t>
            </w:r>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t xml:space="preserve">Alternative Bids will only be accepted where the Bid that strictly complies with the specifications of this </w:t>
            </w:r>
            <w:r w:rsidR="003C1245">
              <w:rPr>
                <w:rFonts w:cstheme="minorHAnsi"/>
              </w:rPr>
              <w:t>RFB</w:t>
            </w:r>
            <w:r w:rsidRPr="00773264">
              <w:rPr>
                <w:rFonts w:cstheme="minorHAnsi"/>
              </w:rPr>
              <w:t xml:space="preserve"> has also been submitted together with the alternative Bid and only if the alternative Bid may be evaluated using the criteria in the </w:t>
            </w:r>
            <w:r w:rsidR="003C1245">
              <w:rPr>
                <w:rFonts w:cstheme="minorHAnsi"/>
              </w:rPr>
              <w:t>RFB</w:t>
            </w:r>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10433307"/>
            <w:r w:rsidRPr="0090233F">
              <w:t>Tax Compliance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10433308"/>
      <w:r w:rsidRPr="00B3466C">
        <w:lastRenderedPageBreak/>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10433309"/>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D41F1F">
      <w:pPr>
        <w:pStyle w:val="Heading3"/>
        <w:spacing w:before="240" w:after="60" w:line="276" w:lineRule="auto"/>
        <w:rPr>
          <w:bCs/>
        </w:rPr>
      </w:pPr>
      <w:bookmarkStart w:id="30" w:name="_Toc110433310"/>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3C1245">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1" w:name="_Toc110433311"/>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3C1245">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C1245">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C1245">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3C1245">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C1245">
        <w:rPr>
          <w:rFonts w:cstheme="minorHAnsi"/>
        </w:rPr>
        <w:t>RFB</w:t>
      </w:r>
      <w:r w:rsidRPr="00D41F1F">
        <w:rPr>
          <w:rFonts w:cstheme="minorHAnsi"/>
        </w:rPr>
        <w:t xml:space="preserve"> document in their proposals submitted in response to this </w:t>
      </w:r>
      <w:r w:rsidR="003C1245">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C1245">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3C1245">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3C1245">
        <w:rPr>
          <w:rFonts w:cstheme="minorHAnsi"/>
        </w:rPr>
        <w:t>RFB</w:t>
      </w:r>
      <w:r w:rsidRPr="007B3879">
        <w:rPr>
          <w:rFonts w:cstheme="minorHAnsi"/>
        </w:rPr>
        <w:t xml:space="preserve"> is subject to the General Conditions of Contract referred to in this </w:t>
      </w:r>
      <w:r w:rsidR="003C1245">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2" w:name="_Toc110433312"/>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3" w:name="_Toc110433313"/>
      <w:r w:rsidRPr="00773264">
        <w:rPr>
          <w:bCs/>
        </w:rPr>
        <w:t>National Industrial Participation Programme</w:t>
      </w:r>
      <w:bookmarkEnd w:id="33"/>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4" w:name="_Toc110433314"/>
      <w:r w:rsidRPr="00E8640E">
        <w:rPr>
          <w:bCs/>
        </w:rPr>
        <w:t>Language</w:t>
      </w:r>
      <w:bookmarkEnd w:id="34"/>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5" w:name="_Toc110433315"/>
      <w:r w:rsidRPr="00E8640E">
        <w:rPr>
          <w:bCs/>
        </w:rPr>
        <w:t>Gender</w:t>
      </w:r>
      <w:bookmarkEnd w:id="35"/>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6" w:name="_Toc110433316"/>
      <w:r w:rsidRPr="00E8640E">
        <w:rPr>
          <w:bCs/>
        </w:rPr>
        <w:t>Headings</w:t>
      </w:r>
      <w:bookmarkEnd w:id="36"/>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3C1245">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C1245">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7" w:name="_Toc110433317"/>
      <w:r w:rsidRPr="00820BBC">
        <w:rPr>
          <w:bCs/>
        </w:rPr>
        <w:t>Bid Clarification</w:t>
      </w:r>
      <w:bookmarkEnd w:id="37"/>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C1245">
        <w:rPr>
          <w:rFonts w:cstheme="minorHAnsi"/>
        </w:rPr>
        <w:t>RFB</w:t>
      </w:r>
      <w:r w:rsidRPr="00820BBC">
        <w:rPr>
          <w:rFonts w:cstheme="minorHAnsi"/>
        </w:rPr>
        <w:t xml:space="preserve"> and Bids in response to the </w:t>
      </w:r>
      <w:r w:rsidR="003C1245">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8" w:name="_Toc110433318"/>
      <w:r w:rsidRPr="001203AD">
        <w:rPr>
          <w:bCs/>
        </w:rPr>
        <w:t>Cancellation of Bid</w:t>
      </w:r>
      <w:bookmarkEnd w:id="38"/>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C1245">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9" w:name="_Toc110433319"/>
      <w:r w:rsidRPr="00F73867">
        <w:rPr>
          <w:bCs/>
        </w:rPr>
        <w:t>Bid Validity</w:t>
      </w:r>
      <w:r w:rsidR="004419A0">
        <w:rPr>
          <w:bCs/>
        </w:rPr>
        <w:t xml:space="preserve"> period</w:t>
      </w:r>
      <w:bookmarkEnd w:id="39"/>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3C1245">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3C1245">
        <w:rPr>
          <w:rFonts w:cstheme="minorHAnsi"/>
        </w:rPr>
        <w:t>RFB</w:t>
      </w:r>
      <w:r w:rsidRPr="00F73867">
        <w:rPr>
          <w:rFonts w:cstheme="minorHAnsi"/>
        </w:rPr>
        <w:t xml:space="preserve">, the bidder must respond within the required time frames and in writing on whether or not it agrees to hold his original </w:t>
      </w:r>
      <w:r w:rsidR="003C1245">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0" w:name="_Toc110433320"/>
      <w:r w:rsidRPr="00E8640E">
        <w:rPr>
          <w:bCs/>
        </w:rPr>
        <w:t>Occupational Injuries and Diseases Act 13 of 1993</w:t>
      </w:r>
      <w:bookmarkEnd w:id="40"/>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C1245">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1" w:name="_Toc110433321"/>
      <w:bookmarkStart w:id="42" w:name="_Hlk68880043"/>
      <w:r w:rsidRPr="00E8640E">
        <w:rPr>
          <w:bCs/>
        </w:rPr>
        <w:t>Processing of the Bidder’s Personal Information</w:t>
      </w:r>
      <w:bookmarkEnd w:id="41"/>
    </w:p>
    <w:bookmarkEnd w:id="42"/>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C1245">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3" w:name="_Toc110433322"/>
      <w:r w:rsidRPr="00E8640E">
        <w:rPr>
          <w:bCs/>
        </w:rPr>
        <w:t>Formal contract</w:t>
      </w:r>
      <w:bookmarkEnd w:id="43"/>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C1245">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C1245">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C1245">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3C1245">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C1245">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3C1245">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4" w:name="_Toc110433323"/>
      <w:r>
        <w:rPr>
          <w:bCs/>
        </w:rPr>
        <w:t>Failure to agree before contract conclusion</w:t>
      </w:r>
      <w:bookmarkEnd w:id="44"/>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5" w:name="_Toc110433324"/>
      <w:r w:rsidRPr="001203AD">
        <w:rPr>
          <w:bCs/>
        </w:rPr>
        <w:lastRenderedPageBreak/>
        <w:t>Withdrawal of proposal after award</w:t>
      </w:r>
      <w:bookmarkEnd w:id="45"/>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C1245">
        <w:rPr>
          <w:rStyle w:val="Hyperlink"/>
          <w:color w:val="auto"/>
          <w:u w:val="none"/>
        </w:rPr>
        <w:t>RFB</w:t>
      </w:r>
    </w:p>
    <w:p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10433325"/>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3C1245">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4" w:name="_Toc110433326"/>
      <w:r w:rsidRPr="0002713C">
        <w:rPr>
          <w:bCs/>
        </w:rPr>
        <w:t>Objection to brand specific requirements</w:t>
      </w:r>
      <w:bookmarkEnd w:id="54"/>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3C1245">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C1245">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3C1245" w:rsidP="0090233F">
      <w:pPr>
        <w:pStyle w:val="Heading2"/>
        <w:rPr>
          <w:rFonts w:cs="Arial"/>
          <w:iCs/>
          <w:color w:val="000080"/>
          <w:szCs w:val="28"/>
          <w:lang w:val="en-GB"/>
        </w:rPr>
      </w:pPr>
      <w:bookmarkStart w:id="55" w:name="_Toc110433327"/>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5"/>
      <w:proofErr w:type="spellEnd"/>
    </w:p>
    <w:p w:rsidR="00E14656" w:rsidRDefault="0090233F" w:rsidP="0090233F">
      <w:pPr>
        <w:pStyle w:val="Heading3"/>
      </w:pPr>
      <w:bookmarkStart w:id="56" w:name="_Toc110433328"/>
      <w:bookmarkStart w:id="57" w:name="Response"/>
      <w:bookmarkStart w:id="58" w:name="_Toc150587194"/>
      <w:bookmarkStart w:id="59" w:name="_Toc199296472"/>
      <w:r>
        <w:t xml:space="preserve">Administrative </w:t>
      </w:r>
      <w:r w:rsidRPr="0056332A">
        <w:t>Returnable Documents</w:t>
      </w:r>
      <w:bookmarkEnd w:id="56"/>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60" w:name="_Toc110433329"/>
      <w:r w:rsidRPr="00773264">
        <w:t>Man</w:t>
      </w:r>
      <w:r w:rsidRPr="004E1D55">
        <w:t>datory Returnable Documents</w:t>
      </w:r>
      <w:bookmarkEnd w:id="60"/>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C1245">
        <w:rPr>
          <w:rStyle w:val="Hyperlink"/>
          <w:color w:val="auto"/>
          <w:u w:val="none"/>
        </w:rPr>
        <w:t>RFB</w:t>
      </w:r>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61" w:name="_Toc110433330"/>
      <w:r w:rsidRPr="00773264">
        <w:t>Evaluation Returnable Documents</w:t>
      </w:r>
      <w:bookmarkEnd w:id="61"/>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2" w:name="_Toc110433331"/>
      <w:r>
        <w:lastRenderedPageBreak/>
        <w:t>Bidder’s disclosure (SBD 4)</w:t>
      </w:r>
      <w:bookmarkEnd w:id="62"/>
    </w:p>
    <w:p w:rsidR="001E3F54" w:rsidRPr="001E3F54" w:rsidRDefault="001E3F54" w:rsidP="001E3F54">
      <w:pPr>
        <w:pStyle w:val="Heading2"/>
        <w:rPr>
          <w:lang w:val="en-GB"/>
        </w:rPr>
      </w:pPr>
      <w:bookmarkStart w:id="63" w:name="_Toc110433332"/>
      <w:r>
        <w:rPr>
          <w:lang w:val="en-GB"/>
        </w:rPr>
        <w:t>Purpose of disclosure</w:t>
      </w:r>
      <w:bookmarkEnd w:id="63"/>
    </w:p>
    <w:bookmarkEnd w:id="57"/>
    <w:bookmarkEnd w:id="58"/>
    <w:bookmarkEnd w:id="59"/>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9"/>
      <w:bookmarkEnd w:id="64"/>
      <w:bookmarkEnd w:id="65"/>
      <w:bookmarkEnd w:id="66"/>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7" w:name="_Toc110433333"/>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8"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9"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0"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1" w:name="_Toc110433334"/>
      <w:r w:rsidRPr="00F6669C">
        <w:rPr>
          <w:lang w:val="en-GB"/>
        </w:rPr>
        <w:t>Bidder’s Declaration</w:t>
      </w:r>
      <w:bookmarkEnd w:id="71"/>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2" w:name="_Toc110433335"/>
      <w:r w:rsidRPr="007531A4">
        <w:lastRenderedPageBreak/>
        <w:t>Preferential Procurement Claim</w:t>
      </w:r>
      <w:r>
        <w:t xml:space="preserve"> Form</w:t>
      </w:r>
      <w:r w:rsidR="00B21670">
        <w:t xml:space="preserve"> (SBD 6.1)</w:t>
      </w:r>
      <w:bookmarkEnd w:id="72"/>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3" w:name="_Toc110433336"/>
      <w:r w:rsidRPr="0055137F">
        <w:t>General Condition</w:t>
      </w:r>
      <w:r>
        <w:t>s</w:t>
      </w:r>
      <w:r w:rsidR="001A12A9">
        <w:t xml:space="preserve"> for the preference point systems</w:t>
      </w:r>
      <w:bookmarkEnd w:id="73"/>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3C1245">
        <w:rPr>
          <w:rFonts w:asciiTheme="minorHAnsi" w:hAnsiTheme="minorHAnsi" w:cs="Arial"/>
          <w:sz w:val="22"/>
          <w:szCs w:val="22"/>
        </w:rPr>
        <w:t>RFB</w:t>
      </w:r>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4"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3C1245" w:rsidP="0055137F">
            <w:pPr>
              <w:pStyle w:val="Default"/>
              <w:rPr>
                <w:rFonts w:asciiTheme="minorHAnsi" w:hAnsiTheme="minorHAnsi" w:cstheme="minorHAnsi"/>
                <w:sz w:val="22"/>
                <w:szCs w:val="22"/>
              </w:rPr>
            </w:pPr>
            <w:r>
              <w:rPr>
                <w:rFonts w:asciiTheme="minorHAnsi" w:hAnsiTheme="minorHAnsi" w:cstheme="minorHAnsi"/>
                <w:sz w:val="22"/>
                <w:szCs w:val="22"/>
              </w:rPr>
              <w:t>9</w:t>
            </w:r>
            <w:r w:rsidR="0055137F" w:rsidRPr="00773264">
              <w:rPr>
                <w:rFonts w:asciiTheme="minorHAnsi" w:hAnsiTheme="minorHAnsi" w:cstheme="minorHAnsi"/>
                <w:sz w:val="22"/>
                <w:szCs w:val="22"/>
              </w:rPr>
              <w:t>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43297F" w:rsidP="0055137F">
            <w:pPr>
              <w:pStyle w:val="Default"/>
              <w:rPr>
                <w:rFonts w:asciiTheme="minorHAnsi" w:hAnsiTheme="minorHAnsi" w:cstheme="minorHAnsi"/>
                <w:sz w:val="22"/>
                <w:szCs w:val="22"/>
              </w:rPr>
            </w:pPr>
            <w:r>
              <w:rPr>
                <w:rFonts w:asciiTheme="minorHAnsi" w:hAnsiTheme="minorHAnsi" w:cstheme="minorHAnsi"/>
                <w:sz w:val="22"/>
                <w:szCs w:val="22"/>
              </w:rPr>
              <w:t>1</w:t>
            </w:r>
            <w:r w:rsidR="0055137F" w:rsidRPr="00773264">
              <w:rPr>
                <w:rFonts w:asciiTheme="minorHAnsi" w:hAnsiTheme="minorHAnsi" w:cstheme="minorHAnsi"/>
                <w:sz w:val="22"/>
                <w:szCs w:val="22"/>
              </w:rPr>
              <w:t>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5" w:name="_Toc110433337"/>
      <w:r w:rsidRPr="00AC0513">
        <w:t>Points awarded for price</w:t>
      </w:r>
      <w:bookmarkEnd w:id="75"/>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proofErr w:type="gramStart"/>
      <w:r w:rsidRPr="00AC0513">
        <w:rPr>
          <w:rFonts w:asciiTheme="minorHAnsi" w:hAnsiTheme="minorHAnsi" w:cs="Arial"/>
          <w:sz w:val="22"/>
          <w:szCs w:val="22"/>
        </w:rPr>
        <w:t xml:space="preserve">of </w:t>
      </w:r>
      <w:r w:rsidRPr="00773264">
        <w:rPr>
          <w:rFonts w:asciiTheme="minorHAnsi" w:hAnsiTheme="minorHAnsi" w:cs="Arial"/>
          <w:sz w:val="22"/>
          <w:szCs w:val="22"/>
        </w:rPr>
        <w:t xml:space="preserve"> 90</w:t>
      </w:r>
      <w:proofErr w:type="gramEnd"/>
      <w:r w:rsidRPr="00773264">
        <w:rPr>
          <w:rFonts w:asciiTheme="minorHAnsi" w:hAnsiTheme="minorHAnsi" w:cs="Arial"/>
          <w:sz w:val="22"/>
          <w:szCs w:val="22"/>
        </w:rPr>
        <w:t xml:space="preserve"> po</w:t>
      </w:r>
      <w:r w:rsidRPr="00AC0513">
        <w:rPr>
          <w:rFonts w:asciiTheme="minorHAnsi" w:hAnsiTheme="minorHAnsi" w:cs="Arial"/>
          <w:sz w:val="22"/>
          <w:szCs w:val="22"/>
        </w:rPr>
        <w:t>ints is allocated for price on the following basis:</w:t>
      </w:r>
    </w:p>
    <w:p w:rsidR="00E14656" w:rsidRPr="00AC0513" w:rsidRDefault="003C1245" w:rsidP="00E14656">
      <w:pPr>
        <w:ind w:left="180" w:firstLine="72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14656" w:rsidRPr="00AC0513">
        <w:rPr>
          <w:rFonts w:asciiTheme="minorHAnsi" w:hAnsiTheme="minorHAnsi" w:cstheme="minorHAnsi"/>
          <w:b/>
        </w:rPr>
        <w:tab/>
        <w:t>90/10</w:t>
      </w:r>
      <w:r w:rsidR="00E14656"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39" w:dyaOrig="680" w14:anchorId="43256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52402883"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6" w:name="_Toc110433338"/>
      <w:r>
        <w:t>Points awarded for B-BBEE status level of contributor</w:t>
      </w:r>
      <w:bookmarkEnd w:id="76"/>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7"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02"/>
        <w:gridCol w:w="3323"/>
      </w:tblGrid>
      <w:tr w:rsidR="003C1245" w:rsidTr="003C1245">
        <w:tc>
          <w:tcPr>
            <w:tcW w:w="3902" w:type="dxa"/>
            <w:shd w:val="solid" w:color="DBE5F1" w:themeColor="accent1" w:themeTint="33" w:fill="DBE5F1" w:themeFill="accent1" w:themeFillTint="33"/>
          </w:tcPr>
          <w:p w:rsidR="003C1245" w:rsidRPr="00655805" w:rsidRDefault="003C1245"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3323" w:type="dxa"/>
            <w:shd w:val="solid" w:color="DBE5F1" w:themeColor="accent1" w:themeTint="33" w:fill="DBE5F1" w:themeFill="accent1" w:themeFillTint="33"/>
          </w:tcPr>
          <w:p w:rsidR="003C1245" w:rsidRPr="00655805" w:rsidRDefault="003C1245"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3C1245" w:rsidRPr="00655805" w:rsidRDefault="003C1245"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r>
      <w:tr w:rsidR="003C1245" w:rsidTr="003C1245">
        <w:tc>
          <w:tcPr>
            <w:tcW w:w="3902" w:type="dxa"/>
          </w:tcPr>
          <w:p w:rsidR="003C1245" w:rsidRPr="00655805" w:rsidRDefault="003C124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3323" w:type="dxa"/>
          </w:tcPr>
          <w:p w:rsidR="003C1245" w:rsidRPr="00655805" w:rsidRDefault="003C124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r>
      <w:tr w:rsidR="003C1245" w:rsidTr="003C1245">
        <w:tc>
          <w:tcPr>
            <w:tcW w:w="3902"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3323" w:type="dxa"/>
          </w:tcPr>
          <w:p w:rsidR="003C1245" w:rsidRPr="00655805" w:rsidRDefault="003C124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3C1245" w:rsidTr="003C1245">
        <w:tc>
          <w:tcPr>
            <w:tcW w:w="3902" w:type="dxa"/>
          </w:tcPr>
          <w:p w:rsidR="003C1245" w:rsidRPr="00655805" w:rsidRDefault="003C124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3323" w:type="dxa"/>
          </w:tcPr>
          <w:p w:rsidR="003C1245" w:rsidRPr="00655805" w:rsidRDefault="003C124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2"/>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w:t>
            </w:r>
            <w:r w:rsidR="003C1245">
              <w:rPr>
                <w:rFonts w:asciiTheme="minorHAnsi" w:hAnsiTheme="minorHAnsi" w:cstheme="minorHAnsi"/>
                <w:b/>
                <w:bCs/>
                <w:sz w:val="22"/>
                <w:szCs w:val="22"/>
              </w:rPr>
              <w:t xml:space="preserve"> </w:t>
            </w:r>
            <w:r w:rsidRPr="00655805">
              <w:rPr>
                <w:rFonts w:asciiTheme="minorHAnsi" w:hAnsiTheme="minorHAnsi" w:cstheme="minorHAnsi"/>
                <w:b/>
                <w:bCs/>
                <w:sz w:val="22"/>
                <w:szCs w:val="22"/>
              </w:rPr>
              <w:t>points for B-BBEE</w:t>
            </w:r>
          </w:p>
        </w:tc>
      </w:tr>
    </w:tbl>
    <w:p w:rsidR="00AC0513" w:rsidRDefault="00AC0513" w:rsidP="00AC0513">
      <w:pPr>
        <w:pStyle w:val="Default"/>
      </w:pPr>
    </w:p>
    <w:p w:rsidR="00E14656" w:rsidRPr="00655805" w:rsidRDefault="00655805" w:rsidP="00655805">
      <w:pPr>
        <w:pStyle w:val="Heading2"/>
      </w:pPr>
      <w:bookmarkStart w:id="78" w:name="_Toc110433339"/>
      <w:r>
        <w:t>Bid Declaration</w:t>
      </w:r>
      <w:bookmarkEnd w:id="78"/>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9" w:name="_Toc110433340"/>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80"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1"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2" w:name="_Toc110433341"/>
      <w:r>
        <w:t>Declaration with regard to Company / Firm</w:t>
      </w:r>
      <w:bookmarkEnd w:id="82"/>
    </w:p>
    <w:p w:rsidR="004814E8" w:rsidRPr="004814E8" w:rsidRDefault="004814E8" w:rsidP="004814E8">
      <w:pPr>
        <w:pStyle w:val="Caption"/>
      </w:pPr>
      <w:bookmarkStart w:id="83"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4" w:name="_Toc110433342"/>
      <w:r w:rsidRPr="007531A4">
        <w:lastRenderedPageBreak/>
        <w:t>Government Procurement: General Conditions of Contract</w:t>
      </w:r>
      <w:r w:rsidR="009C21F4">
        <w:t xml:space="preserve"> (GCC)</w:t>
      </w:r>
      <w:bookmarkEnd w:id="84"/>
    </w:p>
    <w:p w:rsidR="00B21670" w:rsidRPr="008A2B1A" w:rsidRDefault="00B21670" w:rsidP="00B21670">
      <w:pPr>
        <w:pStyle w:val="Heading2"/>
        <w:rPr>
          <w:lang w:val="en-GB"/>
        </w:rPr>
      </w:pPr>
      <w:bookmarkStart w:id="85" w:name="_Toc110433343"/>
      <w:r>
        <w:rPr>
          <w:lang w:val="en-GB"/>
        </w:rPr>
        <w:t>Purpose</w:t>
      </w:r>
      <w:bookmarkEnd w:id="85"/>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6" w:name="_Toc110433344"/>
      <w:r w:rsidRPr="0056332A">
        <w:t>Application</w:t>
      </w:r>
      <w:bookmarkEnd w:id="86"/>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7" w:name="_Toc110433345"/>
      <w:r w:rsidRPr="0056332A">
        <w:t>General</w:t>
      </w:r>
      <w:bookmarkEnd w:id="87"/>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8" w:name="_Toc110433346"/>
      <w:r w:rsidRPr="0056332A">
        <w:t>Standards</w:t>
      </w:r>
      <w:bookmarkEnd w:id="88"/>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9" w:name="_Toc110433347"/>
      <w:r w:rsidRPr="0056332A">
        <w:t>Use of contract documents</w:t>
      </w:r>
      <w:r w:rsidR="00C32641">
        <w:t>,</w:t>
      </w:r>
      <w:r w:rsidRPr="0056332A">
        <w:t xml:space="preserve"> information</w:t>
      </w:r>
      <w:r w:rsidR="00C32641">
        <w:t xml:space="preserve"> and</w:t>
      </w:r>
      <w:r w:rsidRPr="0056332A">
        <w:t xml:space="preserve"> inspection</w:t>
      </w:r>
      <w:bookmarkEnd w:id="89"/>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90" w:name="_Toc110433348"/>
      <w:r w:rsidRPr="0056332A">
        <w:lastRenderedPageBreak/>
        <w:t>Patent rights</w:t>
      </w:r>
      <w:bookmarkEnd w:id="90"/>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1" w:name="_Toc110433349"/>
      <w:r w:rsidRPr="0056332A">
        <w:t>Performance security</w:t>
      </w:r>
      <w:bookmarkEnd w:id="91"/>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2" w:name="_Toc110433350"/>
      <w:r w:rsidRPr="0056332A">
        <w:t>Inspections, tests and analyses</w:t>
      </w:r>
      <w:bookmarkEnd w:id="92"/>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3" w:name="_Toc110433351"/>
      <w:r w:rsidRPr="0056332A">
        <w:t>Packing</w:t>
      </w:r>
      <w:bookmarkEnd w:id="93"/>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4" w:name="_Toc110433352"/>
      <w:r w:rsidRPr="0056332A">
        <w:t>Delivery and documents</w:t>
      </w:r>
      <w:bookmarkEnd w:id="94"/>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5" w:name="_Toc110433353"/>
      <w:r w:rsidRPr="000A01AD">
        <w:t>Insurance</w:t>
      </w:r>
      <w:bookmarkEnd w:id="95"/>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6" w:name="_Toc110433354"/>
      <w:r w:rsidRPr="000A01AD">
        <w:t>Transportation</w:t>
      </w:r>
      <w:bookmarkEnd w:id="96"/>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7" w:name="_Toc110433355"/>
      <w:r>
        <w:t>I</w:t>
      </w:r>
      <w:r w:rsidRPr="000A01AD">
        <w:t>ncidental services</w:t>
      </w:r>
      <w:bookmarkEnd w:id="97"/>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8" w:name="_Toc110433356"/>
      <w:r w:rsidRPr="000A01AD">
        <w:lastRenderedPageBreak/>
        <w:t>Spare parts</w:t>
      </w:r>
      <w:bookmarkEnd w:id="98"/>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9" w:name="_Toc110433357"/>
      <w:r w:rsidRPr="00A56683">
        <w:t>Warranty</w:t>
      </w:r>
      <w:bookmarkEnd w:id="99"/>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100" w:name="_Toc110433358"/>
      <w:r w:rsidRPr="00A56683">
        <w:t>Payment</w:t>
      </w:r>
      <w:bookmarkEnd w:id="100"/>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1" w:name="_Toc110433359"/>
      <w:r w:rsidRPr="00A56683">
        <w:t>Prices</w:t>
      </w:r>
      <w:bookmarkEnd w:id="101"/>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2" w:name="_Toc110433360"/>
      <w:r w:rsidRPr="005721E2">
        <w:t>Contract amendments</w:t>
      </w:r>
      <w:bookmarkEnd w:id="102"/>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3" w:name="_Toc110433361"/>
      <w:r w:rsidRPr="005721E2">
        <w:t>Assignment</w:t>
      </w:r>
      <w:bookmarkEnd w:id="103"/>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4" w:name="_Toc110433362"/>
      <w:r w:rsidRPr="005721E2">
        <w:t>Subcontracts</w:t>
      </w:r>
      <w:bookmarkEnd w:id="104"/>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5" w:name="_Toc110433363"/>
      <w:r w:rsidRPr="005721E2">
        <w:t>Delays in the supplier’s performance</w:t>
      </w:r>
      <w:bookmarkEnd w:id="105"/>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6" w:name="_Toc110433364"/>
      <w:r w:rsidRPr="005721E2">
        <w:t>Penalties</w:t>
      </w:r>
      <w:bookmarkEnd w:id="106"/>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7" w:name="_Toc110433365"/>
      <w:r w:rsidRPr="005721E2">
        <w:lastRenderedPageBreak/>
        <w:t>Termination for default</w:t>
      </w:r>
      <w:bookmarkEnd w:id="107"/>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8" w:name="_Toc110433366"/>
      <w:r w:rsidRPr="005721E2">
        <w:t>Anti-dumping and countervailing duties and rights</w:t>
      </w:r>
      <w:bookmarkEnd w:id="108"/>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9" w:name="_Toc110433367"/>
      <w:r w:rsidRPr="005721E2">
        <w:t>Force majeure</w:t>
      </w:r>
      <w:bookmarkEnd w:id="109"/>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10" w:name="_Toc110433368"/>
      <w:r w:rsidRPr="005721E2">
        <w:t>Termination for insolvency</w:t>
      </w:r>
      <w:bookmarkEnd w:id="110"/>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1" w:name="_Toc110433369"/>
      <w:r w:rsidRPr="005721E2">
        <w:t>Settlement of disputes</w:t>
      </w:r>
      <w:bookmarkEnd w:id="111"/>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2" w:name="_Toc110433370"/>
      <w:r w:rsidRPr="005721E2">
        <w:t>Limitation of liability</w:t>
      </w:r>
      <w:bookmarkEnd w:id="112"/>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3" w:name="_Toc110433371"/>
      <w:r w:rsidRPr="005721E2">
        <w:t>Governing language</w:t>
      </w:r>
      <w:bookmarkEnd w:id="113"/>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4" w:name="_Toc110433372"/>
      <w:r w:rsidRPr="005721E2">
        <w:t>Applicable law</w:t>
      </w:r>
      <w:bookmarkEnd w:id="114"/>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5" w:name="_Toc110433373"/>
      <w:r w:rsidRPr="005721E2">
        <w:t>Notices</w:t>
      </w:r>
      <w:bookmarkEnd w:id="115"/>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6" w:name="_Toc110433374"/>
      <w:r w:rsidRPr="005721E2">
        <w:t>Taxes and duties</w:t>
      </w:r>
      <w:bookmarkEnd w:id="116"/>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7" w:name="_Toc110433375"/>
      <w:r w:rsidRPr="005721E2">
        <w:t>National Industrial Participation (</w:t>
      </w:r>
      <w:r w:rsidR="00B313D3">
        <w:t>NIPP</w:t>
      </w:r>
      <w:r w:rsidRPr="005721E2">
        <w:t>) Programme</w:t>
      </w:r>
      <w:bookmarkEnd w:id="117"/>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8" w:name="_Toc110433376"/>
      <w:r w:rsidRPr="005721E2">
        <w:t>Prohibition of restrictive practices</w:t>
      </w:r>
      <w:bookmarkEnd w:id="118"/>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9" w:name="_Toc110433377"/>
      <w:r w:rsidRPr="00773264">
        <w:lastRenderedPageBreak/>
        <w:t>National Industrial Participation Programme (SBD 5)</w:t>
      </w:r>
      <w:bookmarkEnd w:id="119"/>
    </w:p>
    <w:p w:rsidR="00B21670" w:rsidRPr="00534B6F" w:rsidRDefault="00B21670" w:rsidP="00B21670">
      <w:pPr>
        <w:pStyle w:val="Heading2"/>
        <w:rPr>
          <w:lang w:val="en-GB"/>
        </w:rPr>
      </w:pPr>
      <w:bookmarkStart w:id="120" w:name="_Toc110433378"/>
      <w:r w:rsidRPr="00773264">
        <w:rPr>
          <w:lang w:val="en-GB"/>
        </w:rPr>
        <w:t>Intro</w:t>
      </w:r>
      <w:r w:rsidRPr="00534B6F">
        <w:rPr>
          <w:lang w:val="en-GB"/>
        </w:rPr>
        <w:t>duction</w:t>
      </w:r>
      <w:bookmarkEnd w:id="120"/>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1" w:name="_Toc110433379"/>
      <w:r w:rsidRPr="00534B6F">
        <w:rPr>
          <w:lang w:val="en-GB"/>
        </w:rPr>
        <w:t>Pillars of the programme</w:t>
      </w:r>
      <w:bookmarkEnd w:id="121"/>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2" w:name="_Toc110433380"/>
      <w:r w:rsidRPr="008D0EA5">
        <w:t xml:space="preserve">Requirements of the </w:t>
      </w:r>
      <w:r w:rsidR="002E1E41">
        <w:t>Department of Trade, Industry and Competition</w:t>
      </w:r>
      <w:bookmarkEnd w:id="122"/>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3" w:name="_Toc110433381"/>
      <w:r w:rsidRPr="002D68FB">
        <w:lastRenderedPageBreak/>
        <w:t>B</w:t>
      </w:r>
      <w:r>
        <w:t>id</w:t>
      </w:r>
      <w:r w:rsidRPr="002D68FB">
        <w:t xml:space="preserve"> submission and contract reporting requirements of bidders and successful bidders (contractors)</w:t>
      </w:r>
      <w:bookmarkEnd w:id="123"/>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4"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5" w:name="_Toc110433382"/>
      <w:bookmarkEnd w:id="124"/>
      <w:r w:rsidRPr="0056332A">
        <w:t xml:space="preserve">Process to satisfy the </w:t>
      </w:r>
      <w:r>
        <w:t>NIPP</w:t>
      </w:r>
      <w:r w:rsidRPr="0056332A">
        <w:t xml:space="preserve"> obligation</w:t>
      </w:r>
      <w:bookmarkEnd w:id="125"/>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6" w:name="_Toc488498846"/>
      <w:bookmarkStart w:id="127" w:name="_Toc110433383"/>
      <w:bookmarkEnd w:id="5"/>
      <w:bookmarkEnd w:id="6"/>
      <w:bookmarkEnd w:id="7"/>
      <w:bookmarkEnd w:id="8"/>
      <w:bookmarkEnd w:id="9"/>
      <w:r w:rsidRPr="00B7255B">
        <w:lastRenderedPageBreak/>
        <w:t>Abbreviations, Terms and Definitions</w:t>
      </w:r>
      <w:bookmarkEnd w:id="126"/>
      <w:bookmarkEnd w:id="127"/>
    </w:p>
    <w:p w:rsidR="001313AD" w:rsidRDefault="001313AD" w:rsidP="00710F8D">
      <w:pPr>
        <w:pStyle w:val="AnnexH2"/>
      </w:pPr>
      <w:bookmarkStart w:id="128" w:name="_Toc498843319"/>
      <w:bookmarkStart w:id="129" w:name="_Toc505652266"/>
      <w:bookmarkStart w:id="130" w:name="_Toc394778368"/>
      <w:bookmarkStart w:id="131" w:name="_Toc488498847"/>
      <w:bookmarkStart w:id="132" w:name="_Toc110433384"/>
      <w:bookmarkEnd w:id="10"/>
      <w:bookmarkEnd w:id="11"/>
      <w:r w:rsidRPr="00B80FF6">
        <w:t>Abbreviations</w:t>
      </w:r>
      <w:bookmarkEnd w:id="128"/>
      <w:bookmarkEnd w:id="129"/>
      <w:bookmarkEnd w:id="130"/>
      <w:bookmarkEnd w:id="131"/>
      <w:r w:rsidR="00D41F1F">
        <w:t xml:space="preserve"> and Acronyms</w:t>
      </w:r>
      <w:bookmarkEnd w:id="132"/>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3" w:name="_Toc488498848"/>
      <w:bookmarkStart w:id="134" w:name="_Toc110433385"/>
      <w:r>
        <w:t>Terms and Definitions</w:t>
      </w:r>
      <w:bookmarkEnd w:id="133"/>
      <w:bookmarkEnd w:id="134"/>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C1245">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C1245">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3C1245"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0"/>
      <w:footerReference w:type="default" r:id="rId21"/>
      <w:footerReference w:type="first" r:id="rId22"/>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A5E" w:rsidRDefault="00AE7A5E" w:rsidP="000C56A7">
      <w:pPr>
        <w:spacing w:after="0" w:line="240" w:lineRule="auto"/>
      </w:pPr>
      <w:r>
        <w:separator/>
      </w:r>
    </w:p>
  </w:endnote>
  <w:endnote w:type="continuationSeparator" w:id="0">
    <w:p w:rsidR="00AE7A5E" w:rsidRDefault="00AE7A5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903" w:rsidRDefault="00323903" w:rsidP="00F41519">
    <w:pPr>
      <w:pStyle w:val="Footer"/>
      <w:jc w:val="center"/>
    </w:pPr>
    <w:r>
      <w:rPr>
        <w:sz w:val="16"/>
        <w:szCs w:val="16"/>
      </w:rPr>
      <w:t>RFB 27</w:t>
    </w:r>
    <w:r w:rsidR="003C1245">
      <w:rPr>
        <w:sz w:val="16"/>
        <w:szCs w:val="16"/>
      </w:rPr>
      <w:t>71</w:t>
    </w:r>
    <w:r>
      <w:rPr>
        <w:sz w:val="16"/>
        <w:szCs w:val="16"/>
      </w:rPr>
      <w:t>/2023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23903" w:rsidRPr="00CB4B80" w:rsidRDefault="00323903">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903" w:rsidRDefault="00323903"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A5E" w:rsidRDefault="00AE7A5E" w:rsidP="000C56A7">
      <w:pPr>
        <w:spacing w:after="0" w:line="240" w:lineRule="auto"/>
      </w:pPr>
      <w:r>
        <w:separator/>
      </w:r>
    </w:p>
  </w:footnote>
  <w:footnote w:type="continuationSeparator" w:id="0">
    <w:p w:rsidR="00AE7A5E" w:rsidRDefault="00AE7A5E" w:rsidP="000C56A7">
      <w:pPr>
        <w:spacing w:after="0" w:line="240" w:lineRule="auto"/>
      </w:pPr>
      <w:r>
        <w:continuationSeparator/>
      </w:r>
    </w:p>
  </w:footnote>
  <w:footnote w:id="1">
    <w:p w:rsidR="00323903" w:rsidRPr="00A21FCD" w:rsidRDefault="0032390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23903" w:rsidRDefault="00323903" w:rsidP="009F515B">
      <w:pPr>
        <w:pStyle w:val="FootnoteText"/>
      </w:pPr>
    </w:p>
    <w:p w:rsidR="00323903" w:rsidRDefault="0032390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903" w:rsidRPr="00F37BD6" w:rsidRDefault="0032390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8A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23903"/>
    <w:rsid w:val="0033251B"/>
    <w:rsid w:val="003531F7"/>
    <w:rsid w:val="00355E9B"/>
    <w:rsid w:val="0036296B"/>
    <w:rsid w:val="0036570B"/>
    <w:rsid w:val="003672E8"/>
    <w:rsid w:val="00381611"/>
    <w:rsid w:val="003879E7"/>
    <w:rsid w:val="003C1245"/>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6F06"/>
    <w:rsid w:val="005E2478"/>
    <w:rsid w:val="005E3296"/>
    <w:rsid w:val="005E4CC1"/>
    <w:rsid w:val="005E7FD6"/>
    <w:rsid w:val="005F493D"/>
    <w:rsid w:val="005F5085"/>
    <w:rsid w:val="0060074E"/>
    <w:rsid w:val="00603845"/>
    <w:rsid w:val="00612C00"/>
    <w:rsid w:val="00622921"/>
    <w:rsid w:val="00625CDD"/>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2FC"/>
    <w:rsid w:val="00837D22"/>
    <w:rsid w:val="00840E16"/>
    <w:rsid w:val="00842404"/>
    <w:rsid w:val="00853230"/>
    <w:rsid w:val="008569BE"/>
    <w:rsid w:val="00886179"/>
    <w:rsid w:val="00887169"/>
    <w:rsid w:val="00891392"/>
    <w:rsid w:val="0089296C"/>
    <w:rsid w:val="00894548"/>
    <w:rsid w:val="008A128C"/>
    <w:rsid w:val="008A2B1A"/>
    <w:rsid w:val="008A3D63"/>
    <w:rsid w:val="008B1067"/>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60F83"/>
    <w:rsid w:val="00961F82"/>
    <w:rsid w:val="00975DD8"/>
    <w:rsid w:val="009A6CDE"/>
    <w:rsid w:val="009B762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E7A5E"/>
    <w:rsid w:val="00AF0DD3"/>
    <w:rsid w:val="00B00F9A"/>
    <w:rsid w:val="00B03535"/>
    <w:rsid w:val="00B06C7C"/>
    <w:rsid w:val="00B21670"/>
    <w:rsid w:val="00B21C62"/>
    <w:rsid w:val="00B313D3"/>
    <w:rsid w:val="00B3466C"/>
    <w:rsid w:val="00B55338"/>
    <w:rsid w:val="00B562F3"/>
    <w:rsid w:val="00B6276C"/>
    <w:rsid w:val="00B7255B"/>
    <w:rsid w:val="00B80FF6"/>
    <w:rsid w:val="00B9152C"/>
    <w:rsid w:val="00BA256A"/>
    <w:rsid w:val="00BA33F1"/>
    <w:rsid w:val="00BB365B"/>
    <w:rsid w:val="00BC35B1"/>
    <w:rsid w:val="00BC51BB"/>
    <w:rsid w:val="00BD6091"/>
    <w:rsid w:val="00BE50C6"/>
    <w:rsid w:val="00BF6DEC"/>
    <w:rsid w:val="00C026C6"/>
    <w:rsid w:val="00C0619F"/>
    <w:rsid w:val="00C10B9A"/>
    <w:rsid w:val="00C15393"/>
    <w:rsid w:val="00C2646C"/>
    <w:rsid w:val="00C32641"/>
    <w:rsid w:val="00C43725"/>
    <w:rsid w:val="00C62945"/>
    <w:rsid w:val="00C65649"/>
    <w:rsid w:val="00C66667"/>
    <w:rsid w:val="00C7701B"/>
    <w:rsid w:val="00C81DDA"/>
    <w:rsid w:val="00C82094"/>
    <w:rsid w:val="00C838A7"/>
    <w:rsid w:val="00C91E77"/>
    <w:rsid w:val="00CA0B40"/>
    <w:rsid w:val="00CA2193"/>
    <w:rsid w:val="00CA6749"/>
    <w:rsid w:val="00CB2B6F"/>
    <w:rsid w:val="00CB4B80"/>
    <w:rsid w:val="00CE321E"/>
    <w:rsid w:val="00CF2E41"/>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D59F1"/>
    <w:rsid w:val="00DE2482"/>
    <w:rsid w:val="00DE5E0D"/>
    <w:rsid w:val="00DF0A1E"/>
    <w:rsid w:val="00E030BC"/>
    <w:rsid w:val="00E044EF"/>
    <w:rsid w:val="00E14656"/>
    <w:rsid w:val="00E15F47"/>
    <w:rsid w:val="00E21EF6"/>
    <w:rsid w:val="00E225F2"/>
    <w:rsid w:val="00E240E3"/>
    <w:rsid w:val="00E242B4"/>
    <w:rsid w:val="00E26C6D"/>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49A6"/>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mphel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rtia.mphela@sita.co.za"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1C1765"/>
    <w:rsid w:val="0039441A"/>
    <w:rsid w:val="00454F7B"/>
    <w:rsid w:val="004E374B"/>
    <w:rsid w:val="00547D6A"/>
    <w:rsid w:val="005C5143"/>
    <w:rsid w:val="005C7332"/>
    <w:rsid w:val="00617E3B"/>
    <w:rsid w:val="00632147"/>
    <w:rsid w:val="0077706F"/>
    <w:rsid w:val="007A4E5F"/>
    <w:rsid w:val="00962FE6"/>
    <w:rsid w:val="00B02AA5"/>
    <w:rsid w:val="00CB1FE3"/>
    <w:rsid w:val="00D67F22"/>
    <w:rsid w:val="00D84C0E"/>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26B1B716-972F-4064-BE86-783CE43E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0</TotalTime>
  <Pages>35</Pages>
  <Words>12964</Words>
  <Characters>73897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2023-08-01T11:48:00Z</dcterms:created>
  <dcterms:modified xsi:type="dcterms:W3CDTF">2023-08-01T11:48:00Z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