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20869AF6" w:rsidR="00F0521B" w:rsidRPr="00F0521B" w:rsidRDefault="004D2545" w:rsidP="006B3FA2">
            <w:pPr>
              <w:spacing w:before="60" w:after="60" w:line="276" w:lineRule="auto"/>
              <w:jc w:val="both"/>
              <w:rPr>
                <w:rFonts w:ascii="Arial" w:hAnsi="Arial" w:cs="Arial"/>
                <w:sz w:val="20"/>
              </w:rPr>
            </w:pPr>
            <w:r>
              <w:rPr>
                <w:rFonts w:ascii="Arial" w:hAnsi="Arial" w:cs="Arial"/>
                <w:sz w:val="20"/>
              </w:rPr>
              <w:t>M</w:t>
            </w:r>
            <w:r w:rsidR="001B18B8">
              <w:rPr>
                <w:rFonts w:ascii="Arial" w:hAnsi="Arial" w:cs="Arial"/>
                <w:sz w:val="20"/>
              </w:rPr>
              <w:t>at</w:t>
            </w:r>
            <w:r>
              <w:rPr>
                <w:rFonts w:ascii="Arial" w:hAnsi="Arial" w:cs="Arial"/>
                <w:sz w:val="20"/>
              </w:rPr>
              <w:t>i</w:t>
            </w:r>
            <w:r w:rsidR="001B18B8">
              <w:rPr>
                <w:rFonts w:ascii="Arial" w:hAnsi="Arial" w:cs="Arial"/>
                <w:sz w:val="20"/>
              </w:rPr>
              <w:t>mba</w:t>
            </w:r>
            <w:r w:rsidR="00C54B8C">
              <w:rPr>
                <w:rFonts w:ascii="Arial" w:hAnsi="Arial" w:cs="Arial"/>
                <w:sz w:val="20"/>
              </w:rPr>
              <w:t xml:space="preserve"> Power Station</w:t>
            </w:r>
            <w:r>
              <w:rPr>
                <w:rFonts w:ascii="Arial" w:hAnsi="Arial" w:cs="Arial"/>
                <w:sz w:val="20"/>
              </w:rPr>
              <w:t xml:space="preserve"> GX</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14F7D40" w:rsidR="00EC662F" w:rsidRPr="00CE6D5A" w:rsidRDefault="003C4CC3" w:rsidP="00880865">
            <w:pPr>
              <w:spacing w:line="360" w:lineRule="auto"/>
              <w:jc w:val="both"/>
              <w:rPr>
                <w:rFonts w:ascii="Arial" w:hAnsi="Arial" w:cs="Arial"/>
                <w:sz w:val="20"/>
                <w:lang w:val="en-ZA"/>
              </w:rPr>
            </w:pPr>
            <w:r w:rsidRPr="003C4CC3">
              <w:rPr>
                <w:rFonts w:ascii="Arial" w:hAnsi="Arial" w:cs="Arial"/>
                <w:color w:val="000000"/>
                <w:sz w:val="20"/>
              </w:rPr>
              <w:t>Supply and delivery of Mills Coupling on an as and when required basis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82662F7" w:rsidR="00EB6A30" w:rsidRPr="00F0521B" w:rsidRDefault="001B18B8" w:rsidP="00EB03A4">
            <w:pPr>
              <w:spacing w:before="60" w:after="60" w:line="276" w:lineRule="auto"/>
              <w:jc w:val="both"/>
              <w:rPr>
                <w:rFonts w:ascii="Arial" w:hAnsi="Arial" w:cs="Arial"/>
                <w:sz w:val="20"/>
              </w:rPr>
            </w:pPr>
            <w:r>
              <w:rPr>
                <w:rFonts w:ascii="Arial" w:hAnsi="Arial" w:cs="Arial"/>
                <w:sz w:val="20"/>
              </w:rPr>
              <w:t>60</w:t>
            </w:r>
            <w:r w:rsidR="00C54B8C">
              <w:rPr>
                <w:rFonts w:ascii="Arial" w:hAnsi="Arial" w:cs="Arial"/>
                <w:sz w:val="20"/>
              </w:rPr>
              <w:t xml:space="preserve">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3ED2C1D8" w:rsidR="00304117" w:rsidRPr="00CE6D5A" w:rsidRDefault="007C000E" w:rsidP="00F0521B">
            <w:pPr>
              <w:spacing w:before="60" w:after="60" w:line="276" w:lineRule="auto"/>
              <w:jc w:val="both"/>
              <w:rPr>
                <w:rFonts w:ascii="Arial" w:hAnsi="Arial" w:cs="Arial"/>
                <w:sz w:val="20"/>
              </w:rPr>
            </w:pPr>
            <w:r>
              <w:rPr>
                <w:rFonts w:ascii="Arial" w:hAnsi="Arial" w:cs="Arial"/>
                <w:sz w:val="20"/>
              </w:rPr>
              <w:t>Mabuse Maila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C54B8C" w:rsidRDefault="00CA337A" w:rsidP="006F7826">
      <w:pPr>
        <w:pStyle w:val="ListParagraph"/>
        <w:numPr>
          <w:ilvl w:val="0"/>
          <w:numId w:val="39"/>
        </w:numPr>
        <w:spacing w:after="200" w:line="276" w:lineRule="auto"/>
        <w:jc w:val="both"/>
        <w:rPr>
          <w:rFonts w:ascii="Arial" w:hAnsi="Arial" w:cs="Arial"/>
          <w:bCs/>
          <w:sz w:val="20"/>
          <w:lang w:val="en-ZA"/>
        </w:rPr>
      </w:pPr>
      <w:r w:rsidRPr="00C54B8C">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484581A" w14:textId="0FC19608"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4D2545">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0"/>
          <w:p w14:paraId="1B4F3000" w14:textId="18D11042"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4D2545"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41F41DE9" w14:textId="77777777" w:rsidR="001B18B8" w:rsidRDefault="001B18B8" w:rsidP="00E855AE">
            <w:pPr>
              <w:spacing w:line="360" w:lineRule="auto"/>
              <w:jc w:val="both"/>
              <w:rPr>
                <w:sz w:val="20"/>
                <w:lang w:eastAsia="en-ZA"/>
              </w:rPr>
            </w:pPr>
          </w:p>
          <w:p w14:paraId="38C4D2C9" w14:textId="77777777" w:rsidR="001B18B8" w:rsidRDefault="001B18B8" w:rsidP="00E855AE">
            <w:pPr>
              <w:spacing w:line="360" w:lineRule="auto"/>
              <w:jc w:val="both"/>
              <w:rPr>
                <w:sz w:val="20"/>
                <w:lang w:eastAsia="en-ZA"/>
              </w:rPr>
            </w:pPr>
          </w:p>
          <w:p w14:paraId="6B96F34C" w14:textId="77777777" w:rsidR="001B18B8" w:rsidRPr="00DD747B" w:rsidRDefault="001B18B8" w:rsidP="00E855AE">
            <w:pPr>
              <w:spacing w:line="360" w:lineRule="auto"/>
              <w:jc w:val="both"/>
              <w:rPr>
                <w:sz w:val="20"/>
                <w:lang w:eastAsia="en-ZA"/>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083715FB" w14:textId="77777777" w:rsidR="00E855AE" w:rsidRDefault="00E855AE"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79DCC77" w14:textId="77777777" w:rsidR="00C54B8C" w:rsidRPr="008D02A6" w:rsidRDefault="00C54B8C" w:rsidP="00C54B8C">
            <w:pPr>
              <w:tabs>
                <w:tab w:val="left" w:pos="720"/>
              </w:tabs>
              <w:jc w:val="both"/>
              <w:rPr>
                <w:rFonts w:ascii="Arial" w:hAnsi="Arial" w:cs="Arial"/>
                <w:color w:val="000000" w:themeColor="text1"/>
                <w:sz w:val="20"/>
              </w:rPr>
            </w:pPr>
            <w:r w:rsidRPr="008D02A6">
              <w:rPr>
                <w:rFonts w:ascii="Arial" w:hAnsi="Arial" w:cs="Arial"/>
                <w:color w:val="000000" w:themeColor="text1"/>
                <w:sz w:val="20"/>
              </w:rPr>
              <w:t>Eskom reserves the right to negotiate with the tenderer on Eskom’s requirements. The outcome of the negotiations will be a contractual obligation. If negotiations are not required, the tenderer’s SDL&amp;I undertaking will become a contractual condition.</w:t>
            </w:r>
          </w:p>
          <w:p w14:paraId="7BB9E537" w14:textId="77777777" w:rsidR="00C54B8C" w:rsidRPr="008D02A6" w:rsidRDefault="00C54B8C" w:rsidP="00C54B8C">
            <w:pPr>
              <w:tabs>
                <w:tab w:val="left" w:pos="720"/>
              </w:tabs>
              <w:jc w:val="both"/>
              <w:rPr>
                <w:rFonts w:ascii="Arial" w:hAnsi="Arial" w:cs="Arial"/>
                <w:color w:val="000000" w:themeColor="text1"/>
                <w:sz w:val="20"/>
              </w:rPr>
            </w:pPr>
          </w:p>
          <w:p w14:paraId="259B7614" w14:textId="77777777" w:rsidR="00C54B8C" w:rsidRPr="008D02A6" w:rsidRDefault="00C54B8C" w:rsidP="00C54B8C">
            <w:pPr>
              <w:tabs>
                <w:tab w:val="left" w:pos="720"/>
              </w:tabs>
              <w:jc w:val="both"/>
              <w:rPr>
                <w:rFonts w:ascii="Arial" w:hAnsi="Arial" w:cs="Arial"/>
                <w:color w:val="000000" w:themeColor="text1"/>
                <w:sz w:val="20"/>
              </w:rPr>
            </w:pPr>
            <w:r w:rsidRPr="008D02A6">
              <w:rPr>
                <w:rFonts w:ascii="Arial" w:hAnsi="Arial" w:cs="Arial"/>
                <w:color w:val="000000" w:themeColor="text1"/>
                <w:sz w:val="20"/>
              </w:rPr>
              <w:t>Skills development is designed to benefit the currently unemployed graduates from school: further education and training campuses and universities.</w:t>
            </w:r>
          </w:p>
          <w:p w14:paraId="580DA3EC" w14:textId="77777777" w:rsidR="00C54B8C" w:rsidRPr="008D02A6" w:rsidRDefault="00C54B8C" w:rsidP="00C54B8C">
            <w:pPr>
              <w:tabs>
                <w:tab w:val="left" w:pos="720"/>
              </w:tabs>
              <w:jc w:val="both"/>
              <w:rPr>
                <w:rFonts w:ascii="Arial" w:hAnsi="Arial" w:cs="Arial"/>
                <w:color w:val="000000" w:themeColor="text1"/>
                <w:sz w:val="20"/>
              </w:rPr>
            </w:pPr>
          </w:p>
          <w:p w14:paraId="1E567997" w14:textId="77777777" w:rsidR="00C54B8C" w:rsidRPr="008D02A6" w:rsidRDefault="00C54B8C" w:rsidP="00C54B8C">
            <w:pPr>
              <w:tabs>
                <w:tab w:val="left" w:pos="720"/>
              </w:tabs>
              <w:jc w:val="both"/>
              <w:rPr>
                <w:rFonts w:ascii="Arial" w:hAnsi="Arial" w:cs="Arial"/>
                <w:color w:val="000000" w:themeColor="text1"/>
                <w:sz w:val="20"/>
              </w:rPr>
            </w:pPr>
            <w:r w:rsidRPr="008D02A6">
              <w:rPr>
                <w:rFonts w:ascii="Arial" w:hAnsi="Arial" w:cs="Arial"/>
                <w:color w:val="000000" w:themeColor="text1"/>
                <w:sz w:val="20"/>
              </w:rPr>
              <w:t>The composition of these candidates must be representative of the population demographics of South Africa. Note that these targets for skills development candidates categorically exclude Eskom employees and registered learners.</w:t>
            </w:r>
          </w:p>
          <w:p w14:paraId="76835C0F" w14:textId="77777777" w:rsidR="00C54B8C" w:rsidRPr="008D02A6" w:rsidRDefault="00C54B8C" w:rsidP="00C54B8C">
            <w:pPr>
              <w:tabs>
                <w:tab w:val="left" w:pos="720"/>
              </w:tabs>
              <w:jc w:val="both"/>
              <w:rPr>
                <w:rFonts w:ascii="Arial" w:hAnsi="Arial" w:cs="Arial"/>
                <w:color w:val="000000" w:themeColor="text1"/>
                <w:sz w:val="20"/>
              </w:rPr>
            </w:pPr>
          </w:p>
          <w:p w14:paraId="286FB339" w14:textId="77777777" w:rsidR="00C54B8C" w:rsidRPr="008D02A6" w:rsidRDefault="00C54B8C" w:rsidP="00C54B8C">
            <w:pPr>
              <w:tabs>
                <w:tab w:val="left" w:pos="720"/>
              </w:tabs>
              <w:jc w:val="both"/>
              <w:rPr>
                <w:rFonts w:ascii="Arial" w:hAnsi="Arial" w:cs="Arial"/>
                <w:color w:val="000000" w:themeColor="text1"/>
                <w:sz w:val="20"/>
              </w:rPr>
            </w:pPr>
            <w:r w:rsidRPr="008D02A6">
              <w:rPr>
                <w:rFonts w:ascii="Arial" w:hAnsi="Arial" w:cs="Arial"/>
                <w:color w:val="000000" w:themeColor="text1"/>
                <w:sz w:val="20"/>
              </w:rPr>
              <w:t>This is how the skills development will be applied:</w:t>
            </w:r>
          </w:p>
          <w:p w14:paraId="603B4A47" w14:textId="77777777" w:rsidR="00C54B8C" w:rsidRPr="008D02A6" w:rsidRDefault="00C54B8C" w:rsidP="00C54B8C">
            <w:pPr>
              <w:tabs>
                <w:tab w:val="left" w:pos="720"/>
              </w:tabs>
              <w:jc w:val="both"/>
              <w:rPr>
                <w:rFonts w:ascii="Arial" w:hAnsi="Arial" w:cs="Arial"/>
                <w:color w:val="000000" w:themeColor="text1"/>
                <w:sz w:val="20"/>
              </w:rPr>
            </w:pPr>
          </w:p>
          <w:p w14:paraId="5D9D64F3" w14:textId="32EAC890" w:rsidR="00C54B8C" w:rsidRPr="008D02A6" w:rsidRDefault="00C54B8C" w:rsidP="00C54B8C">
            <w:pPr>
              <w:numPr>
                <w:ilvl w:val="0"/>
                <w:numId w:val="47"/>
              </w:numPr>
              <w:tabs>
                <w:tab w:val="left" w:pos="720"/>
              </w:tabs>
              <w:jc w:val="both"/>
              <w:rPr>
                <w:rFonts w:ascii="Arial" w:hAnsi="Arial" w:cs="Arial"/>
                <w:color w:val="000000" w:themeColor="text1"/>
                <w:sz w:val="20"/>
              </w:rPr>
            </w:pPr>
            <w:r w:rsidRPr="008D02A6">
              <w:rPr>
                <w:rFonts w:ascii="Arial" w:hAnsi="Arial" w:cs="Arial"/>
                <w:color w:val="000000" w:themeColor="text1"/>
                <w:sz w:val="20"/>
              </w:rPr>
              <w:t xml:space="preserve">Successful tenderer will be obligated to </w:t>
            </w:r>
            <w:r w:rsidRPr="008D02A6">
              <w:rPr>
                <w:rFonts w:ascii="Arial" w:hAnsi="Arial" w:cs="Arial"/>
                <w:b/>
                <w:color w:val="000000" w:themeColor="text1"/>
                <w:sz w:val="20"/>
              </w:rPr>
              <w:t>skill one</w:t>
            </w:r>
            <w:r w:rsidRPr="008D02A6">
              <w:rPr>
                <w:rFonts w:ascii="Arial" w:hAnsi="Arial" w:cs="Arial"/>
                <w:color w:val="000000" w:themeColor="text1"/>
                <w:sz w:val="20"/>
              </w:rPr>
              <w:t xml:space="preserve"> candidate for every </w:t>
            </w:r>
            <w:r w:rsidRPr="008D02A6">
              <w:rPr>
                <w:rFonts w:ascii="Arial" w:hAnsi="Arial" w:cs="Arial"/>
                <w:b/>
                <w:color w:val="000000" w:themeColor="text1"/>
                <w:sz w:val="20"/>
              </w:rPr>
              <w:t>R1</w:t>
            </w:r>
            <w:r w:rsidR="003C4CC3">
              <w:rPr>
                <w:rFonts w:ascii="Arial" w:hAnsi="Arial" w:cs="Arial"/>
                <w:b/>
                <w:color w:val="000000" w:themeColor="text1"/>
                <w:sz w:val="20"/>
              </w:rPr>
              <w:t>0</w:t>
            </w:r>
            <w:r w:rsidRPr="008D02A6">
              <w:rPr>
                <w:rFonts w:ascii="Arial" w:hAnsi="Arial" w:cs="Arial"/>
                <w:b/>
                <w:color w:val="000000" w:themeColor="text1"/>
                <w:sz w:val="20"/>
              </w:rPr>
              <w:t> Million</w:t>
            </w:r>
            <w:r w:rsidRPr="008D02A6">
              <w:rPr>
                <w:rFonts w:ascii="Arial" w:hAnsi="Arial" w:cs="Arial"/>
                <w:color w:val="000000" w:themeColor="text1"/>
                <w:sz w:val="20"/>
              </w:rPr>
              <w:t xml:space="preserve"> spend cumulatively through purchase orders/instructions awarded to the supplier; The supplier will be required to implement this requirement a month after the threshold is reached. </w:t>
            </w:r>
          </w:p>
          <w:p w14:paraId="7A36B257" w14:textId="77777777" w:rsidR="00C54B8C" w:rsidRPr="008D02A6" w:rsidRDefault="00C54B8C" w:rsidP="00C54B8C">
            <w:pPr>
              <w:numPr>
                <w:ilvl w:val="0"/>
                <w:numId w:val="47"/>
              </w:numPr>
              <w:tabs>
                <w:tab w:val="left" w:pos="720"/>
              </w:tabs>
              <w:jc w:val="both"/>
              <w:rPr>
                <w:rFonts w:ascii="Arial" w:hAnsi="Arial" w:cs="Arial"/>
                <w:color w:val="000000" w:themeColor="text1"/>
                <w:sz w:val="20"/>
              </w:rPr>
            </w:pPr>
            <w:r w:rsidRPr="008D02A6">
              <w:rPr>
                <w:rFonts w:ascii="Arial" w:hAnsi="Arial" w:cs="Arial"/>
                <w:color w:val="000000" w:themeColor="text1"/>
                <w:sz w:val="20"/>
              </w:rPr>
              <w:t>This obligation will be for the duration of the contract however supplier needs to demonstrate positive progress on monthly basis.</w:t>
            </w:r>
          </w:p>
          <w:p w14:paraId="3270272C" w14:textId="2E35C2A7" w:rsidR="00876599" w:rsidRDefault="00C54B8C" w:rsidP="00C54B8C">
            <w:pPr>
              <w:numPr>
                <w:ilvl w:val="0"/>
                <w:numId w:val="47"/>
              </w:numPr>
              <w:tabs>
                <w:tab w:val="left" w:pos="720"/>
              </w:tabs>
              <w:jc w:val="both"/>
              <w:rPr>
                <w:rFonts w:ascii="Arial" w:hAnsi="Arial" w:cs="Arial"/>
                <w:color w:val="000000" w:themeColor="text1"/>
                <w:sz w:val="20"/>
              </w:rPr>
            </w:pPr>
            <w:r w:rsidRPr="008D02A6">
              <w:rPr>
                <w:rFonts w:ascii="Arial" w:hAnsi="Arial" w:cs="Arial"/>
                <w:color w:val="000000" w:themeColor="text1"/>
                <w:sz w:val="20"/>
              </w:rPr>
              <w:t xml:space="preserve"> Candidates shall be sourced</w:t>
            </w:r>
            <w:r w:rsidR="002C5318" w:rsidRPr="008D02A6">
              <w:rPr>
                <w:rFonts w:ascii="Arial" w:hAnsi="Arial" w:cs="Arial"/>
                <w:color w:val="000000" w:themeColor="text1"/>
                <w:sz w:val="20"/>
              </w:rPr>
              <w:t xml:space="preserve"> from</w:t>
            </w:r>
            <w:r w:rsidRPr="008D02A6">
              <w:rPr>
                <w:rFonts w:ascii="Arial" w:hAnsi="Arial" w:cs="Arial"/>
                <w:color w:val="000000" w:themeColor="text1"/>
                <w:sz w:val="20"/>
              </w:rPr>
              <w:t xml:space="preserve"> th</w:t>
            </w:r>
            <w:r w:rsidR="001B18B8">
              <w:rPr>
                <w:rFonts w:ascii="Arial" w:hAnsi="Arial" w:cs="Arial"/>
                <w:color w:val="000000" w:themeColor="text1"/>
                <w:sz w:val="20"/>
              </w:rPr>
              <w:t>e Lephalale Municipality area</w:t>
            </w:r>
            <w:r w:rsidRPr="008D02A6">
              <w:rPr>
                <w:rFonts w:ascii="Arial" w:hAnsi="Arial" w:cs="Arial"/>
                <w:color w:val="000000" w:themeColor="text1"/>
                <w:sz w:val="20"/>
              </w:rPr>
              <w:t>.</w:t>
            </w:r>
          </w:p>
          <w:p w14:paraId="1F649B4F" w14:textId="34181F8C" w:rsidR="00C54B8C" w:rsidRPr="008D02A6" w:rsidRDefault="00876599" w:rsidP="00C54B8C">
            <w:pPr>
              <w:numPr>
                <w:ilvl w:val="0"/>
                <w:numId w:val="47"/>
              </w:numPr>
              <w:tabs>
                <w:tab w:val="left" w:pos="720"/>
              </w:tabs>
              <w:jc w:val="both"/>
              <w:rPr>
                <w:rFonts w:ascii="Arial" w:hAnsi="Arial" w:cs="Arial"/>
                <w:color w:val="000000" w:themeColor="text1"/>
                <w:sz w:val="20"/>
              </w:rPr>
            </w:pPr>
            <w:r>
              <w:rPr>
                <w:rFonts w:ascii="Arial" w:hAnsi="Arial" w:cs="Arial"/>
                <w:color w:val="000000" w:themeColor="text1"/>
                <w:sz w:val="20"/>
              </w:rPr>
              <w:t>The bursary must be for a minimum of 24 months.</w:t>
            </w:r>
            <w:r w:rsidR="00C54B8C" w:rsidRPr="008D02A6">
              <w:rPr>
                <w:rFonts w:ascii="Arial" w:hAnsi="Arial" w:cs="Arial"/>
                <w:color w:val="000000" w:themeColor="text1"/>
                <w:sz w:val="20"/>
              </w:rPr>
              <w:t xml:space="preserve"> </w:t>
            </w:r>
          </w:p>
          <w:p w14:paraId="7F6E1404" w14:textId="77777777" w:rsidR="00546E27" w:rsidRPr="008D02A6" w:rsidRDefault="00546E27" w:rsidP="00065BFD">
            <w:pPr>
              <w:tabs>
                <w:tab w:val="left" w:pos="720"/>
              </w:tabs>
              <w:jc w:val="both"/>
              <w:rPr>
                <w:rFonts w:ascii="Arial" w:hAnsi="Arial" w:cs="Arial"/>
                <w:color w:val="000000" w:themeColor="text1"/>
                <w:sz w:val="20"/>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122"/>
              <w:gridCol w:w="2835"/>
            </w:tblGrid>
            <w:tr w:rsidR="004D2545" w:rsidRPr="008D02A6" w14:paraId="77CB6640" w14:textId="77777777" w:rsidTr="004D2545">
              <w:trPr>
                <w:trHeight w:val="359"/>
              </w:trPr>
              <w:tc>
                <w:tcPr>
                  <w:tcW w:w="2556" w:type="dxa"/>
                  <w:shd w:val="clear" w:color="auto" w:fill="D9D9D9" w:themeFill="background1" w:themeFillShade="D9"/>
                </w:tcPr>
                <w:p w14:paraId="5F36941E" w14:textId="77777777" w:rsidR="004D2545" w:rsidRPr="008D02A6" w:rsidRDefault="004D2545" w:rsidP="002C5318">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Skill type / Occupation</w:t>
                  </w:r>
                </w:p>
              </w:tc>
              <w:tc>
                <w:tcPr>
                  <w:tcW w:w="2122" w:type="dxa"/>
                  <w:shd w:val="clear" w:color="auto" w:fill="D9D9D9" w:themeFill="background1" w:themeFillShade="D9"/>
                </w:tcPr>
                <w:p w14:paraId="0585DB97" w14:textId="728A1BEF" w:rsidR="004D2545" w:rsidRPr="008D02A6" w:rsidRDefault="004D2545" w:rsidP="002C5318">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Entry Level</w:t>
                  </w:r>
                </w:p>
              </w:tc>
              <w:tc>
                <w:tcPr>
                  <w:tcW w:w="2835" w:type="dxa"/>
                  <w:shd w:val="clear" w:color="auto" w:fill="D9D9D9" w:themeFill="background1" w:themeFillShade="D9"/>
                </w:tcPr>
                <w:p w14:paraId="4B3F51EA" w14:textId="37C1AAA4" w:rsidR="004D2545" w:rsidRPr="008D02A6" w:rsidRDefault="004D2545" w:rsidP="002C5318">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Output</w:t>
                  </w:r>
                </w:p>
              </w:tc>
            </w:tr>
            <w:tr w:rsidR="004D2545" w:rsidRPr="008D02A6" w14:paraId="06909033" w14:textId="77777777" w:rsidTr="004D2545">
              <w:trPr>
                <w:trHeight w:val="359"/>
              </w:trPr>
              <w:tc>
                <w:tcPr>
                  <w:tcW w:w="2556" w:type="dxa"/>
                  <w:shd w:val="clear" w:color="auto" w:fill="auto"/>
                  <w:vAlign w:val="bottom"/>
                </w:tcPr>
                <w:p w14:paraId="15DA170B" w14:textId="4A974B95" w:rsidR="004D2545" w:rsidRPr="008D02A6" w:rsidRDefault="004D2545" w:rsidP="002C5318">
                  <w:pPr>
                    <w:spacing w:line="276" w:lineRule="auto"/>
                    <w:rPr>
                      <w:rFonts w:ascii="Arial" w:hAnsi="Arial" w:cs="Arial"/>
                      <w:color w:val="000000" w:themeColor="text1"/>
                      <w:sz w:val="20"/>
                    </w:rPr>
                  </w:pPr>
                  <w:r w:rsidRPr="008D02A6">
                    <w:rPr>
                      <w:rFonts w:ascii="Arial" w:hAnsi="Arial" w:cs="Arial"/>
                      <w:color w:val="000000" w:themeColor="text1"/>
                      <w:sz w:val="20"/>
                    </w:rPr>
                    <w:t>Bursaries (Local learners)</w:t>
                  </w:r>
                </w:p>
              </w:tc>
              <w:tc>
                <w:tcPr>
                  <w:tcW w:w="2122" w:type="dxa"/>
                </w:tcPr>
                <w:p w14:paraId="5B1CF8E8" w14:textId="5DD83FB7" w:rsidR="004D2545" w:rsidRPr="008D02A6" w:rsidRDefault="004D2545" w:rsidP="002C5318">
                  <w:pPr>
                    <w:tabs>
                      <w:tab w:val="left" w:pos="720"/>
                    </w:tabs>
                    <w:jc w:val="center"/>
                    <w:rPr>
                      <w:rFonts w:ascii="Arial" w:hAnsi="Arial" w:cs="Arial"/>
                      <w:b/>
                      <w:color w:val="000000" w:themeColor="text1"/>
                      <w:sz w:val="20"/>
                    </w:rPr>
                  </w:pPr>
                  <w:r w:rsidRPr="008D02A6">
                    <w:rPr>
                      <w:rFonts w:ascii="Arial" w:hAnsi="Arial" w:cs="Arial"/>
                      <w:b/>
                      <w:color w:val="000000" w:themeColor="text1"/>
                      <w:sz w:val="20"/>
                    </w:rPr>
                    <w:t>1</w:t>
                  </w:r>
                  <w:r w:rsidRPr="008D02A6">
                    <w:rPr>
                      <w:rFonts w:ascii="Arial" w:hAnsi="Arial" w:cs="Arial"/>
                      <w:b/>
                      <w:color w:val="000000" w:themeColor="text1"/>
                      <w:sz w:val="20"/>
                      <w:vertAlign w:val="superscript"/>
                    </w:rPr>
                    <w:t>st</w:t>
                  </w:r>
                  <w:r w:rsidRPr="008D02A6">
                    <w:rPr>
                      <w:rFonts w:ascii="Arial" w:hAnsi="Arial" w:cs="Arial"/>
                      <w:b/>
                      <w:color w:val="000000" w:themeColor="text1"/>
                      <w:sz w:val="20"/>
                    </w:rPr>
                    <w:t xml:space="preserve"> or 2</w:t>
                  </w:r>
                  <w:r w:rsidRPr="008D02A6">
                    <w:rPr>
                      <w:rFonts w:ascii="Arial" w:hAnsi="Arial" w:cs="Arial"/>
                      <w:b/>
                      <w:color w:val="000000" w:themeColor="text1"/>
                      <w:sz w:val="20"/>
                      <w:vertAlign w:val="superscript"/>
                    </w:rPr>
                    <w:t>nd</w:t>
                  </w:r>
                  <w:r w:rsidRPr="008D02A6">
                    <w:rPr>
                      <w:rFonts w:ascii="Arial" w:hAnsi="Arial" w:cs="Arial"/>
                      <w:b/>
                      <w:color w:val="000000" w:themeColor="text1"/>
                      <w:sz w:val="20"/>
                    </w:rPr>
                    <w:t xml:space="preserve"> or 3</w:t>
                  </w:r>
                  <w:r w:rsidRPr="008D02A6">
                    <w:rPr>
                      <w:rFonts w:ascii="Arial" w:hAnsi="Arial" w:cs="Arial"/>
                      <w:b/>
                      <w:color w:val="000000" w:themeColor="text1"/>
                      <w:sz w:val="20"/>
                      <w:vertAlign w:val="superscript"/>
                    </w:rPr>
                    <w:t>rd</w:t>
                  </w:r>
                  <w:r w:rsidRPr="008D02A6">
                    <w:rPr>
                      <w:rFonts w:ascii="Arial" w:hAnsi="Arial" w:cs="Arial"/>
                      <w:b/>
                      <w:color w:val="000000" w:themeColor="text1"/>
                      <w:sz w:val="20"/>
                    </w:rPr>
                    <w:t xml:space="preserve"> year</w:t>
                  </w:r>
                </w:p>
              </w:tc>
              <w:tc>
                <w:tcPr>
                  <w:tcW w:w="2835" w:type="dxa"/>
                </w:tcPr>
                <w:p w14:paraId="2B273005" w14:textId="1EAC308D" w:rsidR="004D2545" w:rsidRPr="008D02A6" w:rsidRDefault="004D2545" w:rsidP="002C5318">
                  <w:pPr>
                    <w:tabs>
                      <w:tab w:val="left" w:pos="720"/>
                    </w:tabs>
                    <w:jc w:val="center"/>
                    <w:rPr>
                      <w:rFonts w:ascii="Arial" w:hAnsi="Arial" w:cs="Arial"/>
                      <w:b/>
                      <w:color w:val="000000" w:themeColor="text1"/>
                      <w:sz w:val="20"/>
                    </w:rPr>
                  </w:pPr>
                  <w:r>
                    <w:rPr>
                      <w:rFonts w:ascii="Arial" w:hAnsi="Arial" w:cs="Arial"/>
                      <w:b/>
                      <w:color w:val="000000" w:themeColor="text1"/>
                      <w:sz w:val="20"/>
                    </w:rPr>
                    <w:t xml:space="preserve">National Diploma / </w:t>
                  </w:r>
                  <w:r w:rsidRPr="008D02A6">
                    <w:rPr>
                      <w:rFonts w:ascii="Arial" w:hAnsi="Arial" w:cs="Arial"/>
                      <w:b/>
                      <w:color w:val="000000" w:themeColor="text1"/>
                      <w:sz w:val="20"/>
                    </w:rPr>
                    <w:t>B-Tech</w:t>
                  </w:r>
                  <w:r>
                    <w:rPr>
                      <w:rFonts w:ascii="Arial" w:hAnsi="Arial" w:cs="Arial"/>
                      <w:b/>
                      <w:color w:val="000000" w:themeColor="text1"/>
                      <w:sz w:val="20"/>
                    </w:rPr>
                    <w:t xml:space="preserve"> / Degree</w:t>
                  </w:r>
                </w:p>
              </w:tc>
            </w:tr>
          </w:tbl>
          <w:p w14:paraId="71443C5C" w14:textId="143F1E5E" w:rsidR="00546E27" w:rsidRPr="000C5130" w:rsidRDefault="00546E27" w:rsidP="00005A8B">
            <w:pPr>
              <w:spacing w:after="200" w:line="360" w:lineRule="auto"/>
              <w:ind w:left="360"/>
              <w:contextualSpacing/>
              <w:jc w:val="both"/>
              <w:rPr>
                <w:rFonts w:ascii="Arial" w:hAnsi="Arial" w:cs="Arial"/>
                <w:sz w:val="20"/>
              </w:rPr>
            </w:pPr>
          </w:p>
        </w:tc>
      </w:tr>
    </w:tbl>
    <w:p w14:paraId="53BD7A8F" w14:textId="376F9B80" w:rsidR="004D2545" w:rsidRDefault="004D2545" w:rsidP="00EB6A30">
      <w:pPr>
        <w:spacing w:after="120" w:line="276" w:lineRule="auto"/>
        <w:rPr>
          <w:rFonts w:ascii="Arial" w:hAnsi="Arial" w:cs="Arial"/>
          <w:b/>
          <w:sz w:val="22"/>
        </w:rPr>
      </w:pPr>
    </w:p>
    <w:p w14:paraId="495B2680" w14:textId="77777777" w:rsidR="004D2545" w:rsidRDefault="004D2545"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436FEA90" w:rsidR="00F76156" w:rsidRDefault="00F76156" w:rsidP="00C7656D">
      <w:pPr>
        <w:spacing w:after="200" w:line="276" w:lineRule="auto"/>
        <w:rPr>
          <w:rFonts w:ascii="Arial" w:hAnsi="Arial" w:cs="Arial"/>
          <w:b/>
          <w:sz w:val="22"/>
        </w:rPr>
      </w:pPr>
    </w:p>
    <w:p w14:paraId="35DAD45A" w14:textId="54B0A25E" w:rsidR="00990864" w:rsidRPr="00816D48" w:rsidRDefault="00C54B8C" w:rsidP="00C7656D">
      <w:pPr>
        <w:spacing w:after="200" w:line="276" w:lineRule="auto"/>
        <w:rPr>
          <w:rFonts w:ascii="Arial" w:hAnsi="Arial" w:cs="Arial"/>
          <w:b/>
          <w:sz w:val="22"/>
        </w:rPr>
      </w:pPr>
      <w:r>
        <w:rPr>
          <w:rFonts w:ascii="Arial" w:hAnsi="Arial" w:cs="Arial"/>
          <w:b/>
          <w:sz w:val="22"/>
        </w:rPr>
        <w:t>S</w:t>
      </w:r>
      <w:r w:rsidR="00C7656D">
        <w:rPr>
          <w:rFonts w:ascii="Arial" w:hAnsi="Arial" w:cs="Arial"/>
          <w:b/>
          <w:sz w:val="22"/>
        </w:rPr>
        <w:t>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1"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Empowering supplier status must be indicated. For QSEs, the deponent must select the basis for the empowering supplier status. </w:t>
            </w:r>
          </w:p>
          <w:p w14:paraId="1BF3A599" w14:textId="681471A5"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r w:rsidR="001B18B8" w:rsidRPr="00EB6A30">
              <w:rPr>
                <w:rFonts w:ascii="Arial" w:hAnsi="Arial" w:cs="Arial"/>
                <w:b/>
                <w:sz w:val="16"/>
                <w:u w:val="single"/>
                <w:lang w:val="en-ZA"/>
              </w:rPr>
              <w:t>Furthermore,</w:t>
            </w:r>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C54B8C" w14:paraId="6E8F1A61" w14:textId="77777777" w:rsidTr="00C54B8C">
        <w:tc>
          <w:tcPr>
            <w:tcW w:w="4508" w:type="dxa"/>
          </w:tcPr>
          <w:p w14:paraId="776322B8" w14:textId="40EF9EAA" w:rsidR="00C54B8C" w:rsidRDefault="00C54B8C" w:rsidP="00C54B8C">
            <w:pPr>
              <w:tabs>
                <w:tab w:val="left" w:pos="720"/>
              </w:tabs>
              <w:jc w:val="both"/>
              <w:rPr>
                <w:rFonts w:ascii="Arial" w:hAnsi="Arial" w:cs="Arial"/>
                <w:sz w:val="20"/>
              </w:rPr>
            </w:pPr>
            <w:bookmarkStart w:id="2" w:name="_Hlk177649513"/>
            <w:r w:rsidRPr="000C5130">
              <w:rPr>
                <w:rFonts w:ascii="Arial" w:hAnsi="Arial" w:cs="Arial"/>
                <w:sz w:val="20"/>
              </w:rPr>
              <w:t>Compiled by:</w:t>
            </w:r>
            <w:r>
              <w:rPr>
                <w:rFonts w:ascii="Arial" w:hAnsi="Arial" w:cs="Arial"/>
                <w:sz w:val="20"/>
              </w:rPr>
              <w:t xml:space="preserve"> </w:t>
            </w:r>
            <w:r w:rsidR="003C4CC3">
              <w:rPr>
                <w:rFonts w:ascii="Arial" w:hAnsi="Arial" w:cs="Arial"/>
                <w:sz w:val="20"/>
              </w:rPr>
              <w:t>Levious Mocheko</w:t>
            </w:r>
          </w:p>
        </w:tc>
        <w:tc>
          <w:tcPr>
            <w:tcW w:w="4508" w:type="dxa"/>
          </w:tcPr>
          <w:p w14:paraId="17843C29" w14:textId="26D0B275" w:rsidR="00C54B8C" w:rsidRDefault="00C54B8C" w:rsidP="00C54B8C">
            <w:pPr>
              <w:tabs>
                <w:tab w:val="left" w:pos="720"/>
              </w:tabs>
              <w:jc w:val="both"/>
              <w:rPr>
                <w:rFonts w:ascii="Arial" w:hAnsi="Arial" w:cs="Arial"/>
                <w:sz w:val="20"/>
              </w:rPr>
            </w:pPr>
          </w:p>
        </w:tc>
        <w:tc>
          <w:tcPr>
            <w:tcW w:w="4508" w:type="dxa"/>
          </w:tcPr>
          <w:p w14:paraId="3137E81A" w14:textId="4389C62B" w:rsidR="00C54B8C" w:rsidRDefault="00C54B8C" w:rsidP="00C54B8C">
            <w:pPr>
              <w:tabs>
                <w:tab w:val="left" w:pos="720"/>
              </w:tabs>
              <w:jc w:val="both"/>
              <w:rPr>
                <w:rFonts w:ascii="Arial" w:hAnsi="Arial" w:cs="Arial"/>
                <w:sz w:val="20"/>
              </w:rPr>
            </w:pPr>
          </w:p>
        </w:tc>
        <w:tc>
          <w:tcPr>
            <w:tcW w:w="4508" w:type="dxa"/>
          </w:tcPr>
          <w:p w14:paraId="48CFFFA4" w14:textId="77777777" w:rsidR="00C54B8C" w:rsidRDefault="00C54B8C" w:rsidP="00C54B8C">
            <w:pPr>
              <w:tabs>
                <w:tab w:val="left" w:pos="720"/>
              </w:tabs>
              <w:jc w:val="both"/>
              <w:rPr>
                <w:rFonts w:ascii="Arial" w:hAnsi="Arial" w:cs="Arial"/>
                <w:sz w:val="20"/>
              </w:rPr>
            </w:pPr>
          </w:p>
        </w:tc>
      </w:tr>
      <w:tr w:rsidR="00C54B8C" w:rsidRPr="00AC3774" w14:paraId="264CD31D" w14:textId="77777777" w:rsidTr="00C54B8C">
        <w:tc>
          <w:tcPr>
            <w:tcW w:w="4508" w:type="dxa"/>
          </w:tcPr>
          <w:p w14:paraId="02F3F959" w14:textId="77777777" w:rsidR="00C54B8C" w:rsidRDefault="00C54B8C" w:rsidP="00C54B8C">
            <w:pPr>
              <w:tabs>
                <w:tab w:val="left" w:pos="720"/>
              </w:tabs>
              <w:jc w:val="both"/>
              <w:rPr>
                <w:rFonts w:ascii="Arial" w:hAnsi="Arial" w:cs="Arial"/>
                <w:sz w:val="20"/>
              </w:rPr>
            </w:pPr>
          </w:p>
          <w:p w14:paraId="64B1736B" w14:textId="77777777" w:rsidR="00C54B8C" w:rsidRPr="00AC3774" w:rsidRDefault="00C54B8C" w:rsidP="00C54B8C">
            <w:pPr>
              <w:tabs>
                <w:tab w:val="left" w:pos="720"/>
              </w:tabs>
              <w:jc w:val="both"/>
              <w:rPr>
                <w:rFonts w:ascii="Arial" w:hAnsi="Arial" w:cs="Arial"/>
                <w:sz w:val="20"/>
              </w:rPr>
            </w:pPr>
          </w:p>
          <w:p w14:paraId="06A5B089" w14:textId="77777777" w:rsidR="00C54B8C" w:rsidRPr="00AC3774" w:rsidRDefault="00C54B8C" w:rsidP="00C54B8C">
            <w:pPr>
              <w:tabs>
                <w:tab w:val="left" w:pos="720"/>
              </w:tabs>
              <w:jc w:val="both"/>
              <w:rPr>
                <w:rFonts w:ascii="Arial" w:hAnsi="Arial" w:cs="Arial"/>
                <w:sz w:val="20"/>
              </w:rPr>
            </w:pPr>
            <w:r w:rsidRPr="00AC3774">
              <w:rPr>
                <w:rFonts w:ascii="Arial" w:hAnsi="Arial" w:cs="Arial"/>
                <w:sz w:val="20"/>
              </w:rPr>
              <w:t>……………………………..</w:t>
            </w:r>
          </w:p>
          <w:p w14:paraId="1D722807" w14:textId="77777777" w:rsidR="00C54B8C" w:rsidRPr="00AC3774" w:rsidRDefault="00C54B8C" w:rsidP="00C54B8C">
            <w:pPr>
              <w:tabs>
                <w:tab w:val="left" w:pos="720"/>
              </w:tabs>
              <w:jc w:val="both"/>
              <w:rPr>
                <w:rFonts w:ascii="Arial" w:hAnsi="Arial" w:cs="Arial"/>
                <w:sz w:val="20"/>
              </w:rPr>
            </w:pPr>
            <w:r>
              <w:rPr>
                <w:rFonts w:ascii="Arial" w:hAnsi="Arial" w:cs="Arial"/>
                <w:sz w:val="20"/>
              </w:rPr>
              <w:t>Senior Advisor</w:t>
            </w:r>
          </w:p>
        </w:tc>
        <w:tc>
          <w:tcPr>
            <w:tcW w:w="4508" w:type="dxa"/>
          </w:tcPr>
          <w:p w14:paraId="1A02AC97" w14:textId="2F5B030E" w:rsidR="00C54B8C" w:rsidRPr="00AC3774" w:rsidRDefault="00C54B8C" w:rsidP="00C54B8C">
            <w:pPr>
              <w:tabs>
                <w:tab w:val="left" w:pos="720"/>
              </w:tabs>
              <w:jc w:val="both"/>
              <w:rPr>
                <w:rFonts w:ascii="Arial" w:hAnsi="Arial" w:cs="Arial"/>
                <w:sz w:val="20"/>
              </w:rPr>
            </w:pPr>
          </w:p>
        </w:tc>
        <w:tc>
          <w:tcPr>
            <w:tcW w:w="4508" w:type="dxa"/>
          </w:tcPr>
          <w:p w14:paraId="3F76471F" w14:textId="4704B0E2" w:rsidR="00C54B8C" w:rsidRPr="00AC3774" w:rsidRDefault="00C54B8C" w:rsidP="00C54B8C">
            <w:pPr>
              <w:tabs>
                <w:tab w:val="left" w:pos="720"/>
              </w:tabs>
              <w:jc w:val="both"/>
              <w:rPr>
                <w:rFonts w:ascii="Arial" w:hAnsi="Arial" w:cs="Arial"/>
                <w:sz w:val="20"/>
              </w:rPr>
            </w:pPr>
          </w:p>
        </w:tc>
        <w:tc>
          <w:tcPr>
            <w:tcW w:w="4508" w:type="dxa"/>
          </w:tcPr>
          <w:p w14:paraId="37933B0A" w14:textId="77777777" w:rsidR="00C54B8C" w:rsidRPr="00AC3774" w:rsidRDefault="00C54B8C" w:rsidP="00C54B8C">
            <w:pPr>
              <w:tabs>
                <w:tab w:val="left" w:pos="720"/>
              </w:tabs>
              <w:jc w:val="both"/>
              <w:rPr>
                <w:rFonts w:ascii="Arial" w:hAnsi="Arial" w:cs="Arial"/>
                <w:sz w:val="20"/>
              </w:rPr>
            </w:pPr>
          </w:p>
        </w:tc>
      </w:tr>
      <w:tr w:rsidR="00C54B8C" w:rsidRPr="00AC3774" w14:paraId="1A86FEC1" w14:textId="77777777" w:rsidTr="00C54B8C">
        <w:tc>
          <w:tcPr>
            <w:tcW w:w="4508" w:type="dxa"/>
          </w:tcPr>
          <w:p w14:paraId="6C4BC943" w14:textId="77777777" w:rsidR="00C54B8C" w:rsidRPr="00AC3774" w:rsidRDefault="00C54B8C" w:rsidP="00C54B8C">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6EC3FB51" w14:textId="5190EDAD" w:rsidR="00C54B8C" w:rsidRPr="00AC3774" w:rsidRDefault="00C54B8C" w:rsidP="00C54B8C">
            <w:pPr>
              <w:tabs>
                <w:tab w:val="left" w:pos="720"/>
              </w:tabs>
              <w:rPr>
                <w:rFonts w:ascii="Arial" w:hAnsi="Arial" w:cs="Arial"/>
                <w:sz w:val="20"/>
              </w:rPr>
            </w:pPr>
          </w:p>
        </w:tc>
        <w:tc>
          <w:tcPr>
            <w:tcW w:w="4508" w:type="dxa"/>
          </w:tcPr>
          <w:p w14:paraId="3275055A" w14:textId="73A3D234" w:rsidR="00C54B8C" w:rsidRPr="00AC3774" w:rsidRDefault="00C54B8C" w:rsidP="00C54B8C">
            <w:pPr>
              <w:tabs>
                <w:tab w:val="left" w:pos="720"/>
              </w:tabs>
              <w:jc w:val="both"/>
              <w:rPr>
                <w:rFonts w:ascii="Arial" w:hAnsi="Arial" w:cs="Arial"/>
                <w:sz w:val="20"/>
              </w:rPr>
            </w:pPr>
          </w:p>
        </w:tc>
        <w:tc>
          <w:tcPr>
            <w:tcW w:w="4508" w:type="dxa"/>
          </w:tcPr>
          <w:p w14:paraId="4E5B2AD5" w14:textId="77777777" w:rsidR="00C54B8C" w:rsidRPr="00AC3774" w:rsidRDefault="00C54B8C" w:rsidP="00C54B8C">
            <w:pPr>
              <w:tabs>
                <w:tab w:val="left" w:pos="720"/>
              </w:tabs>
              <w:jc w:val="both"/>
              <w:rPr>
                <w:rFonts w:ascii="Arial" w:hAnsi="Arial" w:cs="Arial"/>
                <w:sz w:val="20"/>
              </w:rPr>
            </w:pPr>
          </w:p>
        </w:tc>
      </w:tr>
      <w:tr w:rsidR="00C54B8C" w14:paraId="04D52B15" w14:textId="77777777" w:rsidTr="00C54B8C">
        <w:tc>
          <w:tcPr>
            <w:tcW w:w="4508" w:type="dxa"/>
          </w:tcPr>
          <w:p w14:paraId="47E7EFA1" w14:textId="77777777" w:rsidR="00C54B8C" w:rsidRPr="00AC3774" w:rsidRDefault="00C54B8C" w:rsidP="00C54B8C">
            <w:pPr>
              <w:tabs>
                <w:tab w:val="left" w:pos="720"/>
              </w:tabs>
              <w:jc w:val="both"/>
              <w:rPr>
                <w:rFonts w:ascii="Arial" w:hAnsi="Arial" w:cs="Arial"/>
                <w:sz w:val="20"/>
              </w:rPr>
            </w:pPr>
          </w:p>
          <w:p w14:paraId="27E0D233" w14:textId="07E51D12" w:rsidR="00C54B8C" w:rsidRPr="00AC3774" w:rsidRDefault="00C54B8C" w:rsidP="00C54B8C">
            <w:pPr>
              <w:tabs>
                <w:tab w:val="left" w:pos="720"/>
              </w:tabs>
              <w:jc w:val="both"/>
              <w:rPr>
                <w:rFonts w:ascii="Arial" w:hAnsi="Arial" w:cs="Arial"/>
                <w:sz w:val="20"/>
              </w:rPr>
            </w:pPr>
            <w:r>
              <w:rPr>
                <w:rFonts w:ascii="Arial" w:hAnsi="Arial" w:cs="Arial"/>
                <w:sz w:val="20"/>
              </w:rPr>
              <w:t xml:space="preserve">Date: </w:t>
            </w:r>
            <w:r w:rsidR="003C4CC3">
              <w:rPr>
                <w:rFonts w:ascii="Arial" w:hAnsi="Arial" w:cs="Arial"/>
                <w:sz w:val="20"/>
              </w:rPr>
              <w:t>14 May</w:t>
            </w:r>
            <w:r w:rsidR="00423C40">
              <w:rPr>
                <w:rFonts w:ascii="Arial" w:hAnsi="Arial" w:cs="Arial"/>
                <w:sz w:val="20"/>
              </w:rPr>
              <w:t xml:space="preserve"> 2025</w:t>
            </w:r>
          </w:p>
        </w:tc>
        <w:tc>
          <w:tcPr>
            <w:tcW w:w="4508" w:type="dxa"/>
          </w:tcPr>
          <w:p w14:paraId="17A86A47" w14:textId="3FFAEB87" w:rsidR="00C54B8C" w:rsidRPr="00AC3774" w:rsidRDefault="00C54B8C" w:rsidP="00C54B8C">
            <w:pPr>
              <w:tabs>
                <w:tab w:val="left" w:pos="720"/>
              </w:tabs>
              <w:jc w:val="both"/>
              <w:rPr>
                <w:rFonts w:ascii="Arial" w:hAnsi="Arial" w:cs="Arial"/>
                <w:sz w:val="20"/>
              </w:rPr>
            </w:pPr>
          </w:p>
        </w:tc>
        <w:tc>
          <w:tcPr>
            <w:tcW w:w="4508" w:type="dxa"/>
          </w:tcPr>
          <w:p w14:paraId="76ECB8C7" w14:textId="6F8D37F3" w:rsidR="00C54B8C" w:rsidRPr="00AC3774" w:rsidRDefault="00C54B8C" w:rsidP="00C54B8C">
            <w:pPr>
              <w:tabs>
                <w:tab w:val="left" w:pos="720"/>
              </w:tabs>
              <w:jc w:val="both"/>
              <w:rPr>
                <w:rFonts w:ascii="Arial" w:hAnsi="Arial" w:cs="Arial"/>
                <w:sz w:val="20"/>
              </w:rPr>
            </w:pPr>
          </w:p>
        </w:tc>
        <w:tc>
          <w:tcPr>
            <w:tcW w:w="4508" w:type="dxa"/>
          </w:tcPr>
          <w:p w14:paraId="40973B92" w14:textId="77777777" w:rsidR="00C54B8C" w:rsidRPr="00AC3774" w:rsidRDefault="00C54B8C" w:rsidP="00C54B8C">
            <w:pPr>
              <w:tabs>
                <w:tab w:val="left" w:pos="720"/>
              </w:tabs>
              <w:jc w:val="both"/>
              <w:rPr>
                <w:rFonts w:ascii="Arial" w:hAnsi="Arial" w:cs="Arial"/>
                <w:sz w:val="20"/>
              </w:rPr>
            </w:pPr>
          </w:p>
        </w:tc>
      </w:tr>
      <w:bookmarkEnd w:id="2"/>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82B5" w14:textId="77777777" w:rsidR="00F008E9" w:rsidRDefault="00F008E9" w:rsidP="00201A98">
      <w:r>
        <w:separator/>
      </w:r>
    </w:p>
  </w:endnote>
  <w:endnote w:type="continuationSeparator" w:id="0">
    <w:p w14:paraId="776B113C" w14:textId="77777777" w:rsidR="00F008E9" w:rsidRDefault="00F008E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C50A" w14:textId="77777777" w:rsidR="00F008E9" w:rsidRDefault="00F008E9" w:rsidP="00201A98">
      <w:r>
        <w:separator/>
      </w:r>
    </w:p>
  </w:footnote>
  <w:footnote w:type="continuationSeparator" w:id="0">
    <w:p w14:paraId="6371A0C0" w14:textId="77777777" w:rsidR="00F008E9" w:rsidRDefault="00F008E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6673693"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6"/>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7"/>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792022753">
    <w:abstractNumId w:val="26"/>
  </w:num>
  <w:num w:numId="47" w16cid:durableId="430231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2EF3"/>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18B8"/>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22BCF"/>
    <w:rsid w:val="002319CA"/>
    <w:rsid w:val="002341C9"/>
    <w:rsid w:val="00253B8A"/>
    <w:rsid w:val="002632AA"/>
    <w:rsid w:val="00264E0E"/>
    <w:rsid w:val="00267F52"/>
    <w:rsid w:val="00270763"/>
    <w:rsid w:val="0027500D"/>
    <w:rsid w:val="002763F5"/>
    <w:rsid w:val="00276C45"/>
    <w:rsid w:val="0027700C"/>
    <w:rsid w:val="00280506"/>
    <w:rsid w:val="002855B7"/>
    <w:rsid w:val="00296B82"/>
    <w:rsid w:val="00297F47"/>
    <w:rsid w:val="002A7C4A"/>
    <w:rsid w:val="002B02CB"/>
    <w:rsid w:val="002B19FA"/>
    <w:rsid w:val="002B7514"/>
    <w:rsid w:val="002C5318"/>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C4CC3"/>
    <w:rsid w:val="003D48B8"/>
    <w:rsid w:val="003D66FA"/>
    <w:rsid w:val="003D78F9"/>
    <w:rsid w:val="003E052A"/>
    <w:rsid w:val="003E4D3F"/>
    <w:rsid w:val="003F2387"/>
    <w:rsid w:val="003F3E07"/>
    <w:rsid w:val="003F59CF"/>
    <w:rsid w:val="003F7B1E"/>
    <w:rsid w:val="00404772"/>
    <w:rsid w:val="00423C40"/>
    <w:rsid w:val="004251A4"/>
    <w:rsid w:val="004364AE"/>
    <w:rsid w:val="00457274"/>
    <w:rsid w:val="00460577"/>
    <w:rsid w:val="00470385"/>
    <w:rsid w:val="004705FF"/>
    <w:rsid w:val="00470A92"/>
    <w:rsid w:val="004857A1"/>
    <w:rsid w:val="004954EB"/>
    <w:rsid w:val="004C3176"/>
    <w:rsid w:val="004C38A6"/>
    <w:rsid w:val="004D00A8"/>
    <w:rsid w:val="004D1602"/>
    <w:rsid w:val="004D2545"/>
    <w:rsid w:val="004E19F4"/>
    <w:rsid w:val="004E6C33"/>
    <w:rsid w:val="004E77C0"/>
    <w:rsid w:val="004F07CB"/>
    <w:rsid w:val="004F117E"/>
    <w:rsid w:val="004F578D"/>
    <w:rsid w:val="00504CE2"/>
    <w:rsid w:val="00506A41"/>
    <w:rsid w:val="005125A6"/>
    <w:rsid w:val="0051409A"/>
    <w:rsid w:val="00514EB4"/>
    <w:rsid w:val="00522B04"/>
    <w:rsid w:val="005242E8"/>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02CD"/>
    <w:rsid w:val="005B449F"/>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324A"/>
    <w:rsid w:val="007A6DC8"/>
    <w:rsid w:val="007A6F13"/>
    <w:rsid w:val="007B57E6"/>
    <w:rsid w:val="007C000E"/>
    <w:rsid w:val="007C0A56"/>
    <w:rsid w:val="007D4E0A"/>
    <w:rsid w:val="007D5975"/>
    <w:rsid w:val="007E0CE5"/>
    <w:rsid w:val="007F15E3"/>
    <w:rsid w:val="007F792E"/>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76599"/>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2A6"/>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39F"/>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A6CF5"/>
    <w:rsid w:val="00BB6D00"/>
    <w:rsid w:val="00BC2207"/>
    <w:rsid w:val="00BC6F34"/>
    <w:rsid w:val="00BC7452"/>
    <w:rsid w:val="00BD2863"/>
    <w:rsid w:val="00BD65E2"/>
    <w:rsid w:val="00BE0CD8"/>
    <w:rsid w:val="00BE3DBD"/>
    <w:rsid w:val="00BE56E8"/>
    <w:rsid w:val="00BE6D5F"/>
    <w:rsid w:val="00BF476B"/>
    <w:rsid w:val="00BF7560"/>
    <w:rsid w:val="00C11225"/>
    <w:rsid w:val="00C12D3D"/>
    <w:rsid w:val="00C2594A"/>
    <w:rsid w:val="00C2623C"/>
    <w:rsid w:val="00C26313"/>
    <w:rsid w:val="00C369AF"/>
    <w:rsid w:val="00C40E58"/>
    <w:rsid w:val="00C413FB"/>
    <w:rsid w:val="00C4471F"/>
    <w:rsid w:val="00C469F5"/>
    <w:rsid w:val="00C5004E"/>
    <w:rsid w:val="00C54B8C"/>
    <w:rsid w:val="00C610B6"/>
    <w:rsid w:val="00C64D96"/>
    <w:rsid w:val="00C64FE1"/>
    <w:rsid w:val="00C65F49"/>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E6D5A"/>
    <w:rsid w:val="00CF781D"/>
    <w:rsid w:val="00D04B3C"/>
    <w:rsid w:val="00D21895"/>
    <w:rsid w:val="00D2565A"/>
    <w:rsid w:val="00D32E5C"/>
    <w:rsid w:val="00D3660F"/>
    <w:rsid w:val="00D40D78"/>
    <w:rsid w:val="00D415A5"/>
    <w:rsid w:val="00D45AEE"/>
    <w:rsid w:val="00D479A6"/>
    <w:rsid w:val="00D50642"/>
    <w:rsid w:val="00D5588B"/>
    <w:rsid w:val="00D60523"/>
    <w:rsid w:val="00D71719"/>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08E9"/>
    <w:rsid w:val="00F04C7B"/>
    <w:rsid w:val="00F0521B"/>
    <w:rsid w:val="00F16AC6"/>
    <w:rsid w:val="00F22D6B"/>
    <w:rsid w:val="00F300A7"/>
    <w:rsid w:val="00F3247D"/>
    <w:rsid w:val="00F337F6"/>
    <w:rsid w:val="00F43E37"/>
    <w:rsid w:val="00F45833"/>
    <w:rsid w:val="00F53FC1"/>
    <w:rsid w:val="00F53FC5"/>
    <w:rsid w:val="00F56DCB"/>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3</cp:revision>
  <cp:lastPrinted>2025-04-24T19:45:00Z</cp:lastPrinted>
  <dcterms:created xsi:type="dcterms:W3CDTF">2025-05-14T08:51:00Z</dcterms:created>
  <dcterms:modified xsi:type="dcterms:W3CDTF">2025-08-14T08:48:00Z</dcterms:modified>
</cp:coreProperties>
</file>