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73AA5" w14:textId="5E09911C" w:rsidR="005E5EC0" w:rsidRDefault="00000000">
      <w:pPr>
        <w:pStyle w:val="Title"/>
        <w:jc w:val="center"/>
      </w:pPr>
      <w:r>
        <w:t>CLARIFICATION QUESTIONS</w:t>
      </w:r>
    </w:p>
    <w:p w14:paraId="5DA184A9" w14:textId="77777777" w:rsidR="005E5EC0" w:rsidRDefault="00000000">
      <w:pPr>
        <w:jc w:val="center"/>
      </w:pPr>
      <w:r>
        <w:rPr>
          <w:b/>
          <w:color w:val="595959"/>
          <w:sz w:val="24"/>
        </w:rPr>
        <w:t>NTCSA Response – SDL&amp;I Monitoring and Reporting Services</w:t>
      </w:r>
    </w:p>
    <w:p w14:paraId="186B347E" w14:textId="0DE85440" w:rsidR="005E5EC0" w:rsidRDefault="00000000">
      <w:pPr>
        <w:jc w:val="center"/>
      </w:pPr>
      <w:r>
        <w:rPr>
          <w:i/>
          <w:sz w:val="20"/>
        </w:rPr>
        <w:t xml:space="preserve">Tender Clarification </w:t>
      </w:r>
      <w:r w:rsidR="004804DC">
        <w:rPr>
          <w:i/>
          <w:sz w:val="20"/>
        </w:rPr>
        <w:t xml:space="preserve">Questions and </w:t>
      </w:r>
      <w:r>
        <w:rPr>
          <w:i/>
          <w:sz w:val="20"/>
        </w:rPr>
        <w:t>Response</w:t>
      </w:r>
    </w:p>
    <w:p w14:paraId="7EB80490" w14:textId="77777777" w:rsidR="005E5EC0" w:rsidRDefault="005E5EC0"/>
    <w:p w14:paraId="7493FD33" w14:textId="77777777" w:rsidR="005E5EC0" w:rsidRDefault="00000000">
      <w:pPr>
        <w:pStyle w:val="Heading1"/>
      </w:pPr>
      <w:r>
        <w:t>1. Scope and contract volumes</w:t>
      </w:r>
    </w:p>
    <w:tbl>
      <w:tblPr>
        <w:tblW w:w="0" w:type="auto"/>
        <w:jc w:val="center"/>
        <w:tblLook w:val="04A0" w:firstRow="1" w:lastRow="0" w:firstColumn="1" w:lastColumn="0" w:noHBand="0" w:noVBand="1"/>
      </w:tblPr>
      <w:tblGrid>
        <w:gridCol w:w="10214"/>
      </w:tblGrid>
      <w:tr w:rsidR="005E5EC0" w14:paraId="0B4C3B1A"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C657527" w14:textId="77777777" w:rsidR="005E5EC0" w:rsidRDefault="00000000">
            <w:pPr>
              <w:keepNext/>
              <w:spacing w:after="0"/>
            </w:pPr>
            <w:r>
              <w:rPr>
                <w:b/>
                <w:sz w:val="20"/>
              </w:rPr>
              <w:t>1. Can NTCSA provide a breakdown of contracts across the five support environments?</w:t>
            </w:r>
          </w:p>
        </w:tc>
      </w:tr>
      <w:tr w:rsidR="005E5EC0" w14:paraId="14869F82"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06841783" w14:textId="77777777" w:rsidR="005E5EC0" w:rsidRDefault="00000000">
            <w:pPr>
              <w:spacing w:after="0"/>
            </w:pPr>
            <w:r>
              <w:rPr>
                <w:sz w:val="20"/>
              </w:rPr>
              <w:t>The service provider will support the five environments identified in the Scope of Work. Contract volumes within each environment are dynamic and may change during the contract period as new contracts are awarded, existing contracts expire, and projects progress through different stages. NTCSA will provide the successful service provider with the applicable contract population and relevant contract information during mobilisation and thereafter as required. Bidders should therefore price for delivery of the full scope across all five identified support environments rather than on a fixed number of contracts.</w:t>
            </w:r>
          </w:p>
        </w:tc>
      </w:tr>
    </w:tbl>
    <w:p w14:paraId="0BA20A6F"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077DB720"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276ED62" w14:textId="77777777" w:rsidR="005E5EC0" w:rsidRDefault="00000000">
            <w:pPr>
              <w:keepNext/>
              <w:spacing w:after="0"/>
            </w:pPr>
            <w:r>
              <w:rPr>
                <w:b/>
                <w:sz w:val="20"/>
              </w:rPr>
              <w:t>2. Are any contracts currently non-compliant, under remediation, or awaiting retention-release verification? Can NTCSA provide a breakdown?</w:t>
            </w:r>
          </w:p>
        </w:tc>
      </w:tr>
      <w:tr w:rsidR="005E5EC0" w14:paraId="439FAE6B"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7CE6F706" w14:textId="77777777" w:rsidR="005E5EC0" w:rsidRDefault="00000000">
            <w:pPr>
              <w:spacing w:after="0"/>
            </w:pPr>
            <w:r>
              <w:rPr>
                <w:sz w:val="20"/>
              </w:rPr>
              <w:t>Yes. At any point in time, contracts may be at different stages of SDL&amp;I performance, including contracts requiring performance verification, corrective action, close-out assessment and/or consideration for release of applicable SDL&amp;I retention. The detailed contract-level status forms part of NTCSA operational contract information and will be made available to the successful service provider, where applicable, during mobilisation and execution of the contract. The service provider must therefore have the capability to manage contracts at different stages of the monitoring and reporting lifecycle.</w:t>
            </w:r>
          </w:p>
        </w:tc>
      </w:tr>
    </w:tbl>
    <w:p w14:paraId="5FF327D8"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264ADFB0"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0E4C75AB" w14:textId="77777777" w:rsidR="005E5EC0" w:rsidRDefault="00000000">
            <w:pPr>
              <w:keepNext/>
              <w:spacing w:after="0"/>
            </w:pPr>
            <w:r>
              <w:rPr>
                <w:b/>
                <w:sz w:val="20"/>
              </w:rPr>
              <w:t>3. Which SDL&amp;I obligations apply to every contract, and which depend on contract value, commodity or designated sector?</w:t>
            </w:r>
          </w:p>
        </w:tc>
      </w:tr>
      <w:tr w:rsidR="005E5EC0" w14:paraId="0166A5D3"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174301E" w14:textId="77777777" w:rsidR="005E5EC0" w:rsidRDefault="00000000">
            <w:pPr>
              <w:spacing w:after="0"/>
            </w:pPr>
            <w:r>
              <w:rPr>
                <w:sz w:val="20"/>
              </w:rPr>
              <w:t>SDL&amp;I obligations are contract-specific and are not necessarily applicable uniformly to every contract. Depending on the approved procurement strategy, contract value, nature of the procurement, commodity/sector and applicable regulatory requirements, obligations may include local content/localisation; job creation; skills development; enterprise and supplier development; subcontracting; preferential procurement/B-BBEE-related commitments, where applicable; industrialisation commitments; NIPP obligations, where applicable; and other specific SDL&amp;I contractual commitments. The successful service provider will monitor each contract against the SDL&amp;I requirements incorporated into the relevant contract.</w:t>
            </w:r>
          </w:p>
        </w:tc>
      </w:tr>
    </w:tbl>
    <w:p w14:paraId="59F44899"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78DFDC43"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0B91F139" w14:textId="77777777" w:rsidR="005E5EC0" w:rsidRDefault="00000000">
            <w:pPr>
              <w:keepNext/>
              <w:spacing w:after="0"/>
            </w:pPr>
            <w:r>
              <w:rPr>
                <w:b/>
                <w:sz w:val="20"/>
              </w:rPr>
              <w:t>4. Does “indirect job creation” include jobs created by subcontractors and suppliers, and does NTCSA use its own verification methodology for this portion or should the service provider decide on the methodology?</w:t>
            </w:r>
          </w:p>
        </w:tc>
      </w:tr>
      <w:tr w:rsidR="005E5EC0" w14:paraId="30541700"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3F11FE43" w14:textId="77777777" w:rsidR="005E5EC0" w:rsidRDefault="00000000">
            <w:pPr>
              <w:spacing w:after="0"/>
            </w:pPr>
            <w:r>
              <w:rPr>
                <w:sz w:val="20"/>
              </w:rPr>
              <w:t>Indirect jobs may include qualifying employment opportunities created within the relevant supply chain, including through subcontractors and suppliers, where such employment is demonstrably attributable to the applicable NTCSA contract. The service provider will not have unrestricted discretion to determine its own methodology. The service provider will be expected to apply NTCSA-approved definitions, reporting requirements and evidence standards and, where improvement or an additional methodology is required, propose such methodology for NTCSA review and approval before implementation. This is to ensure consistency, traceability and auditability of reported employment outcomes.</w:t>
            </w:r>
          </w:p>
        </w:tc>
      </w:tr>
    </w:tbl>
    <w:p w14:paraId="2503197E" w14:textId="77777777" w:rsidR="005E5EC0" w:rsidRDefault="005E5EC0">
      <w:pPr>
        <w:spacing w:after="20"/>
      </w:pPr>
    </w:p>
    <w:p w14:paraId="02F5BCFC" w14:textId="77777777" w:rsidR="005E5EC0" w:rsidRDefault="00000000">
      <w:pPr>
        <w:pStyle w:val="Heading1"/>
      </w:pPr>
      <w:r>
        <w:lastRenderedPageBreak/>
        <w:t>2. Resources and deployment</w:t>
      </w:r>
    </w:p>
    <w:tbl>
      <w:tblPr>
        <w:tblW w:w="0" w:type="auto"/>
        <w:jc w:val="center"/>
        <w:tblLook w:val="04A0" w:firstRow="1" w:lastRow="0" w:firstColumn="1" w:lastColumn="0" w:noHBand="0" w:noVBand="1"/>
      </w:tblPr>
      <w:tblGrid>
        <w:gridCol w:w="10214"/>
      </w:tblGrid>
      <w:tr w:rsidR="005E5EC0" w14:paraId="7DEBE1CA"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285FCA98" w14:textId="77777777" w:rsidR="005E5EC0" w:rsidRDefault="00000000">
            <w:pPr>
              <w:keepNext/>
              <w:spacing w:after="0"/>
            </w:pPr>
            <w:r>
              <w:rPr>
                <w:b/>
                <w:sz w:val="20"/>
              </w:rPr>
              <w:t>5. Where must the resources be based, and what geographical areas will each support environment cover?</w:t>
            </w:r>
          </w:p>
        </w:tc>
      </w:tr>
      <w:tr w:rsidR="005E5EC0" w14:paraId="46E8D792"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5D41F88B" w14:textId="77777777" w:rsidR="005E5EC0" w:rsidRDefault="00000000">
            <w:pPr>
              <w:spacing w:after="0"/>
            </w:pPr>
            <w:r>
              <w:rPr>
                <w:sz w:val="20"/>
              </w:rPr>
              <w:t>Resources will support the respective NTCSA environments identified in the Scope of Work. As NTCSA operations and projects are geographically dispersed, resources may be required to provide support across NTCSA areas of operation and at supplier/project locations where verification is required. The deployment model must therefore provide sufficient flexibility to service the respective environments nationally.</w:t>
            </w:r>
          </w:p>
        </w:tc>
      </w:tr>
    </w:tbl>
    <w:p w14:paraId="6DA2C52B"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0B1E59FF"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1872E741" w14:textId="77777777" w:rsidR="005E5EC0" w:rsidRDefault="00000000">
            <w:pPr>
              <w:keepNext/>
              <w:spacing w:after="0"/>
            </w:pPr>
            <w:r>
              <w:rPr>
                <w:b/>
                <w:sz w:val="20"/>
              </w:rPr>
              <w:t>6. Will resources work at NTCSA offices, remotely, or through a hybrid arrangement?</w:t>
            </w:r>
          </w:p>
        </w:tc>
      </w:tr>
      <w:tr w:rsidR="005E5EC0" w14:paraId="131D40FF"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66F33A6" w14:textId="77777777" w:rsidR="005E5EC0" w:rsidRDefault="00000000">
            <w:pPr>
              <w:spacing w:after="0"/>
            </w:pPr>
            <w:r>
              <w:rPr>
                <w:sz w:val="20"/>
              </w:rPr>
              <w:t>A hybrid working arrangement is envisaged, subject to NTCSA operational requirements and applicable policies. Resources may be required to work from NTCSA premises, remotely and/or attend supplier, contractor and project sites depending on the activities being performed. The service remains output- and operational-requirement driven.</w:t>
            </w:r>
          </w:p>
        </w:tc>
      </w:tr>
    </w:tbl>
    <w:p w14:paraId="64533A5F"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778AC8EA"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7F33024" w14:textId="77777777" w:rsidR="005E5EC0" w:rsidRDefault="00000000">
            <w:pPr>
              <w:keepNext/>
              <w:spacing w:after="0"/>
            </w:pPr>
            <w:r>
              <w:rPr>
                <w:b/>
                <w:sz w:val="20"/>
              </w:rPr>
              <w:t>7. What frequency and volume of site visits should bidders allow for?</w:t>
            </w:r>
          </w:p>
        </w:tc>
      </w:tr>
      <w:tr w:rsidR="005E5EC0" w14:paraId="26A1EA86"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24AB22B" w14:textId="77777777" w:rsidR="005E5EC0" w:rsidRDefault="00000000">
            <w:pPr>
              <w:spacing w:after="0"/>
            </w:pPr>
            <w:r>
              <w:rPr>
                <w:sz w:val="20"/>
              </w:rPr>
              <w:t>The frequency of site visits will be determined by the nature of the contract, identified risks, verification requirements, supplier performance and operational requirements. NTCSA cannot prescribe a fixed number of site visits for the duration of the contract. Bidders should make reasonable provision for site visits necessary to execute the Scope of Work effectively. Site visits should generally be risk- and evidence-based rather than undertaken merely as a routine administrative exercise.</w:t>
            </w:r>
          </w:p>
        </w:tc>
      </w:tr>
    </w:tbl>
    <w:p w14:paraId="2CAED46C"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15D7794E"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4A18007C" w14:textId="77777777" w:rsidR="005E5EC0" w:rsidRDefault="00000000">
            <w:pPr>
              <w:keepNext/>
              <w:spacing w:after="0"/>
            </w:pPr>
            <w:r>
              <w:rPr>
                <w:b/>
                <w:sz w:val="20"/>
              </w:rPr>
              <w:t>8. What minimum qualifications, professional registrations and experience are required for each role?</w:t>
            </w:r>
          </w:p>
        </w:tc>
      </w:tr>
      <w:tr w:rsidR="005E5EC0" w14:paraId="1370B2E9"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06555A2A" w14:textId="77777777" w:rsidR="005E5EC0" w:rsidRDefault="00000000">
            <w:pPr>
              <w:spacing w:after="0"/>
            </w:pPr>
            <w:r>
              <w:rPr>
                <w:sz w:val="20"/>
              </w:rPr>
              <w:t>Bidders must comply with the minimum qualification, competency and experience requirements stipulated in the issued tender documentation and Scope of Work. No additional minimum qualification or professional-registration requirement is introduced through this clarification. Where professional registration is relevant to a proposed resource, bidders may provide such information as supporting evidence.</w:t>
            </w:r>
          </w:p>
        </w:tc>
      </w:tr>
    </w:tbl>
    <w:p w14:paraId="658C4A37"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1C0CA528"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2081B50" w14:textId="77777777" w:rsidR="005E5EC0" w:rsidRDefault="00000000">
            <w:pPr>
              <w:keepNext/>
              <w:spacing w:after="0"/>
            </w:pPr>
            <w:r>
              <w:rPr>
                <w:b/>
                <w:sz w:val="20"/>
              </w:rPr>
              <w:t>9. Must key personnel be named and supported by CVs at tender submission? If certain jobs are to be created, can the potential service provider provide the job description and include profiles of potential candidates with CTC included in the pricing schedule?</w:t>
            </w:r>
          </w:p>
        </w:tc>
      </w:tr>
      <w:tr w:rsidR="005E5EC0" w14:paraId="2DD73757"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C28A1E2" w14:textId="77777777" w:rsidR="005E5EC0" w:rsidRDefault="00000000">
            <w:pPr>
              <w:spacing w:after="0"/>
            </w:pPr>
            <w:r>
              <w:rPr>
                <w:sz w:val="20"/>
              </w:rPr>
              <w:t>Where the tender requires CVs and supporting documentation for key personnel for purposes of technical/functionality evaluation, the requirements contained in the issued tender documentation must be complied with. For positions proposed to be created following award, bidders may provide the proposed job descriptions, minimum qualification and experience profiles and associated costing, where permitted by the pricing schedule. A generic or potential candidate profile may not be represented as an appointed resource. Any personnel ultimately deployed must meet the minimum requirements stipulated in the contract.</w:t>
            </w:r>
          </w:p>
        </w:tc>
      </w:tr>
    </w:tbl>
    <w:p w14:paraId="3472CF16"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34EA92CC"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337F4799" w14:textId="77777777" w:rsidR="005E5EC0" w:rsidRDefault="00000000">
            <w:pPr>
              <w:keepNext/>
              <w:spacing w:after="0"/>
            </w:pPr>
            <w:r>
              <w:rPr>
                <w:b/>
                <w:sz w:val="20"/>
              </w:rPr>
              <w:t>10. Will NTCSA provide office space, equipment, connectivity and system access, or must these be included in the price?</w:t>
            </w:r>
          </w:p>
        </w:tc>
      </w:tr>
      <w:tr w:rsidR="005E5EC0" w14:paraId="120F5121"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60E6A43" w14:textId="77777777" w:rsidR="005E5EC0" w:rsidRDefault="00000000">
            <w:pPr>
              <w:spacing w:after="0"/>
            </w:pPr>
            <w:r>
              <w:rPr>
                <w:sz w:val="20"/>
              </w:rPr>
              <w:t>NTCSA will facilitate access to NTCSA systems and facilities to the extent necessary and authorised for performance of the services. The service provider should, however, make provision for its normal operational requirements, including its own personnel, equipment and connectivity, unless expressly stated otherwise in the tender documentation. Access to NTCSA facilities and systems remains subject to NTCSA security, ICT and access-control requirements.</w:t>
            </w:r>
          </w:p>
        </w:tc>
      </w:tr>
    </w:tbl>
    <w:p w14:paraId="70A808B8" w14:textId="77777777" w:rsidR="005E5EC0" w:rsidRDefault="005E5EC0">
      <w:pPr>
        <w:spacing w:after="20"/>
      </w:pPr>
    </w:p>
    <w:p w14:paraId="796381B6" w14:textId="77777777" w:rsidR="005E5EC0" w:rsidRDefault="00000000">
      <w:pPr>
        <w:pStyle w:val="Heading1"/>
      </w:pPr>
      <w:r>
        <w:t>3. Systems, data and access</w:t>
      </w:r>
    </w:p>
    <w:tbl>
      <w:tblPr>
        <w:tblW w:w="0" w:type="auto"/>
        <w:jc w:val="center"/>
        <w:tblLook w:val="04A0" w:firstRow="1" w:lastRow="0" w:firstColumn="1" w:lastColumn="0" w:noHBand="0" w:noVBand="1"/>
      </w:tblPr>
      <w:tblGrid>
        <w:gridCol w:w="10214"/>
      </w:tblGrid>
      <w:tr w:rsidR="005E5EC0" w14:paraId="7736D5A3"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79742185" w14:textId="77777777" w:rsidR="005E5EC0" w:rsidRDefault="00000000">
            <w:pPr>
              <w:keepNext/>
              <w:spacing w:after="0"/>
            </w:pPr>
            <w:r>
              <w:rPr>
                <w:b/>
                <w:sz w:val="20"/>
              </w:rPr>
              <w:t>11. Will NTCSA provide SAP licences, user profiles and the required system training?</w:t>
            </w:r>
          </w:p>
        </w:tc>
      </w:tr>
      <w:tr w:rsidR="005E5EC0" w14:paraId="04C1C12D"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0DAEC4D4" w14:textId="77777777" w:rsidR="005E5EC0" w:rsidRDefault="00000000">
            <w:pPr>
              <w:spacing w:after="0"/>
            </w:pPr>
            <w:r>
              <w:rPr>
                <w:sz w:val="20"/>
              </w:rPr>
              <w:t>Where direct SAP access is required for performance of the contracted services, NTCSA will facilitate the necessary authorised system access/user profiles in accordance with NTCSA ICT, cybersecurity and segregation-of-duties requirements. Any necessary system orientation applicable to the required NTCSA processes will be facilitated. This should not be interpreted as general SAP competency training for service-provider personnel.</w:t>
            </w:r>
          </w:p>
        </w:tc>
      </w:tr>
    </w:tbl>
    <w:p w14:paraId="181C8BC1"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5ED88206"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1A2A2BA1" w14:textId="77777777" w:rsidR="005E5EC0" w:rsidRDefault="00000000">
            <w:pPr>
              <w:keepNext/>
              <w:spacing w:after="0"/>
            </w:pPr>
            <w:r>
              <w:rPr>
                <w:b/>
                <w:sz w:val="20"/>
              </w:rPr>
              <w:t>12. Is direct data entry into SAP required, or will the service provider prepare information for capture by NTCSA?</w:t>
            </w:r>
          </w:p>
        </w:tc>
      </w:tr>
      <w:tr w:rsidR="005E5EC0" w14:paraId="49394FD5"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33010569" w14:textId="77777777" w:rsidR="005E5EC0" w:rsidRDefault="00000000">
            <w:pPr>
              <w:spacing w:after="0"/>
            </w:pPr>
            <w:r>
              <w:rPr>
                <w:sz w:val="20"/>
              </w:rPr>
              <w:t>The primary requirement is for the service provider to monitor, validate, analyse and report SDL&amp;I performance and maintain appropriate supporting evidence. Where the approved NTCSA process requires authorised service-provider personnel to perform system-related activities, such access and responsibilities will be agreed during mobilisation and will be subject to NTCSA system controls. The appointment should not be interpreted as granting unrestricted transactional access to SAP.</w:t>
            </w:r>
          </w:p>
        </w:tc>
      </w:tr>
    </w:tbl>
    <w:p w14:paraId="36B86B2E"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53584FDE"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BF4A484" w14:textId="77777777" w:rsidR="005E5EC0" w:rsidRDefault="00000000">
            <w:pPr>
              <w:keepNext/>
              <w:spacing w:after="0"/>
            </w:pPr>
            <w:r>
              <w:rPr>
                <w:b/>
                <w:sz w:val="20"/>
              </w:rPr>
              <w:t>13. Are existing dashboards, templates and data models available, or must the bidder develop these from the ground up?</w:t>
            </w:r>
          </w:p>
        </w:tc>
      </w:tr>
      <w:tr w:rsidR="005E5EC0" w14:paraId="66FA9A36"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7DFCD169" w14:textId="77777777" w:rsidR="005E5EC0" w:rsidRDefault="00000000">
            <w:pPr>
              <w:spacing w:after="0"/>
            </w:pPr>
            <w:r>
              <w:rPr>
                <w:sz w:val="20"/>
              </w:rPr>
              <w:t>NTCSA has existing SDL&amp;I reporting information, templates and reporting practices that will form part of the baseline environment. The successful service provider will be expected to assess these during mobilisation and, where necessary, enhance, standardise and/or develop fit-for-purpose dashboards, templates and reporting tools to meet the requirements of the Scope of Work. The intention is therefore not necessarily to develop the entire reporting environment from the ground up.</w:t>
            </w:r>
          </w:p>
        </w:tc>
      </w:tr>
    </w:tbl>
    <w:p w14:paraId="36FAE734"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41CA3345"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2848AB5" w14:textId="77777777" w:rsidR="005E5EC0" w:rsidRDefault="00000000">
            <w:pPr>
              <w:keepNext/>
              <w:spacing w:after="0"/>
            </w:pPr>
            <w:r>
              <w:rPr>
                <w:b/>
                <w:sz w:val="20"/>
              </w:rPr>
              <w:t>14. Are integrations with SAP and other NTCSA systems already available, or must the bidder design and implement them?</w:t>
            </w:r>
          </w:p>
        </w:tc>
      </w:tr>
      <w:tr w:rsidR="005E5EC0" w14:paraId="613624AA"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051DBF07" w14:textId="77777777" w:rsidR="005E5EC0" w:rsidRDefault="00000000">
            <w:pPr>
              <w:spacing w:after="0"/>
            </w:pPr>
            <w:r>
              <w:rPr>
                <w:sz w:val="20"/>
              </w:rPr>
              <w:t>The scope should not be interpreted as requiring the bidder to design or implement enterprise-level integrations with SAP or other NTCSA systems unless this is expressly provided for in the issued Scope of Work. Any system integration requirement would be subject to NTCSA ICT architecture, cybersecurity, governance and approval processes. The service provider may recommend improvements or automation opportunities as part of continuous improvement.</w:t>
            </w:r>
          </w:p>
        </w:tc>
      </w:tr>
    </w:tbl>
    <w:p w14:paraId="752985A4"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6945B73B"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4F8D665" w14:textId="77777777" w:rsidR="005E5EC0" w:rsidRDefault="00000000">
            <w:pPr>
              <w:keepNext/>
              <w:spacing w:after="0"/>
            </w:pPr>
            <w:r>
              <w:rPr>
                <w:b/>
                <w:sz w:val="20"/>
              </w:rPr>
              <w:t>15. How complete and reliable is the historical contract and supplier performance data that will be handed over?</w:t>
            </w:r>
          </w:p>
        </w:tc>
      </w:tr>
      <w:tr w:rsidR="005E5EC0" w14:paraId="57A83677"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32934AC5" w14:textId="77777777" w:rsidR="005E5EC0" w:rsidRDefault="00000000">
            <w:pPr>
              <w:spacing w:after="0"/>
            </w:pPr>
            <w:r>
              <w:rPr>
                <w:sz w:val="20"/>
              </w:rPr>
              <w:t>Historical information exists across NTCSA contract-management and reporting environments; however, completeness may vary depending on the age of the contract, historical reporting arrangements and availability of supporting evidence. Part of the mobilisation and baseline-assessment process will therefore be to assess available information, identify gaps and establish an agreed baseline and remediation approach. Bidders should not assume that all historical information will be complete or available in a single consolidated repository.</w:t>
            </w:r>
          </w:p>
        </w:tc>
      </w:tr>
    </w:tbl>
    <w:p w14:paraId="6B3E5755" w14:textId="77777777" w:rsidR="005E5EC0" w:rsidRDefault="005E5EC0">
      <w:pPr>
        <w:spacing w:after="20"/>
      </w:pPr>
    </w:p>
    <w:p w14:paraId="51A94B7E" w14:textId="77777777" w:rsidR="005E5EC0" w:rsidRDefault="00000000">
      <w:pPr>
        <w:pStyle w:val="Heading1"/>
      </w:pPr>
      <w:r>
        <w:lastRenderedPageBreak/>
        <w:t>4. Monitoring and verification</w:t>
      </w:r>
    </w:p>
    <w:tbl>
      <w:tblPr>
        <w:tblW w:w="0" w:type="auto"/>
        <w:jc w:val="center"/>
        <w:tblLook w:val="04A0" w:firstRow="1" w:lastRow="0" w:firstColumn="1" w:lastColumn="0" w:noHBand="0" w:noVBand="1"/>
      </w:tblPr>
      <w:tblGrid>
        <w:gridCol w:w="10214"/>
      </w:tblGrid>
      <w:tr w:rsidR="005E5EC0" w14:paraId="3C4A989A"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6C2051A" w14:textId="77777777" w:rsidR="005E5EC0" w:rsidRDefault="00000000">
            <w:pPr>
              <w:keepNext/>
              <w:spacing w:after="0"/>
            </w:pPr>
            <w:r>
              <w:rPr>
                <w:b/>
                <w:sz w:val="20"/>
              </w:rPr>
              <w:t>16. Will the service provider verify NIPP obligations directly, or coordinate with the DTIC or another appointed body?</w:t>
            </w:r>
          </w:p>
        </w:tc>
      </w:tr>
      <w:tr w:rsidR="005E5EC0" w14:paraId="1CE4A50E"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14CD23D7" w14:textId="77777777" w:rsidR="005E5EC0" w:rsidRDefault="00000000">
            <w:pPr>
              <w:spacing w:after="0"/>
            </w:pPr>
            <w:r>
              <w:rPr>
                <w:sz w:val="20"/>
              </w:rPr>
              <w:t>NIPP is administered by the Department of Trade, Industry and Competition (the dtic). The service provider responsibility will be to monitor the relevant contractual requirements from an NTCSA perspective, maintain appropriate records, track applicable commitments and support NTCSA in coordinating with the dtic and relevant stakeholders. The appointment does not transfer the dtic statutory/administrative NIPP verification function to the service provider.</w:t>
            </w:r>
          </w:p>
        </w:tc>
      </w:tr>
    </w:tbl>
    <w:p w14:paraId="0A9CDB89" w14:textId="77777777" w:rsidR="005E5EC0" w:rsidRDefault="005E5EC0">
      <w:pPr>
        <w:spacing w:after="20"/>
      </w:pPr>
    </w:p>
    <w:p w14:paraId="3E9EDB41" w14:textId="77777777" w:rsidR="005E5EC0" w:rsidRDefault="00000000">
      <w:pPr>
        <w:pStyle w:val="Heading1"/>
      </w:pPr>
      <w:r>
        <w:t>5. Retention and non-compliance</w:t>
      </w:r>
    </w:p>
    <w:tbl>
      <w:tblPr>
        <w:tblW w:w="0" w:type="auto"/>
        <w:jc w:val="center"/>
        <w:tblLook w:val="04A0" w:firstRow="1" w:lastRow="0" w:firstColumn="1" w:lastColumn="0" w:noHBand="0" w:noVBand="1"/>
      </w:tblPr>
      <w:tblGrid>
        <w:gridCol w:w="10214"/>
      </w:tblGrid>
      <w:tr w:rsidR="005E5EC0" w14:paraId="2442C085"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F4E2733" w14:textId="77777777" w:rsidR="005E5EC0" w:rsidRDefault="00000000">
            <w:pPr>
              <w:keepNext/>
              <w:spacing w:after="0"/>
            </w:pPr>
            <w:r>
              <w:rPr>
                <w:b/>
                <w:sz w:val="20"/>
              </w:rPr>
              <w:t>17. Is the service provider expected to recommend retention release, certify compliance, or merely provide evidence to NTCSA?</w:t>
            </w:r>
          </w:p>
        </w:tc>
      </w:tr>
      <w:tr w:rsidR="005E5EC0" w14:paraId="5355BDE4"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FE084DC" w14:textId="77777777" w:rsidR="005E5EC0" w:rsidRDefault="00000000">
            <w:pPr>
              <w:spacing w:after="0"/>
            </w:pPr>
            <w:r>
              <w:rPr>
                <w:sz w:val="20"/>
              </w:rPr>
              <w:t>The service provider will be required to assess performance, verify supporting evidence and make recommendations to NTCSA regarding compliance and the release, partial release or continued withholding of applicable SDL&amp;I retention. Final approval and authorisation of retention release remains with NTCSA in accordance with the applicable contract and NTCSA governance/delegation requirements. The service provider therefore does not independently authorise or release retention.</w:t>
            </w:r>
          </w:p>
        </w:tc>
      </w:tr>
    </w:tbl>
    <w:p w14:paraId="1B62C918"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42C68B1E"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37C95B76" w14:textId="77777777" w:rsidR="005E5EC0" w:rsidRDefault="00000000">
            <w:pPr>
              <w:keepNext/>
              <w:spacing w:after="0"/>
            </w:pPr>
            <w:r>
              <w:rPr>
                <w:b/>
                <w:sz w:val="20"/>
              </w:rPr>
              <w:t>18. What internal milestones and evidence trigger partial or full release of the retention?</w:t>
            </w:r>
          </w:p>
        </w:tc>
      </w:tr>
      <w:tr w:rsidR="005E5EC0" w14:paraId="3C97CD5B"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55D3E227" w14:textId="77777777" w:rsidR="005E5EC0" w:rsidRDefault="00000000">
            <w:pPr>
              <w:spacing w:after="0"/>
            </w:pPr>
            <w:r>
              <w:rPr>
                <w:sz w:val="20"/>
              </w:rPr>
              <w:t>Retention release is determined against the specific SDL&amp;I obligations and milestones contained in the applicable contract. Evidence may include, depending on the obligation, payroll/employment records, training evidence, subcontracting records, invoices, proof of expenditure, local-content evidence, supplier documentation and other contractually prescribed supporting information. Where obligations are capable of being achieved progressively, NTCSA may consider proportional/partial release subject to verified achievement and the applicable contractual provisions. Full release is subject to satisfactory fulfilment of the relevant obligations.</w:t>
            </w:r>
          </w:p>
        </w:tc>
      </w:tr>
    </w:tbl>
    <w:p w14:paraId="26ADF813"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15896B4B"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7B12A679" w14:textId="77777777" w:rsidR="005E5EC0" w:rsidRDefault="00000000">
            <w:pPr>
              <w:keepNext/>
              <w:spacing w:after="0"/>
            </w:pPr>
            <w:r>
              <w:rPr>
                <w:b/>
                <w:sz w:val="20"/>
              </w:rPr>
              <w:t>19. Is the service provider expected to develop and monitor corrective-action plans?</w:t>
            </w:r>
          </w:p>
        </w:tc>
      </w:tr>
      <w:tr w:rsidR="005E5EC0" w14:paraId="3247BEEA"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53E5CF1F" w14:textId="77777777" w:rsidR="005E5EC0" w:rsidRDefault="00000000">
            <w:pPr>
              <w:spacing w:after="0"/>
            </w:pPr>
            <w:r>
              <w:rPr>
                <w:sz w:val="20"/>
              </w:rPr>
              <w:t>Yes. Where non-performance or non-compliance is identified, the service provider will be expected to support the development, implementation and monitoring of corrective/remedial action plans in consultation with NTCSA and the relevant contractor/supplier. The service provider must track agreed actions through to resolution and escalate persistent or material non-compliance to NTCSA.</w:t>
            </w:r>
          </w:p>
        </w:tc>
      </w:tr>
    </w:tbl>
    <w:p w14:paraId="0573EB02" w14:textId="77777777" w:rsidR="005E5EC0" w:rsidRDefault="005E5EC0">
      <w:pPr>
        <w:spacing w:after="20"/>
      </w:pPr>
    </w:p>
    <w:p w14:paraId="4B0B5097" w14:textId="77777777" w:rsidR="005E5EC0" w:rsidRDefault="00000000">
      <w:pPr>
        <w:pStyle w:val="Heading1"/>
      </w:pPr>
      <w:r>
        <w:t>6. Deliverables and performance measures</w:t>
      </w:r>
    </w:p>
    <w:tbl>
      <w:tblPr>
        <w:tblW w:w="0" w:type="auto"/>
        <w:jc w:val="center"/>
        <w:tblLook w:val="04A0" w:firstRow="1" w:lastRow="0" w:firstColumn="1" w:lastColumn="0" w:noHBand="0" w:noVBand="1"/>
      </w:tblPr>
      <w:tblGrid>
        <w:gridCol w:w="10214"/>
      </w:tblGrid>
      <w:tr w:rsidR="005E5EC0" w14:paraId="33350806"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0C1F98C9" w14:textId="77777777" w:rsidR="005E5EC0" w:rsidRDefault="00000000">
            <w:pPr>
              <w:keepNext/>
              <w:spacing w:after="0"/>
            </w:pPr>
            <w:r>
              <w:rPr>
                <w:b/>
                <w:sz w:val="20"/>
              </w:rPr>
              <w:t>20. How many management forums or governance meetings must the bidder attend?</w:t>
            </w:r>
          </w:p>
        </w:tc>
      </w:tr>
      <w:tr w:rsidR="005E5EC0" w14:paraId="4BE6E732"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1481A014" w14:textId="77777777" w:rsidR="005E5EC0" w:rsidRDefault="00000000">
            <w:pPr>
              <w:spacing w:after="0"/>
            </w:pPr>
            <w:r>
              <w:rPr>
                <w:sz w:val="20"/>
              </w:rPr>
              <w:t>Attendance will be based on operational requirements and the governance structures relevant to the respective support environments. The successful service provider should make provision for regular operational, performance and governance meetings reasonably necessary to fulfil the Scope of Work, including ad hoc meetings where material performance or compliance matters require attention. A fixed number of meetings should not be assumed unless expressly stipulated in the tender documentation.</w:t>
            </w:r>
          </w:p>
        </w:tc>
      </w:tr>
    </w:tbl>
    <w:p w14:paraId="74405163"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454F50D1"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27F3634" w14:textId="77777777" w:rsidR="005E5EC0" w:rsidRDefault="00000000">
            <w:pPr>
              <w:keepNext/>
              <w:spacing w:after="0"/>
            </w:pPr>
            <w:r>
              <w:rPr>
                <w:b/>
                <w:sz w:val="20"/>
              </w:rPr>
              <w:lastRenderedPageBreak/>
              <w:t>21. What service levels and key performance indicators will be used to measure the service provider?</w:t>
            </w:r>
          </w:p>
        </w:tc>
      </w:tr>
      <w:tr w:rsidR="005E5EC0" w14:paraId="318EC425"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0EDC394C" w14:textId="77777777" w:rsidR="005E5EC0" w:rsidRDefault="00000000">
            <w:pPr>
              <w:spacing w:after="0"/>
            </w:pPr>
            <w:r>
              <w:rPr>
                <w:sz w:val="20"/>
              </w:rPr>
              <w:t>Performance will be measured against the contracted Scope of Work and agreed service levels. Measures are expected to include, amongst others: timeliness and accuracy of reporting; completeness and quality of supporting evidence; monitoring coverage; timely identification and escalation of non-compliance; closure of corrective actions; quality and accuracy of retention recommendations; data integrity; responsiveness to NTCSA requirements; delivery against agreed milestones; and audit readiness and resolution of reporting/data deficiencies. Detailed operational KPIs and reporting protocols will be confirmed during mobilisation and contract inception, consistent with the awarded scope.</w:t>
            </w:r>
          </w:p>
        </w:tc>
      </w:tr>
    </w:tbl>
    <w:p w14:paraId="4D07875F"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3DF13289"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34E12FBD" w14:textId="77777777" w:rsidR="005E5EC0" w:rsidRDefault="00000000">
            <w:pPr>
              <w:keepNext/>
              <w:spacing w:after="0"/>
            </w:pPr>
            <w:r>
              <w:rPr>
                <w:b/>
                <w:sz w:val="20"/>
              </w:rPr>
              <w:t>22. What review, comment and acceptance period will NTCSA apply to each deliverable?</w:t>
            </w:r>
          </w:p>
        </w:tc>
      </w:tr>
      <w:tr w:rsidR="005E5EC0" w14:paraId="6F0B5949"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692C998B" w14:textId="77777777" w:rsidR="005E5EC0" w:rsidRDefault="00000000">
            <w:pPr>
              <w:spacing w:after="0"/>
            </w:pPr>
            <w:r>
              <w:rPr>
                <w:sz w:val="20"/>
              </w:rPr>
              <w:t>Deliverables will be subject to NTCSA review and acceptance in accordance with the contract and agreed reporting calendar. Specific review periods may differ depending on the nature and urgency of the deliverable. The detailed submission, review, correction and approval process will be agreed during mobilisation, without changing the contractual delivery requirements.</w:t>
            </w:r>
          </w:p>
        </w:tc>
      </w:tr>
    </w:tbl>
    <w:p w14:paraId="216D4606"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1C3D6790"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78241B6F" w14:textId="77777777" w:rsidR="005E5EC0" w:rsidRDefault="00000000">
            <w:pPr>
              <w:keepNext/>
              <w:spacing w:after="0"/>
            </w:pPr>
            <w:r>
              <w:rPr>
                <w:b/>
                <w:sz w:val="20"/>
              </w:rPr>
              <w:t>23. Will the service provider be required to support internal audits, external audits or regulatory reviews, and to what extent?</w:t>
            </w:r>
          </w:p>
        </w:tc>
      </w:tr>
      <w:tr w:rsidR="005E5EC0" w14:paraId="6B0D1727"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7ABACB10" w14:textId="77777777" w:rsidR="005E5EC0" w:rsidRDefault="00000000">
            <w:pPr>
              <w:spacing w:after="0"/>
            </w:pPr>
            <w:r>
              <w:rPr>
                <w:sz w:val="20"/>
              </w:rPr>
              <w:t>Yes. The service provider will be expected to provide reasonable support for internal audits, external audits and regulatory/governance reviews relating to SDL&amp;I information and activities falling within the scope of the appointment. Support may include provision and retrieval of supporting evidence, reconciliation of reported information, responding to information requests, explaining methodologies and assisting NTCSA in addressing findings relating to the service provider scope. Accountability for NTCSA statutory and governance obligations remains with NTCSA.</w:t>
            </w:r>
          </w:p>
        </w:tc>
      </w:tr>
    </w:tbl>
    <w:p w14:paraId="703E1433" w14:textId="77777777" w:rsidR="005E5EC0" w:rsidRDefault="005E5EC0">
      <w:pPr>
        <w:spacing w:after="20"/>
      </w:pPr>
    </w:p>
    <w:p w14:paraId="1899CB10" w14:textId="77777777" w:rsidR="005E5EC0" w:rsidRDefault="00000000">
      <w:pPr>
        <w:pStyle w:val="Heading1"/>
      </w:pPr>
      <w:r>
        <w:t>7. Transition and implementation</w:t>
      </w:r>
    </w:p>
    <w:tbl>
      <w:tblPr>
        <w:tblW w:w="0" w:type="auto"/>
        <w:jc w:val="center"/>
        <w:tblLook w:val="04A0" w:firstRow="1" w:lastRow="0" w:firstColumn="1" w:lastColumn="0" w:noHBand="0" w:noVBand="1"/>
      </w:tblPr>
      <w:tblGrid>
        <w:gridCol w:w="10214"/>
      </w:tblGrid>
      <w:tr w:rsidR="005E5EC0" w14:paraId="7D1A69DD"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F0FD2E4" w14:textId="77777777" w:rsidR="005E5EC0" w:rsidRDefault="00000000">
            <w:pPr>
              <w:keepNext/>
              <w:spacing w:after="0"/>
            </w:pPr>
            <w:r>
              <w:rPr>
                <w:b/>
                <w:sz w:val="20"/>
              </w:rPr>
              <w:t>24. What is the anticipated commencement date?</w:t>
            </w:r>
          </w:p>
        </w:tc>
      </w:tr>
      <w:tr w:rsidR="005E5EC0" w14:paraId="61FDB685"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795C38D8" w14:textId="77777777" w:rsidR="005E5EC0" w:rsidRDefault="00000000">
            <w:pPr>
              <w:spacing w:after="0"/>
            </w:pPr>
            <w:r>
              <w:rPr>
                <w:sz w:val="20"/>
              </w:rPr>
              <w:t>Commencement will be subject to completion of the procurement process, contract award and fulfilment of the applicable contractual requirements. The successful bidder will be formally advised of the effective commencement date following award.</w:t>
            </w:r>
          </w:p>
        </w:tc>
      </w:tr>
    </w:tbl>
    <w:p w14:paraId="5D4FF67D"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7E49F671"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FB00202" w14:textId="77777777" w:rsidR="005E5EC0" w:rsidRDefault="00000000">
            <w:pPr>
              <w:keepNext/>
              <w:spacing w:after="0"/>
            </w:pPr>
            <w:r>
              <w:rPr>
                <w:b/>
                <w:sz w:val="20"/>
              </w:rPr>
              <w:t>25. What mobilisation period will be allowed after contract award?</w:t>
            </w:r>
          </w:p>
        </w:tc>
      </w:tr>
      <w:tr w:rsidR="005E5EC0" w14:paraId="3220B3F2"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76804695" w14:textId="77777777" w:rsidR="005E5EC0" w:rsidRDefault="00000000">
            <w:pPr>
              <w:spacing w:after="0"/>
            </w:pPr>
            <w:r>
              <w:rPr>
                <w:sz w:val="20"/>
              </w:rPr>
              <w:t>The successful service provider will be expected to mobilise within the period stipulated in the contract and/or agreed with NTCSA following award. Given the operational nature of the requirement, bidders should demonstrate the ability to mobilise resources within a reasonable period and without unnecessary delay.</w:t>
            </w:r>
          </w:p>
        </w:tc>
      </w:tr>
    </w:tbl>
    <w:p w14:paraId="2BA42175"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05BCB239"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2A4577A" w14:textId="77777777" w:rsidR="005E5EC0" w:rsidRDefault="00000000">
            <w:pPr>
              <w:keepNext/>
              <w:spacing w:after="0"/>
            </w:pPr>
            <w:r>
              <w:rPr>
                <w:b/>
                <w:sz w:val="20"/>
              </w:rPr>
              <w:t>26. Is there an incumbent service provider, and what handover support and records will be available?</w:t>
            </w:r>
          </w:p>
        </w:tc>
      </w:tr>
      <w:tr w:rsidR="005E5EC0" w14:paraId="391AF307"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330DF273" w14:textId="77777777" w:rsidR="005E5EC0" w:rsidRDefault="00000000">
            <w:pPr>
              <w:spacing w:after="0"/>
            </w:pPr>
            <w:r>
              <w:rPr>
                <w:sz w:val="20"/>
              </w:rPr>
              <w:t>The requirement should not be priced on the assumption that an incumbent service provider will provide a complete handover. NTCSA will facilitate access to available records, existing reporting information, relevant stakeholders and applicable processes during mobilisation. The successful service provider will be responsible for conducting an appropriate baseline assessment and identifying any information or control gaps requiring remediation.</w:t>
            </w:r>
          </w:p>
        </w:tc>
      </w:tr>
    </w:tbl>
    <w:p w14:paraId="59EA37CC"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788D079E"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096B684D" w14:textId="77777777" w:rsidR="005E5EC0" w:rsidRDefault="00000000">
            <w:pPr>
              <w:keepNext/>
              <w:spacing w:after="0"/>
            </w:pPr>
            <w:r>
              <w:rPr>
                <w:b/>
                <w:sz w:val="20"/>
              </w:rPr>
              <w:lastRenderedPageBreak/>
              <w:t>27. Is a detailed transition, mobilisation and knowledge-transfer plan required in the technical proposal?</w:t>
            </w:r>
          </w:p>
        </w:tc>
      </w:tr>
      <w:tr w:rsidR="005E5EC0" w14:paraId="675ABA12"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556A3AB3" w14:textId="77777777" w:rsidR="005E5EC0" w:rsidRDefault="00000000">
            <w:pPr>
              <w:spacing w:after="0"/>
            </w:pPr>
            <w:r>
              <w:rPr>
                <w:sz w:val="20"/>
              </w:rPr>
              <w:t>Bidders should demonstrate a clear understanding of how they intend to mobilise and operationalise the services within the required environments. Where the tender technical/functionality criteria expressly require a transition, mobilisation or implementation plan, bidders must respond in accordance with those criteria. No additional functionality criterion is introduced through this clarification.</w:t>
            </w:r>
          </w:p>
        </w:tc>
      </w:tr>
    </w:tbl>
    <w:p w14:paraId="1EA12499"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25F658F6"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2705D62E" w14:textId="77777777" w:rsidR="005E5EC0" w:rsidRDefault="00000000">
            <w:pPr>
              <w:keepNext/>
              <w:spacing w:after="0"/>
            </w:pPr>
            <w:r>
              <w:rPr>
                <w:b/>
                <w:sz w:val="20"/>
              </w:rPr>
              <w:t>28. What exit-management and handover obligations will apply at the end of the contract?</w:t>
            </w:r>
          </w:p>
        </w:tc>
      </w:tr>
      <w:tr w:rsidR="005E5EC0" w14:paraId="2FDCF684"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76BF9C52" w14:textId="77777777" w:rsidR="005E5EC0" w:rsidRDefault="00000000">
            <w:pPr>
              <w:spacing w:after="0"/>
            </w:pPr>
            <w:r>
              <w:rPr>
                <w:sz w:val="20"/>
              </w:rPr>
              <w:t>The service provider will be expected to provide an orderly handover to NTCSA and/or a successor service provider. This will include, as applicable, transfer of current records, supporting evidence, databases/data sets, dashboards, templates, outstanding corrective-action registers, contract-status information, methodologies, process documentation and relevant knowledge generated in performing the services. NTCSA information must remain accessible to NTCSA throughout the contract and may not be withheld at contract expiry or termination.</w:t>
            </w:r>
          </w:p>
        </w:tc>
      </w:tr>
    </w:tbl>
    <w:p w14:paraId="4AEA0231" w14:textId="77777777" w:rsidR="005E5EC0" w:rsidRDefault="005E5EC0">
      <w:pPr>
        <w:spacing w:after="20"/>
      </w:pPr>
    </w:p>
    <w:p w14:paraId="0E62DC48" w14:textId="77777777" w:rsidR="005E5EC0" w:rsidRDefault="00000000">
      <w:pPr>
        <w:pStyle w:val="Heading1"/>
      </w:pPr>
      <w:r>
        <w:t>8. Evaluation and pricing</w:t>
      </w:r>
    </w:p>
    <w:tbl>
      <w:tblPr>
        <w:tblW w:w="0" w:type="auto"/>
        <w:jc w:val="center"/>
        <w:tblLook w:val="04A0" w:firstRow="1" w:lastRow="0" w:firstColumn="1" w:lastColumn="0" w:noHBand="0" w:noVBand="1"/>
      </w:tblPr>
      <w:tblGrid>
        <w:gridCol w:w="10214"/>
      </w:tblGrid>
      <w:tr w:rsidR="005E5EC0" w14:paraId="5E70D90D"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01A97EC4" w14:textId="77777777" w:rsidR="005E5EC0" w:rsidRDefault="00000000">
            <w:pPr>
              <w:keepNext/>
              <w:spacing w:after="0"/>
            </w:pPr>
            <w:r>
              <w:rPr>
                <w:b/>
                <w:sz w:val="20"/>
              </w:rPr>
              <w:t>29. How many reference projects are required, and what constitutes relevant SDL&amp;I monitoring experience? For BEE agencies, this is conducted in verifications but not as a stand-alone product. Does this meet the requirement of this bid?</w:t>
            </w:r>
          </w:p>
        </w:tc>
      </w:tr>
      <w:tr w:rsidR="005E5EC0" w14:paraId="0399406A"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A43BC3D" w14:textId="77777777" w:rsidR="005E5EC0" w:rsidRDefault="00000000">
            <w:pPr>
              <w:spacing w:after="0"/>
            </w:pPr>
            <w:r>
              <w:rPr>
                <w:sz w:val="20"/>
              </w:rPr>
              <w:t>Bidders must provide the number and nature of references stipulated in the issued tender/functionality criteria. The clarification process does not amend that requirement. Relevant experience should demonstrate practical capability in activities comparable to the required scope, including monitoring, verification, evidence assessment, compliance reporting, data analysis and/or management of socio-economic, localisation, supplier-development or related contractual obligations. Experience obtained by a B-BBEE verification agency may be relevant where the bidder can demonstrate that the work performed is substantively comparable to the activities required by this tender. However, B-BBEE verification experience in itself should not automatically be regarded as equivalent to the full SDL&amp;I monitoring and reporting scope. Assessment will be undertaken against the published tender requirements and functionality criteria.</w:t>
            </w:r>
          </w:p>
        </w:tc>
      </w:tr>
    </w:tbl>
    <w:p w14:paraId="2948C43A"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01D393A6"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679CB4DE" w14:textId="77777777" w:rsidR="005E5EC0" w:rsidRDefault="00000000">
            <w:pPr>
              <w:keepNext/>
              <w:spacing w:after="0"/>
            </w:pPr>
            <w:r>
              <w:rPr>
                <w:b/>
                <w:sz w:val="20"/>
              </w:rPr>
              <w:t>30. Must bidders demonstrate prior experience specifically within the energy, infrastructure or public-sector environment?</w:t>
            </w:r>
          </w:p>
        </w:tc>
      </w:tr>
      <w:tr w:rsidR="005E5EC0" w14:paraId="5D7C02FB"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2CD40978" w14:textId="77777777" w:rsidR="005E5EC0" w:rsidRDefault="00000000">
            <w:pPr>
              <w:spacing w:after="0"/>
            </w:pPr>
            <w:r>
              <w:rPr>
                <w:sz w:val="20"/>
              </w:rPr>
              <w:t>Bidders must comply with the sector/experience requirements contained in the published functionality criteria. Experience within energy, infrastructure, utilities, public-sector or other complex contracting environments may demonstrate relevance; however, NTCSA will not introduce an additional mandatory sector-specific requirement through clarification where such requirement was not contained in the issued tender documentation. The determining consideration remains whether the bidder demonstrates the required relevant experience and capability stipulated in the tender.</w:t>
            </w:r>
          </w:p>
        </w:tc>
      </w:tr>
    </w:tbl>
    <w:p w14:paraId="798B457A" w14:textId="77777777" w:rsidR="005E5EC0" w:rsidRDefault="005E5EC0">
      <w:pPr>
        <w:spacing w:after="20"/>
      </w:pPr>
    </w:p>
    <w:p w14:paraId="6EF5418B" w14:textId="77777777" w:rsidR="005E5EC0" w:rsidRDefault="00000000">
      <w:pPr>
        <w:pStyle w:val="Heading1"/>
      </w:pPr>
      <w:r>
        <w:t>9. Contractual clarification</w:t>
      </w:r>
    </w:p>
    <w:tbl>
      <w:tblPr>
        <w:tblW w:w="0" w:type="auto"/>
        <w:jc w:val="center"/>
        <w:tblLook w:val="04A0" w:firstRow="1" w:lastRow="0" w:firstColumn="1" w:lastColumn="0" w:noHBand="0" w:noVBand="1"/>
      </w:tblPr>
      <w:tblGrid>
        <w:gridCol w:w="10214"/>
      </w:tblGrid>
      <w:tr w:rsidR="005E5EC0" w14:paraId="28884805"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51E064CF" w14:textId="77777777" w:rsidR="005E5EC0" w:rsidRDefault="00000000">
            <w:pPr>
              <w:keepNext/>
              <w:spacing w:after="0"/>
            </w:pPr>
            <w:r>
              <w:rPr>
                <w:b/>
                <w:sz w:val="20"/>
              </w:rPr>
              <w:t>31. Will background screening, security clearance or medical clearance be required for deployed personnel?</w:t>
            </w:r>
          </w:p>
        </w:tc>
      </w:tr>
      <w:tr w:rsidR="005E5EC0" w14:paraId="19ECD31D"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0F3FB419" w14:textId="77777777" w:rsidR="005E5EC0" w:rsidRDefault="00000000">
            <w:pPr>
              <w:spacing w:after="0"/>
            </w:pPr>
            <w:r>
              <w:rPr>
                <w:sz w:val="20"/>
              </w:rPr>
              <w:t>Deployed personnel will be required to comply with applicable NTCSA onboarding, security, access-control, occupational health and safety and site-specific requirements. The extent of background screening, security clearance and/or medical fitness requirements will depend on the nature of access and work to be performed. Where personnel are required to access operational or project sites, the applicable site requirements must be complied with.</w:t>
            </w:r>
          </w:p>
        </w:tc>
      </w:tr>
    </w:tbl>
    <w:p w14:paraId="2D6BC392" w14:textId="77777777" w:rsidR="005E5EC0" w:rsidRDefault="005E5EC0">
      <w:pPr>
        <w:spacing w:after="20"/>
      </w:pPr>
    </w:p>
    <w:tbl>
      <w:tblPr>
        <w:tblW w:w="0" w:type="auto"/>
        <w:jc w:val="center"/>
        <w:tblLook w:val="04A0" w:firstRow="1" w:lastRow="0" w:firstColumn="1" w:lastColumn="0" w:noHBand="0" w:noVBand="1"/>
      </w:tblPr>
      <w:tblGrid>
        <w:gridCol w:w="10214"/>
      </w:tblGrid>
      <w:tr w:rsidR="005E5EC0" w14:paraId="5393BB11" w14:textId="77777777">
        <w:trPr>
          <w:cantSplit/>
          <w:jc w:val="center"/>
        </w:trPr>
        <w:tc>
          <w:tcPr>
            <w:tcW w:w="10224" w:type="dxa"/>
            <w:tcBorders>
              <w:top w:val="single" w:sz="4" w:space="0" w:color="A6B9D1"/>
              <w:left w:val="single" w:sz="4" w:space="0" w:color="A6B9D1"/>
              <w:bottom w:val="single" w:sz="4" w:space="0" w:color="A6B9D1"/>
              <w:right w:val="single" w:sz="4" w:space="0" w:color="A6B9D1"/>
            </w:tcBorders>
            <w:shd w:val="clear" w:color="auto" w:fill="D9EAF7"/>
            <w:tcMar>
              <w:top w:w="110" w:type="dxa"/>
              <w:left w:w="130" w:type="dxa"/>
              <w:bottom w:w="110" w:type="dxa"/>
              <w:right w:w="130" w:type="dxa"/>
            </w:tcMar>
            <w:vAlign w:val="center"/>
          </w:tcPr>
          <w:p w14:paraId="1A3A8F2F" w14:textId="77777777" w:rsidR="005E5EC0" w:rsidRDefault="00000000">
            <w:pPr>
              <w:keepNext/>
              <w:spacing w:after="0"/>
            </w:pPr>
            <w:r>
              <w:rPr>
                <w:b/>
                <w:sz w:val="20"/>
              </w:rPr>
              <w:t>32. Who will own dashboards, methodologies, templates and other intellectual property developed during the engagement?</w:t>
            </w:r>
          </w:p>
        </w:tc>
      </w:tr>
      <w:tr w:rsidR="005E5EC0" w14:paraId="6D0195B1" w14:textId="77777777">
        <w:trPr>
          <w:cantSplit/>
          <w:jc w:val="center"/>
        </w:trPr>
        <w:tc>
          <w:tcPr>
            <w:tcW w:w="10224" w:type="dxa"/>
            <w:tcBorders>
              <w:top w:val="single" w:sz="4" w:space="0" w:color="D9E1F2"/>
              <w:left w:val="single" w:sz="4" w:space="0" w:color="D9E1F2"/>
              <w:bottom w:val="single" w:sz="4" w:space="0" w:color="D9E1F2"/>
              <w:right w:val="single" w:sz="4" w:space="0" w:color="D9E1F2"/>
            </w:tcBorders>
            <w:tcMar>
              <w:top w:w="120" w:type="dxa"/>
              <w:left w:w="130" w:type="dxa"/>
              <w:bottom w:w="120" w:type="dxa"/>
              <w:right w:w="130" w:type="dxa"/>
            </w:tcMar>
            <w:vAlign w:val="center"/>
          </w:tcPr>
          <w:p w14:paraId="657C4F78" w14:textId="77777777" w:rsidR="005E5EC0" w:rsidRDefault="00000000">
            <w:pPr>
              <w:spacing w:after="0"/>
            </w:pPr>
            <w:r>
              <w:rPr>
                <w:sz w:val="20"/>
              </w:rPr>
              <w:t>All NTCSA data and information remains the property of NTCSA. Dashboards, reports, templates, data models, registers, process documentation and other deliverables specifically developed and paid for by NTCSA under the contract will be available to and owned/used by NTCSA in accordance with the intellectual-property provisions of the resulting contract. Any pre-existing proprietary tools, methodologies or intellectual property belonging to the service provider prior to the contract should be clearly identified as background intellectual property and will remain subject to the applicable contractual provisions. The service provider must ensure that NTCSA is not operationally dependent on proprietary tools in a manner that prevents NTCSA from accessing or using its own data and contractual deliverables following expiry or termination of the contract.</w:t>
            </w:r>
          </w:p>
        </w:tc>
      </w:tr>
    </w:tbl>
    <w:p w14:paraId="70D8A51A" w14:textId="77777777" w:rsidR="005E5EC0" w:rsidRDefault="005E5EC0">
      <w:pPr>
        <w:spacing w:after="20"/>
      </w:pPr>
    </w:p>
    <w:sectPr w:rsidR="005E5EC0" w:rsidSect="00034616">
      <w:footerReference w:type="default" r:id="rId8"/>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120C2" w14:textId="77777777" w:rsidR="002E74C2" w:rsidRDefault="002E74C2">
      <w:pPr>
        <w:spacing w:after="0" w:line="240" w:lineRule="auto"/>
      </w:pPr>
      <w:r>
        <w:separator/>
      </w:r>
    </w:p>
  </w:endnote>
  <w:endnote w:type="continuationSeparator" w:id="0">
    <w:p w14:paraId="733B78F5" w14:textId="77777777" w:rsidR="002E74C2" w:rsidRDefault="002E7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1B0A0" w14:textId="117FB017" w:rsidR="005E5EC0" w:rsidRDefault="005E5EC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6E24F" w14:textId="77777777" w:rsidR="002E74C2" w:rsidRDefault="002E74C2">
      <w:pPr>
        <w:spacing w:after="0" w:line="240" w:lineRule="auto"/>
      </w:pPr>
      <w:r>
        <w:separator/>
      </w:r>
    </w:p>
  </w:footnote>
  <w:footnote w:type="continuationSeparator" w:id="0">
    <w:p w14:paraId="2D5170B2" w14:textId="77777777" w:rsidR="002E74C2" w:rsidRDefault="002E74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72452328">
    <w:abstractNumId w:val="8"/>
  </w:num>
  <w:num w:numId="2" w16cid:durableId="1040664732">
    <w:abstractNumId w:val="6"/>
  </w:num>
  <w:num w:numId="3" w16cid:durableId="89081515">
    <w:abstractNumId w:val="5"/>
  </w:num>
  <w:num w:numId="4" w16cid:durableId="1196575375">
    <w:abstractNumId w:val="4"/>
  </w:num>
  <w:num w:numId="5" w16cid:durableId="414321006">
    <w:abstractNumId w:val="7"/>
  </w:num>
  <w:num w:numId="6" w16cid:durableId="2078743958">
    <w:abstractNumId w:val="3"/>
  </w:num>
  <w:num w:numId="7" w16cid:durableId="1642033760">
    <w:abstractNumId w:val="2"/>
  </w:num>
  <w:num w:numId="8" w16cid:durableId="342629268">
    <w:abstractNumId w:val="1"/>
  </w:num>
  <w:num w:numId="9" w16cid:durableId="80504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72E24"/>
    <w:rsid w:val="0029639D"/>
    <w:rsid w:val="002E74C2"/>
    <w:rsid w:val="00326F90"/>
    <w:rsid w:val="003A2CCC"/>
    <w:rsid w:val="004804DC"/>
    <w:rsid w:val="005E5EC0"/>
    <w:rsid w:val="00AA1D8D"/>
    <w:rsid w:val="00B47730"/>
    <w:rsid w:val="00CB0664"/>
    <w:rsid w:val="00CF2F65"/>
    <w:rsid w:val="00F80F0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A6DF97"/>
  <w14:defaultImageDpi w14:val="300"/>
  <w15:docId w15:val="{2C6E0F93-110C-4F91-A322-1118E4E3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sz w:val="21"/>
    </w:rPr>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b/>
      <w:bCs/>
      <w:color w:val="1F4E79"/>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930</Words>
  <Characters>19840</Characters>
  <Application>Microsoft Office Word</Application>
  <DocSecurity>0</DocSecurity>
  <Lines>1526</Lines>
  <Paragraphs>364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Transformex CC Clarification Questions - NTCSA Response</dc:title>
  <dc:subject>SDL&amp;I Monitoring and Reporting Services</dc:subject>
  <dc:creator>NTCSA</dc:creator>
  <cp:keywords/>
  <dc:description>generated by python-docx</dc:description>
  <cp:lastModifiedBy>Thendo Silimela</cp:lastModifiedBy>
  <cp:revision>3</cp:revision>
  <dcterms:created xsi:type="dcterms:W3CDTF">2026-08-24T08:31:00Z</dcterms:created>
  <dcterms:modified xsi:type="dcterms:W3CDTF">2026-08-24T10:00:00Z</dcterms:modified>
  <cp:category/>
</cp:coreProperties>
</file>