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3E3E4C9E" w:rsidR="00025388" w:rsidRPr="00307DD2" w:rsidRDefault="00025388" w:rsidP="001E4F23">
      <w:pPr>
        <w:pBdr>
          <w:top w:val="single" w:sz="8" w:space="0"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10</w:t>
      </w:r>
      <w:r w:rsidR="0025325E">
        <w:rPr>
          <w:rFonts w:ascii="Arial" w:hAnsi="Arial" w:cs="Arial"/>
          <w:b/>
          <w:bCs/>
          <w:color w:val="FF0000"/>
          <w:sz w:val="22"/>
          <w:szCs w:val="22"/>
        </w:rPr>
        <w:t>3</w:t>
      </w:r>
      <w:r w:rsidR="001E4F23">
        <w:rPr>
          <w:rFonts w:ascii="Arial" w:hAnsi="Arial" w:cs="Arial"/>
          <w:b/>
          <w:bCs/>
          <w:color w:val="FF0000"/>
          <w:sz w:val="22"/>
          <w:szCs w:val="22"/>
        </w:rPr>
        <w:t>40733</w:t>
      </w:r>
    </w:p>
    <w:p w14:paraId="2CE6B2BB" w14:textId="77777777" w:rsidR="00025388" w:rsidRPr="00307DD2" w:rsidRDefault="00025388" w:rsidP="001E4F23">
      <w:pPr>
        <w:pBdr>
          <w:top w:val="single" w:sz="8" w:space="0"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1E4F23">
      <w:pPr>
        <w:pBdr>
          <w:top w:val="single" w:sz="8" w:space="0"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1E4F23">
      <w:pPr>
        <w:pBdr>
          <w:top w:val="single" w:sz="8" w:space="0"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1D822E49" w:rsidR="00025388" w:rsidRPr="00307DD2" w:rsidRDefault="00025388" w:rsidP="001E4F23">
      <w:pPr>
        <w:pBdr>
          <w:top w:val="single" w:sz="8" w:space="0"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1E4F23">
        <w:rPr>
          <w:rFonts w:ascii="Arial" w:hAnsi="Arial" w:cs="Arial"/>
          <w:b/>
          <w:bCs/>
          <w:sz w:val="22"/>
          <w:szCs w:val="22"/>
        </w:rPr>
        <w:t xml:space="preserve"> PTIX ROLLS CONTRACT FOR A PERIOD OF 3 YEARS</w:t>
      </w:r>
    </w:p>
    <w:bookmarkEnd w:id="0"/>
    <w:p w14:paraId="5594CEA4" w14:textId="77777777" w:rsidR="00025388" w:rsidRPr="00307DD2" w:rsidRDefault="00025388" w:rsidP="001E4F23">
      <w:pPr>
        <w:pBdr>
          <w:top w:val="single" w:sz="8" w:space="0"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1E4F23">
      <w:pPr>
        <w:pBdr>
          <w:top w:val="single" w:sz="8" w:space="0"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1E4F23">
      <w:pPr>
        <w:pBdr>
          <w:top w:val="single" w:sz="8" w:space="0"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1E4F23">
      <w:pPr>
        <w:pBdr>
          <w:top w:val="single" w:sz="8" w:space="0"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020FB606"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w:t>
            </w:r>
            <w:r w:rsidR="001E4F23">
              <w:rPr>
                <w:rFonts w:ascii="Arial Narrow" w:hAnsi="Arial Narrow" w:cs="Arial"/>
                <w:snapToGrid w:val="0"/>
                <w:sz w:val="20"/>
                <w:szCs w:val="20"/>
                <w:lang w:val="en-GB"/>
              </w:rPr>
              <w:t>40733</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5DE37EB8" w:rsidR="00560041" w:rsidRPr="00F90EE7" w:rsidRDefault="001E4F2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11.08.2023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CA121F"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223BF">
              <w:rPr>
                <w:rFonts w:ascii="Arial Narrow" w:hAnsi="Arial Narrow" w:cs="Arial"/>
                <w:snapToGrid w:val="0"/>
                <w:sz w:val="20"/>
                <w:szCs w:val="20"/>
                <w:lang w:val="en-GB"/>
              </w:rPr>
              <w:t>2:00PM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702C6CC" w:rsidR="00560041" w:rsidRPr="00F90EE7" w:rsidRDefault="006223B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6223BF">
              <w:rPr>
                <w:rFonts w:ascii="Arial Narrow" w:hAnsi="Arial Narrow" w:cs="Arial"/>
                <w:snapToGrid w:val="0"/>
                <w:sz w:val="20"/>
                <w:szCs w:val="20"/>
                <w:lang w:val="en-GB"/>
              </w:rPr>
              <w:t xml:space="preserve">REQUEST FOR QUOTATION (RFQ) FOR </w:t>
            </w:r>
            <w:r w:rsidR="001E4F23">
              <w:rPr>
                <w:rFonts w:ascii="Arial Narrow" w:hAnsi="Arial Narrow" w:cs="Arial"/>
                <w:snapToGrid w:val="0"/>
                <w:sz w:val="20"/>
                <w:szCs w:val="20"/>
                <w:lang w:val="en-GB"/>
              </w:rPr>
              <w:t>PTIX ROLLS CONTRACT FOR A PERIOD OF 3 YEARS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4A01F473"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hyperlink r:id="rId9" w:history="1">
              <w:r w:rsidR="008156B6" w:rsidRPr="005E7E9C">
                <w:rPr>
                  <w:rStyle w:val="Hyperlink"/>
                  <w:rFonts w:ascii="Arial Narrow" w:hAnsi="Arial Narrow" w:cs="Arial"/>
                  <w:b/>
                  <w:sz w:val="20"/>
                  <w:szCs w:val="20"/>
                </w:rPr>
                <w:t>Simnikiwe.nqulo@prasa.com</w:t>
              </w:r>
            </w:hyperlink>
            <w:r w:rsidR="008156B6">
              <w:rPr>
                <w:rFonts w:ascii="Arial Narrow" w:hAnsi="Arial Narrow" w:cs="Arial"/>
                <w:b/>
                <w:sz w:val="20"/>
                <w:szCs w:val="20"/>
              </w:rPr>
              <w:t xml:space="preserve">  </w:t>
            </w:r>
            <w:r w:rsidR="008156B6" w:rsidRPr="008156B6">
              <w:rPr>
                <w:rFonts w:ascii="Arial Narrow" w:hAnsi="Arial Narrow" w:cs="Arial"/>
                <w:b/>
                <w:color w:val="FF0000"/>
                <w:sz w:val="20"/>
                <w:szCs w:val="20"/>
              </w:rPr>
              <w:t xml:space="preserve">( NO HAND DELIVERIES)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09D08813"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D13198">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E3B91B9"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576B2F">
              <w:rPr>
                <w:rFonts w:ascii="Arial Narrow" w:hAnsi="Arial Narrow" w:cs="Arial"/>
                <w:snapToGrid w:val="0"/>
                <w:sz w:val="20"/>
                <w:szCs w:val="20"/>
                <w:lang w:val="en-GB"/>
              </w:rPr>
            </w:r>
            <w:r w:rsidR="00576B2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0FAD1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138E1A32" w:rsidR="0067553F" w:rsidRDefault="0067553F" w:rsidP="00EF509E">
      <w:pPr>
        <w:spacing w:line="360" w:lineRule="auto"/>
        <w:ind w:left="720"/>
        <w:jc w:val="both"/>
        <w:rPr>
          <w:rFonts w:ascii="Arial" w:hAnsi="Arial" w:cs="Arial"/>
          <w:b/>
          <w:sz w:val="22"/>
          <w:szCs w:val="22"/>
        </w:rPr>
      </w:pP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84E640"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32D2CE7F"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8156B6"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1B33EC56"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8156B6"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8156B6"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0858A4BF"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r w:rsidR="008156B6" w:rsidRPr="00307DD2">
        <w:rPr>
          <w:b/>
          <w:snapToGrid w:val="0"/>
          <w:sz w:val="22"/>
          <w:szCs w:val="22"/>
        </w:rPr>
        <w:t>Rand</w:t>
      </w:r>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r w:rsidR="008156B6" w:rsidRPr="00307DD2">
        <w:rPr>
          <w:snapToGrid w:val="0"/>
          <w:sz w:val="22"/>
          <w:szCs w:val="22"/>
        </w:rPr>
        <w:t>taxes.</w:t>
      </w:r>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680743F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r w:rsidR="008156B6" w:rsidRPr="00307DD2">
        <w:rPr>
          <w:b/>
          <w:snapToGrid w:val="0"/>
          <w:sz w:val="22"/>
          <w:szCs w:val="22"/>
        </w:rPr>
        <w:t>The</w:t>
      </w:r>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0E1690C5"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r w:rsidR="008156B6" w:rsidRPr="00307DD2">
        <w:rPr>
          <w:rFonts w:ascii="Arial" w:hAnsi="Arial" w:cs="Arial"/>
          <w:snapToGrid w:val="0"/>
          <w:sz w:val="22"/>
          <w:szCs w:val="22"/>
          <w:lang w:val="en-GB"/>
        </w:rPr>
        <w:t>Were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4B7B1DBE" w:rsidR="000A250F" w:rsidRPr="00307DD2" w:rsidRDefault="008156B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69AB59B5"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8156B6" w:rsidRPr="00307DD2">
        <w:rPr>
          <w:rFonts w:ascii="Arial" w:hAnsi="Arial" w:cs="Arial"/>
          <w:snapToGrid w:val="0"/>
          <w:sz w:val="22"/>
          <w:szCs w:val="22"/>
          <w:lang w:val="en-GB"/>
        </w:rPr>
        <w:t>correct.</w:t>
      </w:r>
    </w:p>
    <w:p w14:paraId="6A85231D" w14:textId="4CE76950"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8156B6" w:rsidRPr="00307DD2">
        <w:rPr>
          <w:rFonts w:ascii="Arial" w:hAnsi="Arial" w:cs="Arial"/>
          <w:snapToGrid w:val="0"/>
          <w:sz w:val="22"/>
          <w:szCs w:val="22"/>
          <w:lang w:val="en-GB"/>
        </w:rPr>
        <w:t>form.</w:t>
      </w:r>
    </w:p>
    <w:p w14:paraId="10A0FCEF" w14:textId="354F11A8"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w:t>
      </w:r>
      <w:r w:rsidR="008156B6"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07EDF364"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8156B6" w:rsidRPr="00307DD2">
        <w:rPr>
          <w:rFonts w:ascii="Arial" w:hAnsi="Arial" w:cs="Arial"/>
          <w:snapToGrid w:val="0"/>
          <w:sz w:val="22"/>
          <w:szCs w:val="22"/>
          <w:lang w:val="en-GB"/>
        </w:rPr>
        <w:t>process.</w:t>
      </w:r>
    </w:p>
    <w:p w14:paraId="0F940962" w14:textId="6685EC2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r w:rsidR="008156B6" w:rsidRPr="00307DD2">
        <w:rPr>
          <w:rFonts w:ascii="Arial" w:hAnsi="Arial" w:cs="Arial"/>
          <w:snapToGrid w:val="0"/>
          <w:sz w:val="22"/>
          <w:szCs w:val="22"/>
          <w:lang w:val="en-GB"/>
        </w:rPr>
        <w:t>losses,</w:t>
      </w:r>
      <w:r w:rsidRPr="00307DD2">
        <w:rPr>
          <w:rFonts w:ascii="Arial" w:hAnsi="Arial" w:cs="Arial"/>
          <w:snapToGrid w:val="0"/>
          <w:sz w:val="22"/>
          <w:szCs w:val="22"/>
          <w:lang w:val="en-GB"/>
        </w:rPr>
        <w:t xml:space="preserve"> or damages it has incurred or suffered </w:t>
      </w:r>
      <w:r w:rsidR="008156B6"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that person’s </w:t>
      </w:r>
      <w:r w:rsidR="008156B6" w:rsidRPr="00307DD2">
        <w:rPr>
          <w:rFonts w:ascii="Arial" w:hAnsi="Arial" w:cs="Arial"/>
          <w:snapToGrid w:val="0"/>
          <w:sz w:val="22"/>
          <w:szCs w:val="22"/>
          <w:lang w:val="en-GB"/>
        </w:rPr>
        <w:t>conduct.</w:t>
      </w:r>
    </w:p>
    <w:p w14:paraId="3D38B976" w14:textId="11609AB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r w:rsidR="008156B6"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having to make less favourable arrangements due to such </w:t>
      </w:r>
      <w:r w:rsidR="008156B6" w:rsidRPr="00307DD2">
        <w:rPr>
          <w:rFonts w:ascii="Arial" w:hAnsi="Arial" w:cs="Arial"/>
          <w:snapToGrid w:val="0"/>
          <w:sz w:val="22"/>
          <w:szCs w:val="22"/>
          <w:lang w:val="en-GB"/>
        </w:rPr>
        <w:t>cancellation.</w:t>
      </w:r>
    </w:p>
    <w:p w14:paraId="442FBAEF" w14:textId="6DB4A632"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r w:rsidR="008156B6" w:rsidRPr="00307DD2">
        <w:rPr>
          <w:rFonts w:ascii="Arial" w:hAnsi="Arial" w:cs="Arial"/>
          <w:snapToGrid w:val="0"/>
          <w:sz w:val="22"/>
          <w:szCs w:val="22"/>
          <w:lang w:val="en-GB"/>
        </w:rPr>
        <w:t>shareholders,</w:t>
      </w:r>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0E7822EC" w:rsidR="006B1D43" w:rsidRPr="00307DD2" w:rsidRDefault="008156B6"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3C7A9971"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r w:rsidR="008156B6"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187547B9" w:rsidR="005B1878" w:rsidRPr="00307DD2" w:rsidRDefault="008156B6"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044FFD1B"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BADA105" w14:textId="77777777" w:rsidR="004973E1" w:rsidRPr="00307DD2" w:rsidRDefault="004973E1" w:rsidP="00EF509E">
      <w:pPr>
        <w:spacing w:line="360" w:lineRule="auto"/>
        <w:jc w:val="both"/>
        <w:rPr>
          <w:rFonts w:ascii="Arial" w:hAnsi="Arial" w:cs="Arial"/>
          <w:b/>
          <w:sz w:val="22"/>
          <w:szCs w:val="22"/>
        </w:rPr>
      </w:pPr>
    </w:p>
    <w:p w14:paraId="0CA0758E" w14:textId="122B27FE" w:rsidR="0030657B" w:rsidRPr="00307DD2" w:rsidRDefault="001E4F23" w:rsidP="00EF509E">
      <w:pPr>
        <w:widowControl w:val="0"/>
        <w:tabs>
          <w:tab w:val="left" w:pos="720"/>
        </w:tabs>
        <w:spacing w:line="360" w:lineRule="auto"/>
        <w:jc w:val="both"/>
        <w:rPr>
          <w:rFonts w:ascii="Arial" w:hAnsi="Arial" w:cs="Arial"/>
          <w:b/>
          <w:sz w:val="22"/>
          <w:szCs w:val="22"/>
          <w:lang w:val="en-GB"/>
        </w:rPr>
      </w:pPr>
      <w:proofErr w:type="gramStart"/>
      <w:r>
        <w:rPr>
          <w:rFonts w:ascii="Arial" w:hAnsi="Arial" w:cs="Arial"/>
          <w:b/>
          <w:sz w:val="22"/>
          <w:szCs w:val="22"/>
          <w:lang w:val="en-GB"/>
        </w:rPr>
        <w:t>3 year</w:t>
      </w:r>
      <w:proofErr w:type="gramEnd"/>
      <w:r>
        <w:rPr>
          <w:rFonts w:ascii="Arial" w:hAnsi="Arial" w:cs="Arial"/>
          <w:b/>
          <w:sz w:val="22"/>
          <w:szCs w:val="22"/>
          <w:lang w:val="en-GB"/>
        </w:rPr>
        <w:t xml:space="preserve"> contract of </w:t>
      </w:r>
      <w:proofErr w:type="spellStart"/>
      <w:r>
        <w:rPr>
          <w:rFonts w:ascii="Arial" w:hAnsi="Arial" w:cs="Arial"/>
          <w:b/>
          <w:sz w:val="22"/>
          <w:szCs w:val="22"/>
          <w:lang w:val="en-GB"/>
        </w:rPr>
        <w:t>Ptix</w:t>
      </w:r>
      <w:proofErr w:type="spellEnd"/>
      <w:r>
        <w:rPr>
          <w:rFonts w:ascii="Arial" w:hAnsi="Arial" w:cs="Arial"/>
          <w:b/>
          <w:sz w:val="22"/>
          <w:szCs w:val="22"/>
          <w:lang w:val="en-GB"/>
        </w:rPr>
        <w:t xml:space="preserve"> rolls</w:t>
      </w:r>
    </w:p>
    <w:p w14:paraId="0F8BE154" w14:textId="77777777" w:rsidR="004973E1" w:rsidRDefault="004973E1" w:rsidP="00EF509E">
      <w:pPr>
        <w:widowControl w:val="0"/>
        <w:tabs>
          <w:tab w:val="left" w:pos="720"/>
        </w:tabs>
        <w:spacing w:line="360" w:lineRule="auto"/>
        <w:jc w:val="both"/>
        <w:rPr>
          <w:rFonts w:ascii="Arial" w:hAnsi="Arial" w:cs="Arial"/>
          <w:b/>
          <w:sz w:val="22"/>
          <w:szCs w:val="22"/>
          <w:lang w:val="en-GB"/>
        </w:rPr>
      </w:pPr>
    </w:p>
    <w:p w14:paraId="379BA10A" w14:textId="7FEBAE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D82B2F4" w:rsidR="0030657B" w:rsidRPr="008A2567" w:rsidRDefault="0030657B" w:rsidP="008A2567">
            <w:p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00B6E338" w:rsidR="0030657B" w:rsidRPr="00307DD2" w:rsidRDefault="001E4F23" w:rsidP="008156B6">
            <w:pPr>
              <w:tabs>
                <w:tab w:val="left" w:pos="357"/>
              </w:tabs>
              <w:spacing w:line="360" w:lineRule="auto"/>
              <w:jc w:val="both"/>
              <w:rPr>
                <w:rFonts w:ascii="Arial" w:hAnsi="Arial" w:cs="Arial"/>
                <w:color w:val="000000"/>
                <w:sz w:val="22"/>
                <w:szCs w:val="22"/>
                <w:lang w:val="en-GB" w:eastAsia="en-ZA"/>
              </w:rPr>
            </w:pPr>
            <w:proofErr w:type="spellStart"/>
            <w:r>
              <w:rPr>
                <w:rFonts w:ascii="Arial" w:hAnsi="Arial" w:cs="Arial"/>
                <w:color w:val="000000"/>
                <w:sz w:val="22"/>
                <w:szCs w:val="22"/>
                <w:lang w:val="en-GB" w:eastAsia="en-ZA"/>
              </w:rPr>
              <w:t>Ptix</w:t>
            </w:r>
            <w:proofErr w:type="spellEnd"/>
            <w:r>
              <w:rPr>
                <w:rFonts w:ascii="Arial" w:hAnsi="Arial" w:cs="Arial"/>
                <w:color w:val="000000"/>
                <w:sz w:val="22"/>
                <w:szCs w:val="22"/>
                <w:lang w:val="en-GB" w:eastAsia="en-ZA"/>
              </w:rPr>
              <w:t xml:space="preserve"> rolls. A box must contain 144 in each</w:t>
            </w: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F12492F" w:rsidR="0030657B" w:rsidRPr="00307DD2" w:rsidRDefault="0025325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23AC321D" w14:textId="43367290" w:rsidR="00F36AFD" w:rsidRPr="00576B2F" w:rsidRDefault="00576B2F" w:rsidP="00576B2F">
      <w:pPr>
        <w:pStyle w:val="ListParagraph"/>
        <w:numPr>
          <w:ilvl w:val="0"/>
          <w:numId w:val="31"/>
        </w:numPr>
        <w:spacing w:line="360" w:lineRule="auto"/>
        <w:jc w:val="both"/>
        <w:rPr>
          <w:b/>
          <w:color w:val="FF0000"/>
          <w:sz w:val="22"/>
          <w:szCs w:val="22"/>
        </w:rPr>
      </w:pPr>
      <w:r>
        <w:rPr>
          <w:b/>
          <w:color w:val="FF0000"/>
          <w:sz w:val="22"/>
          <w:szCs w:val="22"/>
        </w:rPr>
        <w:t>Appointed supplier will be required to provide a sample.</w:t>
      </w: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r>
        <w:t>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91C45F6"/>
    <w:multiLevelType w:val="hybridMultilevel"/>
    <w:tmpl w:val="9B4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31"/>
  </w:num>
  <w:num w:numId="4" w16cid:durableId="753166714">
    <w:abstractNumId w:val="18"/>
  </w:num>
  <w:num w:numId="5" w16cid:durableId="1971936993">
    <w:abstractNumId w:val="23"/>
  </w:num>
  <w:num w:numId="6" w16cid:durableId="915363479">
    <w:abstractNumId w:val="9"/>
  </w:num>
  <w:num w:numId="7" w16cid:durableId="111480456">
    <w:abstractNumId w:val="30"/>
  </w:num>
  <w:num w:numId="8" w16cid:durableId="1111781377">
    <w:abstractNumId w:val="15"/>
  </w:num>
  <w:num w:numId="9" w16cid:durableId="932932536">
    <w:abstractNumId w:val="3"/>
  </w:num>
  <w:num w:numId="10" w16cid:durableId="1017535581">
    <w:abstractNumId w:val="25"/>
  </w:num>
  <w:num w:numId="11" w16cid:durableId="324019106">
    <w:abstractNumId w:val="8"/>
  </w:num>
  <w:num w:numId="12" w16cid:durableId="2047438662">
    <w:abstractNumId w:val="12"/>
  </w:num>
  <w:num w:numId="13" w16cid:durableId="76829600">
    <w:abstractNumId w:val="21"/>
  </w:num>
  <w:num w:numId="14" w16cid:durableId="1963919741">
    <w:abstractNumId w:val="5"/>
  </w:num>
  <w:num w:numId="15" w16cid:durableId="1279139074">
    <w:abstractNumId w:val="19"/>
  </w:num>
  <w:num w:numId="16" w16cid:durableId="1052927236">
    <w:abstractNumId w:val="26"/>
  </w:num>
  <w:num w:numId="17" w16cid:durableId="1748260131">
    <w:abstractNumId w:val="11"/>
  </w:num>
  <w:num w:numId="18" w16cid:durableId="818501363">
    <w:abstractNumId w:val="2"/>
  </w:num>
  <w:num w:numId="19" w16cid:durableId="1830168401">
    <w:abstractNumId w:val="24"/>
  </w:num>
  <w:num w:numId="20" w16cid:durableId="156851608">
    <w:abstractNumId w:val="27"/>
  </w:num>
  <w:num w:numId="21" w16cid:durableId="950622957">
    <w:abstractNumId w:val="22"/>
  </w:num>
  <w:num w:numId="22" w16cid:durableId="936255654">
    <w:abstractNumId w:val="1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8"/>
  </w:num>
  <w:num w:numId="25" w16cid:durableId="420569470">
    <w:abstractNumId w:val="10"/>
  </w:num>
  <w:num w:numId="26" w16cid:durableId="1981568904">
    <w:abstractNumId w:val="14"/>
  </w:num>
  <w:num w:numId="27" w16cid:durableId="1171329933">
    <w:abstractNumId w:val="7"/>
  </w:num>
  <w:num w:numId="28" w16cid:durableId="1254437900">
    <w:abstractNumId w:val="20"/>
  </w:num>
  <w:num w:numId="29" w16cid:durableId="1973175160">
    <w:abstractNumId w:val="16"/>
  </w:num>
  <w:num w:numId="30" w16cid:durableId="658927456">
    <w:abstractNumId w:val="4"/>
  </w:num>
  <w:num w:numId="31" w16cid:durableId="655884448">
    <w:abstractNumId w:val="13"/>
  </w:num>
  <w:num w:numId="32" w16cid:durableId="185468107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35A"/>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4F23"/>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76B2F"/>
    <w:rsid w:val="00580A80"/>
    <w:rsid w:val="00581A73"/>
    <w:rsid w:val="00584308"/>
    <w:rsid w:val="00584326"/>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6B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495"/>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DAC"/>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198"/>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1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Simnikiwe.nqulo@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5399</Words>
  <Characters>31151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2020-04-19T23:06:00Z</cp:lastPrinted>
  <dcterms:created xsi:type="dcterms:W3CDTF">2023-08-03T08:47:00Z</dcterms:created>
  <dcterms:modified xsi:type="dcterms:W3CDTF">2023-08-03T08:47:00Z</dcterms:modified>
</cp:coreProperties>
</file>