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31D" w:rsidRPr="00DB6371" w:rsidRDefault="002A6163" w:rsidP="00DB637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TENDER </w:t>
      </w:r>
      <w:r w:rsidR="0078013C" w:rsidRPr="0078013C">
        <w:rPr>
          <w:rFonts w:ascii="Arial" w:hAnsi="Arial" w:cs="Arial"/>
          <w:b/>
        </w:rPr>
        <w:t>MPKRI10525GX</w:t>
      </w:r>
    </w:p>
    <w:p w:rsidR="0078013C" w:rsidRPr="0078013C" w:rsidRDefault="0078013C" w:rsidP="0078013C">
      <w:pPr>
        <w:rPr>
          <w:rFonts w:ascii="Arial" w:hAnsi="Arial" w:cs="Arial"/>
          <w:b/>
        </w:rPr>
      </w:pPr>
      <w:r w:rsidRPr="0078013C">
        <w:rPr>
          <w:rFonts w:ascii="Arial" w:hAnsi="Arial" w:cs="Arial"/>
          <w:b/>
        </w:rPr>
        <w:t>PROVISION OF SECONDARY COOLING PIPEWORK REPLACEMENT FOR</w:t>
      </w:r>
    </w:p>
    <w:p w:rsidR="0078013C" w:rsidRPr="0078013C" w:rsidRDefault="0078013C" w:rsidP="0078013C">
      <w:pPr>
        <w:rPr>
          <w:rFonts w:ascii="Arial" w:hAnsi="Arial" w:cs="Arial"/>
          <w:b/>
        </w:rPr>
      </w:pPr>
      <w:r w:rsidRPr="0078013C">
        <w:rPr>
          <w:rFonts w:ascii="Arial" w:hAnsi="Arial" w:cs="Arial"/>
          <w:b/>
        </w:rPr>
        <w:t>OUTAGES FOR UNIT 1-6 AT KRIEL POWER STATION FOR A PERIOD OF 4</w:t>
      </w:r>
    </w:p>
    <w:p w:rsidR="0078013C" w:rsidRDefault="0078013C" w:rsidP="0078013C">
      <w:pPr>
        <w:rPr>
          <w:rFonts w:ascii="Arial" w:hAnsi="Arial" w:cs="Arial"/>
          <w:b/>
        </w:rPr>
      </w:pPr>
      <w:r w:rsidRPr="0078013C">
        <w:rPr>
          <w:rFonts w:ascii="Arial" w:hAnsi="Arial" w:cs="Arial"/>
          <w:b/>
        </w:rPr>
        <w:t>YEARS.</w:t>
      </w:r>
    </w:p>
    <w:p w:rsidR="0078013C" w:rsidRDefault="0078013C" w:rsidP="0078013C">
      <w:pPr>
        <w:rPr>
          <w:rFonts w:ascii="Arial" w:hAnsi="Arial" w:cs="Arial"/>
          <w:b/>
        </w:rPr>
      </w:pPr>
    </w:p>
    <w:p w:rsidR="00F17F1F" w:rsidRPr="003B61A5" w:rsidRDefault="00A0631D" w:rsidP="0078013C">
      <w:pPr>
        <w:rPr>
          <w:rFonts w:ascii="Arial" w:hAnsi="Arial" w:cs="Arial"/>
          <w:b/>
          <w:sz w:val="28"/>
          <w:szCs w:val="28"/>
        </w:rPr>
      </w:pPr>
      <w:r w:rsidRPr="003B61A5">
        <w:rPr>
          <w:rFonts w:ascii="Arial" w:hAnsi="Arial" w:cs="Arial"/>
          <w:b/>
          <w:sz w:val="28"/>
          <w:szCs w:val="28"/>
          <w:highlight w:val="yellow"/>
        </w:rPr>
        <w:t>NOTIFICATION NR 1</w:t>
      </w:r>
      <w:r w:rsidR="00DB6371" w:rsidRPr="003B61A5">
        <w:rPr>
          <w:rFonts w:ascii="Arial" w:hAnsi="Arial" w:cs="Arial"/>
          <w:b/>
          <w:sz w:val="28"/>
          <w:szCs w:val="28"/>
        </w:rPr>
        <w:t xml:space="preserve"> </w:t>
      </w:r>
      <w:r w:rsidR="0078013C">
        <w:rPr>
          <w:rFonts w:ascii="Arial" w:hAnsi="Arial" w:cs="Arial"/>
          <w:sz w:val="24"/>
          <w:szCs w:val="24"/>
        </w:rPr>
        <w:t>(12.12.2022</w:t>
      </w:r>
      <w:r w:rsidRPr="003B61A5">
        <w:rPr>
          <w:rFonts w:ascii="Arial" w:hAnsi="Arial" w:cs="Arial"/>
          <w:sz w:val="24"/>
          <w:szCs w:val="24"/>
        </w:rPr>
        <w:t>)</w:t>
      </w:r>
    </w:p>
    <w:p w:rsidR="00A0631D" w:rsidRPr="003B61A5" w:rsidRDefault="003B61A5" w:rsidP="003B6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FF0000"/>
          <w:sz w:val="28"/>
          <w:szCs w:val="28"/>
        </w:rPr>
      </w:pPr>
      <w:r w:rsidRPr="003B61A5">
        <w:rPr>
          <w:rFonts w:ascii="Arial" w:hAnsi="Arial" w:cs="Arial"/>
          <w:b/>
          <w:color w:val="FF0000"/>
          <w:sz w:val="28"/>
          <w:szCs w:val="28"/>
        </w:rPr>
        <w:t>EXTENSION OF TENDER CLOSING DATE</w:t>
      </w:r>
    </w:p>
    <w:p w:rsidR="003B61A5" w:rsidRDefault="003B61A5" w:rsidP="00DB6371"/>
    <w:p w:rsidR="003B61A5" w:rsidRPr="003B61A5" w:rsidRDefault="003B61A5" w:rsidP="003B61A5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3B61A5">
        <w:rPr>
          <w:rFonts w:ascii="Arial" w:hAnsi="Arial" w:cs="Arial"/>
          <w:b/>
          <w:sz w:val="28"/>
          <w:szCs w:val="28"/>
        </w:rPr>
        <w:t>The or</w:t>
      </w:r>
      <w:r w:rsidR="0078013C">
        <w:rPr>
          <w:rFonts w:ascii="Arial" w:hAnsi="Arial" w:cs="Arial"/>
          <w:b/>
          <w:sz w:val="28"/>
          <w:szCs w:val="28"/>
        </w:rPr>
        <w:t>iginal tender closing date of 13 December 2022</w:t>
      </w:r>
      <w:r w:rsidRPr="003B61A5">
        <w:rPr>
          <w:rFonts w:ascii="Arial" w:hAnsi="Arial" w:cs="Arial"/>
          <w:b/>
          <w:sz w:val="28"/>
          <w:szCs w:val="28"/>
        </w:rPr>
        <w:t xml:space="preserve"> was extended to </w:t>
      </w:r>
    </w:p>
    <w:p w:rsidR="003B61A5" w:rsidRPr="003B61A5" w:rsidRDefault="0078013C" w:rsidP="003B61A5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15 February 2023</w:t>
      </w:r>
      <w:bookmarkStart w:id="0" w:name="_GoBack"/>
      <w:bookmarkEnd w:id="0"/>
      <w:r w:rsidR="003B61A5" w:rsidRPr="003B61A5">
        <w:rPr>
          <w:rFonts w:ascii="Arial" w:hAnsi="Arial" w:cs="Arial"/>
          <w:b/>
          <w:sz w:val="28"/>
          <w:szCs w:val="28"/>
        </w:rPr>
        <w:t xml:space="preserve">.  </w:t>
      </w:r>
    </w:p>
    <w:p w:rsidR="003B61A5" w:rsidRPr="003B61A5" w:rsidRDefault="003B61A5" w:rsidP="003B61A5">
      <w:pPr>
        <w:spacing w:line="360" w:lineRule="auto"/>
        <w:rPr>
          <w:rFonts w:ascii="Arial" w:hAnsi="Arial" w:cs="Arial"/>
          <w:sz w:val="28"/>
          <w:szCs w:val="28"/>
        </w:rPr>
      </w:pPr>
    </w:p>
    <w:p w:rsidR="003B61A5" w:rsidRPr="003B61A5" w:rsidRDefault="003B61A5" w:rsidP="003B61A5">
      <w:pPr>
        <w:spacing w:line="360" w:lineRule="auto"/>
        <w:rPr>
          <w:rFonts w:ascii="Arial" w:hAnsi="Arial" w:cs="Arial"/>
          <w:sz w:val="28"/>
          <w:szCs w:val="28"/>
        </w:rPr>
      </w:pPr>
      <w:r w:rsidRPr="003B61A5">
        <w:rPr>
          <w:rFonts w:ascii="Arial" w:hAnsi="Arial" w:cs="Arial"/>
          <w:sz w:val="28"/>
          <w:szCs w:val="28"/>
        </w:rPr>
        <w:t xml:space="preserve">Revision 2 of the Invitation to Tender document will be published with Notification </w:t>
      </w:r>
      <w:proofErr w:type="spellStart"/>
      <w:r w:rsidRPr="003B61A5">
        <w:rPr>
          <w:rFonts w:ascii="Arial" w:hAnsi="Arial" w:cs="Arial"/>
          <w:sz w:val="28"/>
          <w:szCs w:val="28"/>
        </w:rPr>
        <w:t>Nr</w:t>
      </w:r>
      <w:proofErr w:type="spellEnd"/>
      <w:r w:rsidRPr="003B61A5">
        <w:rPr>
          <w:rFonts w:ascii="Arial" w:hAnsi="Arial" w:cs="Arial"/>
          <w:sz w:val="28"/>
          <w:szCs w:val="28"/>
        </w:rPr>
        <w:t xml:space="preserve"> 2 reflecting the revised closing date.</w:t>
      </w:r>
    </w:p>
    <w:p w:rsidR="003B61A5" w:rsidRDefault="003B61A5" w:rsidP="003B61A5">
      <w:pPr>
        <w:spacing w:line="360" w:lineRule="auto"/>
        <w:rPr>
          <w:rFonts w:ascii="Arial" w:hAnsi="Arial" w:cs="Arial"/>
          <w:sz w:val="28"/>
          <w:szCs w:val="28"/>
        </w:rPr>
      </w:pPr>
      <w:r w:rsidRPr="003B61A5">
        <w:rPr>
          <w:rFonts w:ascii="Arial" w:hAnsi="Arial" w:cs="Arial"/>
          <w:sz w:val="28"/>
          <w:szCs w:val="28"/>
        </w:rPr>
        <w:t>Submit tenders accordingly</w:t>
      </w:r>
      <w:r>
        <w:rPr>
          <w:rFonts w:ascii="Arial" w:hAnsi="Arial" w:cs="Arial"/>
          <w:sz w:val="28"/>
          <w:szCs w:val="28"/>
        </w:rPr>
        <w:t xml:space="preserve">.  </w:t>
      </w:r>
    </w:p>
    <w:p w:rsidR="003B61A5" w:rsidRDefault="003B61A5" w:rsidP="003B61A5">
      <w:pPr>
        <w:jc w:val="center"/>
        <w:rPr>
          <w:rFonts w:ascii="Arial" w:hAnsi="Arial" w:cs="Arial"/>
          <w:sz w:val="28"/>
          <w:szCs w:val="28"/>
        </w:rPr>
      </w:pPr>
    </w:p>
    <w:p w:rsidR="003B61A5" w:rsidRDefault="003B61A5" w:rsidP="003B61A5">
      <w:pPr>
        <w:spacing w:line="360" w:lineRule="auto"/>
        <w:rPr>
          <w:rFonts w:ascii="Arial" w:hAnsi="Arial" w:cs="Arial"/>
          <w:sz w:val="28"/>
          <w:szCs w:val="28"/>
          <w:u w:val="single"/>
        </w:rPr>
      </w:pPr>
      <w:r w:rsidRPr="003B61A5">
        <w:rPr>
          <w:rFonts w:ascii="Arial" w:hAnsi="Arial" w:cs="Arial"/>
          <w:sz w:val="28"/>
          <w:szCs w:val="28"/>
        </w:rPr>
        <w:t xml:space="preserve">A reminder that the </w:t>
      </w:r>
      <w:r>
        <w:rPr>
          <w:rFonts w:ascii="Arial" w:hAnsi="Arial" w:cs="Arial"/>
          <w:sz w:val="28"/>
          <w:szCs w:val="28"/>
        </w:rPr>
        <w:t>c</w:t>
      </w:r>
      <w:r w:rsidRPr="003B61A5">
        <w:rPr>
          <w:rFonts w:ascii="Arial" w:hAnsi="Arial" w:cs="Arial"/>
          <w:sz w:val="28"/>
          <w:szCs w:val="28"/>
        </w:rPr>
        <w:t>ommunication platform is the Eskom e-tender portal</w:t>
      </w:r>
      <w:r w:rsidR="0078013C">
        <w:rPr>
          <w:rFonts w:ascii="Arial" w:hAnsi="Arial" w:cs="Arial"/>
          <w:sz w:val="28"/>
          <w:szCs w:val="28"/>
        </w:rPr>
        <w:t>,</w:t>
      </w:r>
      <w:r w:rsidRPr="003B61A5">
        <w:rPr>
          <w:rFonts w:ascii="Arial" w:hAnsi="Arial" w:cs="Arial"/>
          <w:sz w:val="28"/>
          <w:szCs w:val="28"/>
        </w:rPr>
        <w:t xml:space="preserve"> National Treasury </w:t>
      </w:r>
      <w:r w:rsidR="0078013C" w:rsidRPr="0078013C">
        <w:rPr>
          <w:rFonts w:ascii="Arial" w:hAnsi="Arial" w:cs="Arial"/>
          <w:sz w:val="28"/>
          <w:szCs w:val="28"/>
        </w:rPr>
        <w:t xml:space="preserve">and that of </w:t>
      </w:r>
      <w:r w:rsidR="0078013C">
        <w:rPr>
          <w:rFonts w:ascii="Arial" w:hAnsi="Arial" w:cs="Arial"/>
          <w:sz w:val="28"/>
          <w:szCs w:val="28"/>
        </w:rPr>
        <w:t xml:space="preserve">CIDB </w:t>
      </w:r>
      <w:r w:rsidRPr="003B61A5">
        <w:rPr>
          <w:rFonts w:ascii="Arial" w:hAnsi="Arial" w:cs="Arial"/>
          <w:sz w:val="28"/>
          <w:szCs w:val="28"/>
        </w:rPr>
        <w:t>and the responsibility of the tenderer to visit regularly for possible updates.  Any revised documents after site meeting, clarification information and minutes will be uploaded as such</w:t>
      </w:r>
      <w:r w:rsidRPr="003B61A5">
        <w:rPr>
          <w:rFonts w:ascii="Arial" w:hAnsi="Arial" w:cs="Arial"/>
          <w:sz w:val="28"/>
          <w:szCs w:val="28"/>
          <w:u w:val="single"/>
        </w:rPr>
        <w:t>.  Information as per the latest communication will apply.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8"/>
        <w:gridCol w:w="5386"/>
      </w:tblGrid>
      <w:tr w:rsidR="003B61A5" w:rsidRPr="00B27F23" w:rsidTr="000E78B7">
        <w:trPr>
          <w:jc w:val="center"/>
        </w:trPr>
        <w:tc>
          <w:tcPr>
            <w:tcW w:w="4408" w:type="dxa"/>
            <w:shd w:val="clear" w:color="auto" w:fill="auto"/>
          </w:tcPr>
          <w:p w:rsidR="003B61A5" w:rsidRPr="00B27F23" w:rsidRDefault="003B61A5" w:rsidP="000E78B7">
            <w:pPr>
              <w:spacing w:after="0" w:line="36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</w:pPr>
            <w:r w:rsidRPr="00B27F23">
              <w:rPr>
                <w:rFonts w:ascii="Arial" w:hAnsi="Arial" w:cs="Arial"/>
                <w:b/>
                <w:sz w:val="24"/>
                <w:szCs w:val="24"/>
                <w:lang w:val="en-US"/>
              </w:rPr>
              <w:t>Tender number</w:t>
            </w:r>
          </w:p>
        </w:tc>
        <w:tc>
          <w:tcPr>
            <w:tcW w:w="5386" w:type="dxa"/>
            <w:shd w:val="clear" w:color="auto" w:fill="auto"/>
          </w:tcPr>
          <w:p w:rsidR="003B61A5" w:rsidRPr="00B27F23" w:rsidRDefault="0078013C" w:rsidP="000E78B7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78013C">
              <w:rPr>
                <w:rFonts w:ascii="Arial" w:hAnsi="Arial" w:cs="Arial"/>
                <w:b/>
                <w:sz w:val="24"/>
                <w:szCs w:val="24"/>
              </w:rPr>
              <w:t>MPKRI10525GX</w:t>
            </w:r>
          </w:p>
        </w:tc>
      </w:tr>
      <w:tr w:rsidR="003B61A5" w:rsidRPr="00967D9B" w:rsidTr="000E78B7">
        <w:trPr>
          <w:jc w:val="center"/>
        </w:trPr>
        <w:tc>
          <w:tcPr>
            <w:tcW w:w="4408" w:type="dxa"/>
            <w:shd w:val="clear" w:color="auto" w:fill="auto"/>
          </w:tcPr>
          <w:p w:rsidR="003B61A5" w:rsidRPr="00B27F23" w:rsidRDefault="003B61A5" w:rsidP="000E78B7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27F23">
              <w:rPr>
                <w:rFonts w:ascii="Arial" w:hAnsi="Arial" w:cs="Arial"/>
                <w:b/>
                <w:sz w:val="24"/>
                <w:szCs w:val="24"/>
                <w:lang w:val="en-US"/>
              </w:rPr>
              <w:t>Issue date</w:t>
            </w:r>
          </w:p>
        </w:tc>
        <w:tc>
          <w:tcPr>
            <w:tcW w:w="5386" w:type="dxa"/>
            <w:shd w:val="clear" w:color="auto" w:fill="auto"/>
          </w:tcPr>
          <w:p w:rsidR="003B61A5" w:rsidRPr="00967D9B" w:rsidRDefault="0078013C" w:rsidP="000E78B7">
            <w:pPr>
              <w:tabs>
                <w:tab w:val="left" w:pos="3345"/>
              </w:tabs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78013C">
              <w:rPr>
                <w:rFonts w:ascii="Arial" w:hAnsi="Arial" w:cs="Arial"/>
                <w:b/>
                <w:sz w:val="24"/>
                <w:szCs w:val="24"/>
                <w:lang w:val="en-US"/>
              </w:rPr>
              <w:t>16 November 2022</w:t>
            </w:r>
          </w:p>
        </w:tc>
      </w:tr>
      <w:tr w:rsidR="003B61A5" w:rsidRPr="00E16BE4" w:rsidTr="000E78B7">
        <w:trPr>
          <w:jc w:val="center"/>
        </w:trPr>
        <w:tc>
          <w:tcPr>
            <w:tcW w:w="4408" w:type="dxa"/>
            <w:shd w:val="clear" w:color="auto" w:fill="auto"/>
          </w:tcPr>
          <w:p w:rsidR="003B61A5" w:rsidRPr="00E16BE4" w:rsidRDefault="003B61A5" w:rsidP="000E78B7">
            <w:pPr>
              <w:spacing w:after="0" w:line="360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E16BE4"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Closing date and time</w:t>
            </w:r>
          </w:p>
        </w:tc>
        <w:tc>
          <w:tcPr>
            <w:tcW w:w="5386" w:type="dxa"/>
            <w:shd w:val="clear" w:color="auto" w:fill="auto"/>
          </w:tcPr>
          <w:p w:rsidR="003B61A5" w:rsidRPr="00E16BE4" w:rsidRDefault="000E78B7" w:rsidP="000E78B7">
            <w:pPr>
              <w:spacing w:after="0" w:line="240" w:lineRule="auto"/>
              <w:jc w:val="both"/>
              <w:rPr>
                <w:rFonts w:ascii="Arial" w:hAnsi="Arial" w:cs="Arial"/>
                <w:b/>
                <w:strike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trike/>
                <w:sz w:val="24"/>
                <w:szCs w:val="24"/>
                <w:lang w:val="en-US"/>
              </w:rPr>
              <w:t>13 December 2022</w:t>
            </w:r>
            <w:r w:rsidR="003B61A5" w:rsidRPr="00E16BE4">
              <w:rPr>
                <w:rFonts w:ascii="Arial" w:hAnsi="Arial" w:cs="Arial"/>
                <w:b/>
                <w:strike/>
                <w:sz w:val="24"/>
                <w:szCs w:val="24"/>
                <w:lang w:val="en-US"/>
              </w:rPr>
              <w:t xml:space="preserve"> at 10h00</w:t>
            </w:r>
          </w:p>
          <w:p w:rsidR="003B61A5" w:rsidRPr="00E16BE4" w:rsidRDefault="0078013C" w:rsidP="000E78B7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  <w:t>15 February 2023 at 10h00</w:t>
            </w:r>
          </w:p>
        </w:tc>
      </w:tr>
      <w:tr w:rsidR="003B61A5" w:rsidRPr="00B27F23" w:rsidTr="000E78B7">
        <w:trPr>
          <w:jc w:val="center"/>
        </w:trPr>
        <w:tc>
          <w:tcPr>
            <w:tcW w:w="4408" w:type="dxa"/>
            <w:shd w:val="clear" w:color="auto" w:fill="auto"/>
          </w:tcPr>
          <w:p w:rsidR="003B61A5" w:rsidRPr="00B27F23" w:rsidRDefault="003B61A5" w:rsidP="000E78B7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27F23">
              <w:rPr>
                <w:rFonts w:ascii="Arial" w:hAnsi="Arial" w:cs="Arial"/>
                <w:b/>
                <w:sz w:val="24"/>
                <w:szCs w:val="24"/>
                <w:lang w:val="en-US"/>
              </w:rPr>
              <w:t>Tender validity period</w:t>
            </w:r>
          </w:p>
        </w:tc>
        <w:tc>
          <w:tcPr>
            <w:tcW w:w="5386" w:type="dxa"/>
            <w:shd w:val="clear" w:color="auto" w:fill="auto"/>
          </w:tcPr>
          <w:p w:rsidR="003B61A5" w:rsidRPr="00B27F23" w:rsidRDefault="000E78B7" w:rsidP="000E78B7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120</w:t>
            </w:r>
            <w:r w:rsidR="003B61A5" w:rsidRPr="00B27F23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days from the closing date and time</w:t>
            </w:r>
          </w:p>
        </w:tc>
      </w:tr>
      <w:tr w:rsidR="003B61A5" w:rsidRPr="00B27F23" w:rsidTr="000E78B7">
        <w:trPr>
          <w:jc w:val="center"/>
        </w:trPr>
        <w:tc>
          <w:tcPr>
            <w:tcW w:w="4408" w:type="dxa"/>
            <w:shd w:val="clear" w:color="auto" w:fill="auto"/>
          </w:tcPr>
          <w:p w:rsidR="003B61A5" w:rsidRPr="00B27F23" w:rsidRDefault="003B61A5" w:rsidP="000E78B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27F23">
              <w:rPr>
                <w:rFonts w:ascii="Arial" w:hAnsi="Arial" w:cs="Arial"/>
                <w:b/>
                <w:sz w:val="24"/>
                <w:szCs w:val="24"/>
                <w:lang w:val="en-US"/>
              </w:rPr>
              <w:t>Tenders are to be delivered to the following address on the stipulated closing date and time:</w:t>
            </w:r>
          </w:p>
          <w:p w:rsidR="003B61A5" w:rsidRPr="00B27F23" w:rsidRDefault="003B61A5" w:rsidP="000E78B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3B61A5" w:rsidRPr="00D0646B" w:rsidRDefault="003B61A5" w:rsidP="000E78B7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D0646B">
              <w:rPr>
                <w:rFonts w:ascii="Arial" w:hAnsi="Arial" w:cs="Arial"/>
                <w:b/>
                <w:lang w:val="en-US"/>
              </w:rPr>
              <w:t xml:space="preserve">ESKOM TENDER BOX, GROUND FLOOR, </w:t>
            </w:r>
          </w:p>
          <w:p w:rsidR="003B61A5" w:rsidRPr="00D0646B" w:rsidRDefault="003B61A5" w:rsidP="000E78B7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D0646B">
              <w:rPr>
                <w:rFonts w:ascii="Arial" w:hAnsi="Arial" w:cs="Arial"/>
                <w:b/>
                <w:lang w:val="en-US"/>
              </w:rPr>
              <w:t>NO. 10 SMUTS AVENUE, WITBANK / EMALAHLENI</w:t>
            </w:r>
            <w:r>
              <w:rPr>
                <w:rFonts w:ascii="Arial" w:hAnsi="Arial" w:cs="Arial"/>
                <w:b/>
                <w:lang w:val="en-US"/>
              </w:rPr>
              <w:t xml:space="preserve">, </w:t>
            </w:r>
            <w:r w:rsidRPr="00D0646B">
              <w:rPr>
                <w:rFonts w:ascii="Arial" w:hAnsi="Arial" w:cs="Arial"/>
                <w:b/>
                <w:lang w:val="en-US"/>
              </w:rPr>
              <w:t>MPUMALANGA</w:t>
            </w:r>
          </w:p>
          <w:p w:rsidR="003B61A5" w:rsidRPr="00D0646B" w:rsidRDefault="003B61A5" w:rsidP="000E78B7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D0646B">
              <w:rPr>
                <w:rFonts w:ascii="Arial" w:hAnsi="Arial" w:cs="Arial"/>
                <w:b/>
                <w:lang w:val="en-US"/>
              </w:rPr>
              <w:t>GPS Co-ordinates:</w:t>
            </w:r>
          </w:p>
          <w:p w:rsidR="003B61A5" w:rsidRPr="00B27F23" w:rsidRDefault="003B61A5" w:rsidP="000E78B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0646B">
              <w:rPr>
                <w:rFonts w:ascii="Arial" w:hAnsi="Arial" w:cs="Arial"/>
                <w:b/>
                <w:lang w:val="en-US"/>
              </w:rPr>
              <w:t>Latitude: 25.87723S</w:t>
            </w:r>
            <w:r>
              <w:rPr>
                <w:rFonts w:ascii="Arial" w:hAnsi="Arial" w:cs="Arial"/>
                <w:b/>
                <w:lang w:val="en-US"/>
              </w:rPr>
              <w:t xml:space="preserve">    </w:t>
            </w:r>
            <w:r w:rsidRPr="00D0646B">
              <w:rPr>
                <w:rFonts w:ascii="Arial" w:hAnsi="Arial" w:cs="Arial"/>
                <w:b/>
                <w:lang w:val="en-US"/>
              </w:rPr>
              <w:t>Longitude: 29.21629E</w:t>
            </w:r>
          </w:p>
        </w:tc>
      </w:tr>
    </w:tbl>
    <w:p w:rsidR="003B61A5" w:rsidRPr="003B61A5" w:rsidRDefault="003B61A5" w:rsidP="003B61A5">
      <w:pPr>
        <w:spacing w:line="360" w:lineRule="auto"/>
        <w:rPr>
          <w:sz w:val="28"/>
          <w:szCs w:val="28"/>
          <w:u w:val="single"/>
        </w:rPr>
      </w:pPr>
    </w:p>
    <w:sectPr w:rsidR="003B61A5" w:rsidRPr="003B61A5" w:rsidSect="00187D56">
      <w:headerReference w:type="default" r:id="rId6"/>
      <w:pgSz w:w="11906" w:h="16838"/>
      <w:pgMar w:top="1440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28C" w:rsidRDefault="0021328C" w:rsidP="00F17F1F">
      <w:pPr>
        <w:spacing w:after="0" w:line="240" w:lineRule="auto"/>
      </w:pPr>
      <w:r>
        <w:separator/>
      </w:r>
    </w:p>
  </w:endnote>
  <w:endnote w:type="continuationSeparator" w:id="0">
    <w:p w:rsidR="0021328C" w:rsidRDefault="0021328C" w:rsidP="00F17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28C" w:rsidRDefault="0021328C" w:rsidP="00F17F1F">
      <w:pPr>
        <w:spacing w:after="0" w:line="240" w:lineRule="auto"/>
      </w:pPr>
      <w:r>
        <w:separator/>
      </w:r>
    </w:p>
  </w:footnote>
  <w:footnote w:type="continuationSeparator" w:id="0">
    <w:p w:rsidR="0021328C" w:rsidRDefault="0021328C" w:rsidP="00F17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8B7" w:rsidRDefault="0078013C">
    <w:pPr>
      <w:pStyle w:val="Header"/>
      <w:pBdr>
        <w:bottom w:val="single" w:sz="12" w:space="1" w:color="auto"/>
      </w:pBdr>
      <w:rPr>
        <w:lang w:val="en-US"/>
      </w:rPr>
    </w:pPr>
    <w:r w:rsidRPr="0078013C">
      <w:rPr>
        <w:lang w:val="en-US"/>
      </w:rPr>
      <w:t>MPKRI10525GX</w:t>
    </w:r>
    <w:r w:rsidR="000E78B7">
      <w:rPr>
        <w:lang w:val="en-US"/>
      </w:rPr>
      <w:tab/>
    </w:r>
    <w:r w:rsidR="000E78B7">
      <w:rPr>
        <w:lang w:val="en-US"/>
      </w:rPr>
      <w:tab/>
      <w:t xml:space="preserve">Notification </w:t>
    </w:r>
    <w:proofErr w:type="spellStart"/>
    <w:r w:rsidR="000E78B7">
      <w:rPr>
        <w:lang w:val="en-US"/>
      </w:rPr>
      <w:t>Nr</w:t>
    </w:r>
    <w:proofErr w:type="spellEnd"/>
    <w:r w:rsidR="000E78B7">
      <w:rPr>
        <w:lang w:val="en-US"/>
      </w:rPr>
      <w:t xml:space="preserve"> 1</w:t>
    </w:r>
  </w:p>
  <w:p w:rsidR="000E78B7" w:rsidRPr="00F17F1F" w:rsidRDefault="000E78B7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33B"/>
    <w:rsid w:val="00002035"/>
    <w:rsid w:val="00004AAF"/>
    <w:rsid w:val="000E78B7"/>
    <w:rsid w:val="0017072C"/>
    <w:rsid w:val="00187D56"/>
    <w:rsid w:val="001D030C"/>
    <w:rsid w:val="00212116"/>
    <w:rsid w:val="002127DE"/>
    <w:rsid w:val="0021328C"/>
    <w:rsid w:val="002A6163"/>
    <w:rsid w:val="003A0AAB"/>
    <w:rsid w:val="003B61A5"/>
    <w:rsid w:val="00497A42"/>
    <w:rsid w:val="004C52F9"/>
    <w:rsid w:val="005F3595"/>
    <w:rsid w:val="006D315D"/>
    <w:rsid w:val="0078013C"/>
    <w:rsid w:val="007A11CE"/>
    <w:rsid w:val="00980E85"/>
    <w:rsid w:val="009A733B"/>
    <w:rsid w:val="009B0744"/>
    <w:rsid w:val="009B1350"/>
    <w:rsid w:val="009C3561"/>
    <w:rsid w:val="00A0631D"/>
    <w:rsid w:val="00B00CCF"/>
    <w:rsid w:val="00D94E24"/>
    <w:rsid w:val="00DB6371"/>
    <w:rsid w:val="00ED279C"/>
    <w:rsid w:val="00F17F1F"/>
    <w:rsid w:val="00F5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FF14D"/>
  <w15:docId w15:val="{BDEB73BF-8257-4CA8-884E-EF31BDCC1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63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7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7F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F1F"/>
  </w:style>
  <w:style w:type="paragraph" w:styleId="Footer">
    <w:name w:val="footer"/>
    <w:basedOn w:val="Normal"/>
    <w:link w:val="FooterChar"/>
    <w:uiPriority w:val="99"/>
    <w:unhideWhenUsed/>
    <w:rsid w:val="00F17F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F1F"/>
  </w:style>
  <w:style w:type="character" w:customStyle="1" w:styleId="Heading2Char">
    <w:name w:val="Heading 2 Char"/>
    <w:basedOn w:val="DefaultParagraphFont"/>
    <w:link w:val="Heading2"/>
    <w:uiPriority w:val="9"/>
    <w:rsid w:val="00A0631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Solly Masogo</dc:creator>
  <cp:lastModifiedBy>Dieketseng Molise</cp:lastModifiedBy>
  <cp:revision>2</cp:revision>
  <cp:lastPrinted>2021-03-31T11:48:00Z</cp:lastPrinted>
  <dcterms:created xsi:type="dcterms:W3CDTF">2022-12-12T12:55:00Z</dcterms:created>
  <dcterms:modified xsi:type="dcterms:W3CDTF">2022-12-12T12:55:00Z</dcterms:modified>
</cp:coreProperties>
</file>