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A45CFB" w:rsidRPr="00A919B1" w14:paraId="50BFEE67" w14:textId="77777777" w:rsidTr="00EC662F">
        <w:tc>
          <w:tcPr>
            <w:tcW w:w="3227" w:type="dxa"/>
          </w:tcPr>
          <w:p w14:paraId="73B4B333" w14:textId="77777777" w:rsidR="00A45CFB" w:rsidRPr="00EB6A30" w:rsidRDefault="00A45CFB" w:rsidP="00A45CFB">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6DFC3001" w14:textId="77777777" w:rsidR="00A45CFB" w:rsidRPr="009D4D47" w:rsidRDefault="00A45CFB" w:rsidP="00A45CFB">
            <w:pPr>
              <w:spacing w:line="360" w:lineRule="auto"/>
              <w:jc w:val="both"/>
              <w:rPr>
                <w:rFonts w:ascii="Arial" w:hAnsi="Arial" w:cs="Arial"/>
                <w:sz w:val="20"/>
              </w:rPr>
            </w:pPr>
            <w:r w:rsidRPr="009D4D47">
              <w:rPr>
                <w:rFonts w:ascii="Arial" w:hAnsi="Arial" w:cs="Arial"/>
                <w:sz w:val="20"/>
              </w:rPr>
              <w:t>Hardware Asset Tracking and Recovery Tool including Licenses,</w:t>
            </w:r>
          </w:p>
          <w:p w14:paraId="764BB086" w14:textId="7ECA7C1D" w:rsidR="00A45CFB" w:rsidRPr="00336747" w:rsidRDefault="00A45CFB" w:rsidP="00A45CFB">
            <w:pPr>
              <w:spacing w:line="360" w:lineRule="auto"/>
              <w:jc w:val="both"/>
              <w:rPr>
                <w:rFonts w:ascii="Arial" w:hAnsi="Arial" w:cs="Arial"/>
                <w:sz w:val="20"/>
                <w:lang w:val="en-ZA"/>
              </w:rPr>
            </w:pPr>
            <w:r w:rsidRPr="009D4D47">
              <w:rPr>
                <w:rFonts w:ascii="Arial" w:hAnsi="Arial" w:cs="Arial"/>
                <w:sz w:val="20"/>
              </w:rPr>
              <w:t>Support and Maintenance</w:t>
            </w:r>
          </w:p>
        </w:tc>
      </w:tr>
      <w:tr w:rsidR="00A45CFB" w:rsidRPr="00A919B1" w14:paraId="1CDC513A" w14:textId="77777777" w:rsidTr="00EC662F">
        <w:tc>
          <w:tcPr>
            <w:tcW w:w="3227" w:type="dxa"/>
          </w:tcPr>
          <w:p w14:paraId="6E29CAA5" w14:textId="77777777" w:rsidR="00A45CFB" w:rsidRPr="00EB6A30" w:rsidRDefault="00A45CFB" w:rsidP="00A45CFB">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3A421F8F" w:rsidR="00A45CFB" w:rsidRPr="00F0521B" w:rsidRDefault="00A45CFB" w:rsidP="00A45CFB">
            <w:pPr>
              <w:spacing w:before="60" w:after="60" w:line="276" w:lineRule="auto"/>
              <w:jc w:val="both"/>
              <w:rPr>
                <w:rFonts w:ascii="Arial" w:hAnsi="Arial" w:cs="Arial"/>
                <w:sz w:val="20"/>
              </w:rPr>
            </w:pPr>
            <w:r>
              <w:rPr>
                <w:rFonts w:ascii="Arial" w:hAnsi="Arial" w:cs="Arial"/>
                <w:sz w:val="20"/>
              </w:rPr>
              <w:t>5 years and 6 months</w:t>
            </w:r>
          </w:p>
        </w:tc>
      </w:tr>
    </w:tbl>
    <w:p w14:paraId="7E0C69C0" w14:textId="1D221DFE" w:rsidR="00EB6A30" w:rsidRPr="005B5A73" w:rsidRDefault="00EB6A30" w:rsidP="00EB6A30">
      <w:pPr>
        <w:spacing w:line="276" w:lineRule="auto"/>
        <w:rPr>
          <w:rFonts w:ascii="Arial" w:hAnsi="Arial" w:cs="Arial"/>
          <w:sz w:val="16"/>
          <w:szCs w:val="16"/>
        </w:rPr>
      </w:pPr>
    </w:p>
    <w:p w14:paraId="38312E40" w14:textId="4ADA0724"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950D455" w14:textId="77777777" w:rsidR="00111B2E" w:rsidRPr="00111B2E" w:rsidRDefault="00111B2E" w:rsidP="006F7826">
      <w:pPr>
        <w:spacing w:before="60" w:after="60"/>
        <w:rPr>
          <w:rFonts w:ascii="Arial" w:hAnsi="Arial" w:cs="Arial"/>
          <w:bCs/>
          <w:sz w:val="16"/>
          <w:szCs w:val="16"/>
        </w:rPr>
      </w:pPr>
    </w:p>
    <w:p w14:paraId="6B918D2C" w14:textId="6324BFDF" w:rsidR="006F7826" w:rsidRDefault="006F7826" w:rsidP="00E85F12">
      <w:pPr>
        <w:spacing w:after="200" w:line="360"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r w:rsidR="001E3CF5">
        <w:rPr>
          <w:rFonts w:ascii="Arial" w:hAnsi="Arial" w:cs="Arial"/>
          <w:bCs/>
          <w:sz w:val="20"/>
          <w:lang w:val="en-ZA"/>
        </w:rPr>
        <w:t xml:space="preserve"> </w:t>
      </w:r>
      <w:r w:rsidRPr="00C91C74">
        <w:rPr>
          <w:rFonts w:ascii="Arial" w:hAnsi="Arial" w:cs="Arial"/>
          <w:bCs/>
          <w:sz w:val="20"/>
          <w:lang w:val="en-ZA"/>
        </w:rPr>
        <w:t>tender. The points scored for the specific goal must be added to the points scored for price and the</w:t>
      </w:r>
      <w:r w:rsidR="001E3CF5">
        <w:rPr>
          <w:rFonts w:ascii="Arial" w:hAnsi="Arial" w:cs="Arial"/>
          <w:bCs/>
          <w:sz w:val="20"/>
          <w:lang w:val="en-ZA"/>
        </w:rPr>
        <w:t xml:space="preserve"> </w:t>
      </w:r>
      <w:r w:rsidRPr="00C91C74">
        <w:rPr>
          <w:rFonts w:ascii="Arial" w:hAnsi="Arial" w:cs="Arial"/>
          <w:bCs/>
          <w:sz w:val="20"/>
          <w:lang w:val="en-ZA"/>
        </w:rPr>
        <w:t>total must be rounded off to the nearest two decimal places. Subject to section 2(1)(f) of the</w:t>
      </w:r>
      <w:r w:rsidR="001E3CF5">
        <w:rPr>
          <w:rFonts w:ascii="Arial" w:hAnsi="Arial" w:cs="Arial"/>
          <w:bCs/>
          <w:sz w:val="20"/>
          <w:lang w:val="en-ZA"/>
        </w:rPr>
        <w:t xml:space="preserve"> </w:t>
      </w:r>
      <w:r w:rsidRPr="00C91C74">
        <w:rPr>
          <w:rFonts w:ascii="Arial" w:hAnsi="Arial" w:cs="Arial"/>
          <w:bCs/>
          <w:sz w:val="20"/>
          <w:lang w:val="en-ZA"/>
        </w:rPr>
        <w:t>Preferential Procurement Policy Framework Act, the contract must be awarded to the tenderer</w:t>
      </w:r>
      <w:r w:rsidR="001E3CF5">
        <w:rPr>
          <w:rFonts w:ascii="Arial" w:hAnsi="Arial" w:cs="Arial"/>
          <w:bCs/>
          <w:sz w:val="20"/>
          <w:lang w:val="en-ZA"/>
        </w:rPr>
        <w:t xml:space="preserve"> </w:t>
      </w: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37B4AF07" w14:textId="77777777" w:rsidTr="00946ACB">
        <w:trPr>
          <w:trHeight w:val="863"/>
        </w:trPr>
        <w:tc>
          <w:tcPr>
            <w:tcW w:w="3391" w:type="dxa"/>
            <w:shd w:val="clear" w:color="auto" w:fill="C00000"/>
            <w:vAlign w:val="center"/>
          </w:tcPr>
          <w:p w14:paraId="7445F116"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48FEDFC"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0A99F8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65A0D15"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18ED302D" w14:textId="77777777" w:rsidTr="00946ACB">
        <w:trPr>
          <w:trHeight w:val="317"/>
        </w:trPr>
        <w:tc>
          <w:tcPr>
            <w:tcW w:w="3391" w:type="dxa"/>
            <w:shd w:val="clear" w:color="auto" w:fill="auto"/>
          </w:tcPr>
          <w:p w14:paraId="29AB759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31C9DCD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282B1C6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1E56ED5E" w14:textId="77777777" w:rsidTr="00946ACB">
        <w:trPr>
          <w:trHeight w:val="317"/>
        </w:trPr>
        <w:tc>
          <w:tcPr>
            <w:tcW w:w="3391" w:type="dxa"/>
            <w:shd w:val="clear" w:color="auto" w:fill="auto"/>
          </w:tcPr>
          <w:p w14:paraId="5E5DEDE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47BF88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2F93AF1"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79AF9155" w14:textId="77777777" w:rsidTr="00946ACB">
        <w:trPr>
          <w:trHeight w:val="317"/>
        </w:trPr>
        <w:tc>
          <w:tcPr>
            <w:tcW w:w="3391" w:type="dxa"/>
            <w:shd w:val="clear" w:color="auto" w:fill="auto"/>
          </w:tcPr>
          <w:p w14:paraId="07DD035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4D70D4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255EB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AC053ED" w14:textId="77777777" w:rsidTr="00946ACB">
        <w:trPr>
          <w:trHeight w:val="317"/>
        </w:trPr>
        <w:tc>
          <w:tcPr>
            <w:tcW w:w="3391" w:type="dxa"/>
            <w:shd w:val="clear" w:color="auto" w:fill="auto"/>
          </w:tcPr>
          <w:p w14:paraId="5F67579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A97793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40132D5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128B63FF" w14:textId="77777777" w:rsidTr="00946ACB">
        <w:trPr>
          <w:trHeight w:val="317"/>
        </w:trPr>
        <w:tc>
          <w:tcPr>
            <w:tcW w:w="3391" w:type="dxa"/>
            <w:shd w:val="clear" w:color="auto" w:fill="auto"/>
          </w:tcPr>
          <w:p w14:paraId="7F6090B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69C088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B010E3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4EE474ED" w14:textId="77777777" w:rsidTr="00946ACB">
        <w:trPr>
          <w:trHeight w:val="317"/>
        </w:trPr>
        <w:tc>
          <w:tcPr>
            <w:tcW w:w="3391" w:type="dxa"/>
            <w:shd w:val="clear" w:color="auto" w:fill="auto"/>
          </w:tcPr>
          <w:p w14:paraId="0887E57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7A9F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B4DB34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309AC553" w14:textId="77777777" w:rsidTr="00946ACB">
        <w:trPr>
          <w:trHeight w:val="317"/>
        </w:trPr>
        <w:tc>
          <w:tcPr>
            <w:tcW w:w="3391" w:type="dxa"/>
            <w:shd w:val="clear" w:color="auto" w:fill="auto"/>
          </w:tcPr>
          <w:p w14:paraId="2D668DC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5259D16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5AC41D0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11E9FF1" w14:textId="77777777" w:rsidTr="00946ACB">
        <w:trPr>
          <w:trHeight w:val="317"/>
        </w:trPr>
        <w:tc>
          <w:tcPr>
            <w:tcW w:w="3391" w:type="dxa"/>
            <w:shd w:val="clear" w:color="auto" w:fill="auto"/>
          </w:tcPr>
          <w:p w14:paraId="3C90DFF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CEBCB6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1CE7511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7AB7850E" w14:textId="77777777" w:rsidTr="00946ACB">
        <w:trPr>
          <w:trHeight w:val="317"/>
        </w:trPr>
        <w:tc>
          <w:tcPr>
            <w:tcW w:w="3391" w:type="dxa"/>
            <w:shd w:val="clear" w:color="auto" w:fill="auto"/>
          </w:tcPr>
          <w:p w14:paraId="3EEAD06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514A7A0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139351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0652C25"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 xml:space="preserve">Valid B-BBEE certificate issued by a SANAS accredited verification agency / </w:t>
      </w:r>
      <w:proofErr w:type="gramStart"/>
      <w:r w:rsidRPr="007133D2">
        <w:rPr>
          <w:rFonts w:ascii="Arial" w:hAnsi="Arial" w:cs="Arial"/>
          <w:bCs/>
          <w:sz w:val="20"/>
          <w:lang w:val="en-ZA"/>
        </w:rPr>
        <w:t>sworn affidavit</w:t>
      </w:r>
      <w:proofErr w:type="gramEnd"/>
      <w:r w:rsidRPr="007133D2">
        <w:rPr>
          <w:rFonts w:ascii="Arial" w:hAnsi="Arial" w:cs="Arial"/>
          <w:bCs/>
          <w:sz w:val="20"/>
          <w:lang w:val="en-ZA"/>
        </w:rPr>
        <w:t xml:space="preserve"> / CIPS affidavit</w:t>
      </w:r>
    </w:p>
    <w:p w14:paraId="61780B50"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032744C1"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61CC0029" w14:textId="77777777" w:rsidR="007644B6" w:rsidRDefault="007644B6" w:rsidP="00EB6A30">
      <w:pPr>
        <w:spacing w:line="276" w:lineRule="auto"/>
        <w:rPr>
          <w:rFonts w:ascii="Arial" w:hAnsi="Arial" w:cs="Arial"/>
        </w:rPr>
      </w:pPr>
    </w:p>
    <w:p w14:paraId="29E0DC29" w14:textId="77C8815B" w:rsidR="00546E27" w:rsidRDefault="00546E27" w:rsidP="00546E27">
      <w:pPr>
        <w:autoSpaceDE w:val="0"/>
        <w:autoSpaceDN w:val="0"/>
        <w:adjustRightInd w:val="0"/>
        <w:rPr>
          <w:rFonts w:ascii="Arial" w:hAnsi="Arial" w:cs="Arial"/>
          <w:b/>
        </w:rPr>
      </w:pPr>
      <w:bookmarkStart w:id="0" w:name="_Hlk124873248"/>
      <w:r>
        <w:rPr>
          <w:rFonts w:ascii="Arial" w:hAnsi="Arial" w:cs="Arial"/>
          <w:b/>
        </w:rPr>
        <w:t>S</w:t>
      </w:r>
      <w:r w:rsidRPr="00EB6A30">
        <w:rPr>
          <w:rFonts w:ascii="Arial" w:hAnsi="Arial" w:cs="Arial"/>
          <w:b/>
          <w:sz w:val="22"/>
        </w:rPr>
        <w:t xml:space="preserve">ection </w:t>
      </w:r>
      <w:r w:rsidR="006F7826">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0709BFD2" w14:textId="72DAB141" w:rsidR="006F7826" w:rsidRPr="005B5A73" w:rsidRDefault="006F7826" w:rsidP="00546E27">
      <w:pPr>
        <w:autoSpaceDE w:val="0"/>
        <w:autoSpaceDN w:val="0"/>
        <w:adjustRightInd w:val="0"/>
        <w:rPr>
          <w:rFonts w:ascii="Arial" w:hAnsi="Arial" w:cs="Arial"/>
          <w:bCs/>
          <w:sz w:val="16"/>
          <w:szCs w:val="16"/>
        </w:rPr>
      </w:pPr>
    </w:p>
    <w:p w14:paraId="010D4610" w14:textId="77777777" w:rsidR="006F7826" w:rsidRPr="000C379B" w:rsidRDefault="006F7826" w:rsidP="006F7826">
      <w:pPr>
        <w:spacing w:before="60" w:after="60"/>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4ACEF802" w14:textId="75458569" w:rsidR="006F7826" w:rsidRDefault="006F7826" w:rsidP="006F7826">
      <w:pPr>
        <w:autoSpaceDE w:val="0"/>
        <w:autoSpaceDN w:val="0"/>
        <w:adjustRightInd w:val="0"/>
        <w:rPr>
          <w:rFonts w:ascii="Arial" w:hAnsi="Arial" w:cs="Arial"/>
          <w:bCs/>
          <w:sz w:val="20"/>
          <w:lang w:val="en-ZA"/>
        </w:rPr>
      </w:pPr>
      <w:r w:rsidRPr="000C379B">
        <w:rPr>
          <w:rFonts w:ascii="Arial" w:hAnsi="Arial" w:cs="Arial"/>
          <w:bCs/>
          <w:sz w:val="20"/>
          <w:lang w:val="en-ZA"/>
        </w:rPr>
        <w:t>award.</w:t>
      </w:r>
    </w:p>
    <w:p w14:paraId="12655D4F" w14:textId="77777777" w:rsidR="00A45CFB" w:rsidRDefault="00A45CFB" w:rsidP="006F7826">
      <w:pPr>
        <w:autoSpaceDE w:val="0"/>
        <w:autoSpaceDN w:val="0"/>
        <w:adjustRightInd w:val="0"/>
        <w:rPr>
          <w:rFonts w:ascii="Arial" w:hAnsi="Arial" w:cs="Arial"/>
          <w:bCs/>
          <w:sz w:val="20"/>
          <w:lang w:val="en-ZA"/>
        </w:rPr>
      </w:pPr>
    </w:p>
    <w:p w14:paraId="4353C487" w14:textId="77777777" w:rsidR="00A45CFB" w:rsidRDefault="00A45CFB" w:rsidP="006F7826">
      <w:pPr>
        <w:autoSpaceDE w:val="0"/>
        <w:autoSpaceDN w:val="0"/>
        <w:adjustRightInd w:val="0"/>
        <w:rPr>
          <w:rFonts w:ascii="Arial" w:hAnsi="Arial" w:cs="Arial"/>
          <w:b/>
        </w:rPr>
      </w:pPr>
    </w:p>
    <w:p w14:paraId="326AE27E" w14:textId="285DE296" w:rsidR="00546E27" w:rsidRDefault="00546E27" w:rsidP="00546E27">
      <w:pPr>
        <w:autoSpaceDE w:val="0"/>
        <w:autoSpaceDN w:val="0"/>
        <w:adjustRightInd w:val="0"/>
        <w:rPr>
          <w:rFonts w:ascii="Arial" w:hAnsi="Arial" w:cs="Arial"/>
          <w:bCs/>
          <w:sz w:val="16"/>
          <w:szCs w:val="16"/>
        </w:rPr>
      </w:pPr>
    </w:p>
    <w:p w14:paraId="4B17618D" w14:textId="28050F39" w:rsidR="00A45CFB" w:rsidRDefault="00A45CFB" w:rsidP="00A45CFB">
      <w:pPr>
        <w:spacing w:after="200" w:line="360" w:lineRule="auto"/>
        <w:jc w:val="both"/>
        <w:rPr>
          <w:rFonts w:ascii="Arial" w:hAnsi="Arial" w:cs="Arial"/>
          <w:b/>
          <w:sz w:val="20"/>
          <w:u w:val="single"/>
        </w:rPr>
      </w:pPr>
      <w:r w:rsidRPr="003953B4">
        <w:rPr>
          <w:rFonts w:ascii="Arial" w:hAnsi="Arial" w:cs="Arial"/>
          <w:b/>
          <w:sz w:val="20"/>
          <w:u w:val="single"/>
        </w:rPr>
        <w:lastRenderedPageBreak/>
        <w:t>Mandatory Subcontracting as condition of award</w:t>
      </w:r>
      <w:r>
        <w:rPr>
          <w:rFonts w:ascii="Arial" w:hAnsi="Arial" w:cs="Arial"/>
          <w:b/>
          <w:sz w:val="20"/>
          <w:u w:val="single"/>
        </w:rPr>
        <w:t xml:space="preserve"> – APPLICABLE</w:t>
      </w:r>
    </w:p>
    <w:p w14:paraId="5B064BEB" w14:textId="77777777" w:rsidR="00A45CFB" w:rsidRPr="00522B04" w:rsidRDefault="00A45CFB" w:rsidP="00A45CFB">
      <w:pPr>
        <w:spacing w:before="60" w:after="60" w:line="360" w:lineRule="auto"/>
        <w:jc w:val="both"/>
        <w:rPr>
          <w:rFonts w:ascii="Arial" w:eastAsiaTheme="minorHAnsi" w:hAnsi="Arial" w:cs="Arial"/>
          <w:sz w:val="20"/>
          <w:lang w:val="en-ZA"/>
        </w:rPr>
      </w:pPr>
      <w:r>
        <w:rPr>
          <w:rFonts w:ascii="Arial" w:eastAsiaTheme="minorHAnsi" w:hAnsi="Arial" w:cs="Arial"/>
          <w:sz w:val="20"/>
          <w:lang w:val="en-ZA"/>
        </w:rPr>
        <w:t>Where feasible, s</w:t>
      </w:r>
      <w:r w:rsidRPr="00522B04">
        <w:rPr>
          <w:rFonts w:ascii="Arial" w:eastAsiaTheme="minorHAnsi" w:hAnsi="Arial" w:cs="Arial"/>
          <w:sz w:val="20"/>
          <w:lang w:val="en-ZA"/>
        </w:rPr>
        <w:t>ubcontracting is mandatory on contracts above R30 million and is a condition for contract award.</w:t>
      </w:r>
    </w:p>
    <w:p w14:paraId="1B9B4D37" w14:textId="77777777" w:rsidR="00A45CFB" w:rsidRPr="00F45F33" w:rsidRDefault="00A45CFB" w:rsidP="00A45CFB">
      <w:pPr>
        <w:spacing w:line="360" w:lineRule="auto"/>
        <w:contextualSpacing/>
        <w:jc w:val="both"/>
        <w:rPr>
          <w:rFonts w:ascii="Arial" w:hAnsi="Arial" w:cs="Arial"/>
          <w:bCs/>
          <w:sz w:val="20"/>
          <w:lang w:val="en-ZA"/>
        </w:rPr>
      </w:pPr>
      <w:r w:rsidRPr="00F45F33">
        <w:rPr>
          <w:rFonts w:ascii="Arial" w:hAnsi="Arial" w:cs="Arial"/>
          <w:bCs/>
          <w:sz w:val="20"/>
          <w:lang w:val="en-ZA"/>
        </w:rPr>
        <w:t>Tenderers shall subcontract a minimum of 30% of the contract value to the following designated groups:</w:t>
      </w:r>
    </w:p>
    <w:p w14:paraId="2FEDFE77" w14:textId="77777777" w:rsidR="00A45CFB" w:rsidRPr="00287BFF" w:rsidRDefault="00A45CFB" w:rsidP="00A45CFB">
      <w:pPr>
        <w:numPr>
          <w:ilvl w:val="0"/>
          <w:numId w:val="42"/>
        </w:numPr>
        <w:spacing w:after="200" w:line="360" w:lineRule="auto"/>
        <w:contextualSpacing/>
        <w:jc w:val="both"/>
        <w:rPr>
          <w:rFonts w:ascii="Arial" w:eastAsiaTheme="minorHAnsi" w:hAnsi="Arial" w:cs="Arial"/>
          <w:b/>
          <w:sz w:val="20"/>
          <w:lang w:val="en-ZA"/>
        </w:rPr>
      </w:pPr>
      <w:r w:rsidRPr="00F45F33">
        <w:rPr>
          <w:rFonts w:ascii="Arial" w:eastAsiaTheme="minorHAnsi" w:hAnsi="Arial" w:cs="Arial"/>
          <w:sz w:val="20"/>
          <w:lang w:val="en-ZA"/>
        </w:rPr>
        <w:t>an EME or QSE which is 51% owned by black people living in rural or underdeveloped area or townships.</w:t>
      </w:r>
    </w:p>
    <w:p w14:paraId="5847D9A5" w14:textId="77777777" w:rsidR="00A45CFB" w:rsidRPr="00F45F33" w:rsidRDefault="00A45CFB" w:rsidP="00A45CFB">
      <w:pPr>
        <w:numPr>
          <w:ilvl w:val="0"/>
          <w:numId w:val="42"/>
        </w:numPr>
        <w:spacing w:after="200" w:line="360" w:lineRule="auto"/>
        <w:contextualSpacing/>
        <w:jc w:val="both"/>
        <w:rPr>
          <w:rFonts w:ascii="Arial" w:eastAsiaTheme="minorHAnsi" w:hAnsi="Arial" w:cs="Arial"/>
          <w:b/>
          <w:sz w:val="20"/>
          <w:lang w:val="en-ZA"/>
        </w:rPr>
      </w:pPr>
      <w:r>
        <w:rPr>
          <w:rFonts w:ascii="Arial" w:eastAsiaTheme="minorHAnsi" w:hAnsi="Arial" w:cs="Arial"/>
          <w:sz w:val="20"/>
          <w:lang w:val="en-ZA"/>
        </w:rPr>
        <w:t>An EME or QSE shall not have a contract with Eskom SOC and its subsidiaries.</w:t>
      </w:r>
    </w:p>
    <w:p w14:paraId="5775748B" w14:textId="77777777" w:rsidR="00A45CFB" w:rsidRPr="00F45F33" w:rsidRDefault="00A45CFB" w:rsidP="00A45CFB">
      <w:pPr>
        <w:tabs>
          <w:tab w:val="num" w:pos="851"/>
        </w:tabs>
        <w:spacing w:line="360" w:lineRule="auto"/>
        <w:jc w:val="both"/>
        <w:rPr>
          <w:rFonts w:ascii="Arial" w:hAnsi="Arial" w:cs="Arial"/>
          <w:sz w:val="20"/>
          <w:lang w:eastAsia="en-ZA"/>
        </w:rPr>
      </w:pPr>
    </w:p>
    <w:p w14:paraId="5004DE06" w14:textId="77777777" w:rsidR="00A45CFB" w:rsidRPr="00F45F33" w:rsidRDefault="00A45CFB" w:rsidP="00A45CFB">
      <w:pPr>
        <w:tabs>
          <w:tab w:val="num" w:pos="1276"/>
        </w:tabs>
        <w:spacing w:line="360" w:lineRule="auto"/>
        <w:jc w:val="both"/>
        <w:rPr>
          <w:rFonts w:ascii="Arial" w:hAnsi="Arial" w:cs="Arial"/>
          <w:sz w:val="20"/>
          <w:lang w:eastAsia="en-ZA"/>
        </w:rPr>
      </w:pPr>
      <w:r w:rsidRPr="00F45F33">
        <w:rPr>
          <w:rFonts w:ascii="Arial" w:hAnsi="Arial" w:cs="Arial"/>
          <w:b/>
          <w:sz w:val="20"/>
          <w:lang w:eastAsia="en-ZA"/>
        </w:rPr>
        <w:t xml:space="preserve">NOTE </w:t>
      </w:r>
      <w:r>
        <w:rPr>
          <w:rFonts w:ascii="Arial" w:hAnsi="Arial" w:cs="Arial"/>
          <w:b/>
          <w:sz w:val="20"/>
          <w:lang w:eastAsia="en-ZA"/>
        </w:rPr>
        <w:t>1</w:t>
      </w:r>
      <w:r w:rsidRPr="00F45F33">
        <w:rPr>
          <w:rFonts w:ascii="Arial" w:hAnsi="Arial" w:cs="Arial"/>
          <w:b/>
          <w:sz w:val="20"/>
          <w:lang w:eastAsia="en-ZA"/>
        </w:rPr>
        <w:t>:</w:t>
      </w:r>
      <w:r w:rsidRPr="00F45F33">
        <w:rPr>
          <w:rFonts w:ascii="Arial" w:hAnsi="Arial" w:cs="Arial"/>
          <w:sz w:val="20"/>
          <w:lang w:eastAsia="en-ZA"/>
        </w:rPr>
        <w:t xml:space="preserve"> Tenderers shall submit the following mandatory returnable for Subcontracting: </w:t>
      </w:r>
    </w:p>
    <w:p w14:paraId="65C66ABD" w14:textId="77777777" w:rsidR="00A45CFB" w:rsidRPr="00F45F33" w:rsidRDefault="00A45CFB" w:rsidP="00A45CFB">
      <w:pPr>
        <w:numPr>
          <w:ilvl w:val="0"/>
          <w:numId w:val="41"/>
        </w:numPr>
        <w:spacing w:after="200" w:line="360" w:lineRule="auto"/>
        <w:contextualSpacing/>
        <w:jc w:val="both"/>
        <w:rPr>
          <w:rFonts w:ascii="Arial" w:eastAsia="Calibri" w:hAnsi="Arial" w:cs="Arial"/>
          <w:bCs/>
          <w:iCs/>
          <w:sz w:val="20"/>
          <w:lang w:val="en-ZA"/>
        </w:rPr>
      </w:pPr>
      <w:r w:rsidRPr="00F45F33">
        <w:rPr>
          <w:rFonts w:ascii="Arial" w:eastAsia="Calibri" w:hAnsi="Arial" w:cs="Arial"/>
          <w:bCs/>
          <w:iCs/>
          <w:sz w:val="20"/>
          <w:lang w:val="en-ZA"/>
        </w:rPr>
        <w:t xml:space="preserve">Subcontracting agreement signed by both with subcontractors’ company registration documents (CK and B-BBEE certificate or </w:t>
      </w:r>
      <w:proofErr w:type="gramStart"/>
      <w:r w:rsidRPr="00F45F33">
        <w:rPr>
          <w:rFonts w:ascii="Arial" w:eastAsia="Calibri" w:hAnsi="Arial" w:cs="Arial"/>
          <w:bCs/>
          <w:iCs/>
          <w:sz w:val="20"/>
          <w:lang w:val="en-ZA"/>
        </w:rPr>
        <w:t>sworn affidavit</w:t>
      </w:r>
      <w:proofErr w:type="gramEnd"/>
      <w:r w:rsidRPr="00F45F33">
        <w:rPr>
          <w:rFonts w:ascii="Arial" w:eastAsia="Calibri" w:hAnsi="Arial" w:cs="Arial"/>
          <w:bCs/>
          <w:iCs/>
          <w:sz w:val="20"/>
          <w:lang w:val="en-ZA"/>
        </w:rPr>
        <w:t>) or</w:t>
      </w:r>
    </w:p>
    <w:p w14:paraId="07F9B758" w14:textId="77777777" w:rsidR="00A45CFB" w:rsidRDefault="00A45CFB" w:rsidP="00A45CFB">
      <w:pPr>
        <w:numPr>
          <w:ilvl w:val="0"/>
          <w:numId w:val="41"/>
        </w:numPr>
        <w:spacing w:after="200" w:line="360" w:lineRule="auto"/>
        <w:contextualSpacing/>
        <w:jc w:val="both"/>
        <w:rPr>
          <w:rFonts w:ascii="Arial" w:eastAsia="Calibri" w:hAnsi="Arial" w:cs="Arial"/>
          <w:bCs/>
          <w:iCs/>
          <w:sz w:val="20"/>
          <w:lang w:val="en-ZA"/>
        </w:rPr>
      </w:pPr>
      <w:r w:rsidRPr="00F45F33">
        <w:rPr>
          <w:rFonts w:ascii="Arial" w:eastAsia="Calibri" w:hAnsi="Arial" w:cs="Arial"/>
          <w:bCs/>
          <w:iCs/>
          <w:sz w:val="20"/>
          <w:lang w:val="en-ZA"/>
        </w:rPr>
        <w:t>Copies of sub-contracting contracts (agreements) or copies of letters from the tenderer to the sub-contractors, stating the intent to sub-contract. The Tenderer should sign both documents and the Sub-contractor(s) earmarked.</w:t>
      </w:r>
    </w:p>
    <w:p w14:paraId="11FB66EA" w14:textId="77777777" w:rsidR="00A45CFB" w:rsidRDefault="00A45CFB" w:rsidP="00A45CFB">
      <w:pPr>
        <w:tabs>
          <w:tab w:val="num" w:pos="1276"/>
        </w:tabs>
        <w:spacing w:line="360" w:lineRule="auto"/>
        <w:jc w:val="both"/>
        <w:rPr>
          <w:rFonts w:ascii="Arial" w:hAnsi="Arial" w:cs="Arial"/>
          <w:sz w:val="20"/>
          <w:lang w:eastAsia="en-ZA"/>
        </w:rPr>
      </w:pPr>
      <w:r>
        <w:rPr>
          <w:rFonts w:ascii="Arial" w:hAnsi="Arial" w:cs="Arial"/>
          <w:sz w:val="20"/>
          <w:lang w:eastAsia="en-ZA"/>
        </w:rPr>
        <w:t>Tenderers are required to stipulate the p</w:t>
      </w:r>
      <w:r w:rsidRPr="00F45F33">
        <w:rPr>
          <w:rFonts w:ascii="Arial" w:hAnsi="Arial" w:cs="Arial"/>
          <w:sz w:val="20"/>
          <w:lang w:eastAsia="en-ZA"/>
        </w:rPr>
        <w:t>otential scope to be subcontracted and/or outsourced:</w:t>
      </w:r>
    </w:p>
    <w:p w14:paraId="74A7DE78" w14:textId="77777777" w:rsidR="00A45CFB" w:rsidRDefault="00A45CFB" w:rsidP="00A45CFB">
      <w:pPr>
        <w:tabs>
          <w:tab w:val="num" w:pos="1276"/>
        </w:tabs>
        <w:spacing w:line="360" w:lineRule="auto"/>
        <w:jc w:val="both"/>
        <w:rPr>
          <w:rFonts w:ascii="Arial" w:hAnsi="Arial" w:cs="Arial"/>
          <w:sz w:val="20"/>
          <w:lang w:eastAsia="en-ZA"/>
        </w:rPr>
      </w:pPr>
    </w:p>
    <w:tbl>
      <w:tblPr>
        <w:tblStyle w:val="TableGrid"/>
        <w:tblW w:w="0" w:type="auto"/>
        <w:tblLook w:val="04A0" w:firstRow="1" w:lastRow="0" w:firstColumn="1" w:lastColumn="0" w:noHBand="0" w:noVBand="1"/>
      </w:tblPr>
      <w:tblGrid>
        <w:gridCol w:w="4508"/>
        <w:gridCol w:w="4508"/>
      </w:tblGrid>
      <w:tr w:rsidR="00A45CFB" w:rsidRPr="00543713" w14:paraId="15D11835" w14:textId="77777777" w:rsidTr="007B5A37">
        <w:tc>
          <w:tcPr>
            <w:tcW w:w="4508" w:type="dxa"/>
          </w:tcPr>
          <w:p w14:paraId="670E9C06" w14:textId="77777777" w:rsidR="00A45CFB" w:rsidRPr="00543713" w:rsidRDefault="00A45CFB" w:rsidP="007B5A37">
            <w:pPr>
              <w:tabs>
                <w:tab w:val="num" w:pos="1276"/>
              </w:tabs>
              <w:spacing w:line="360" w:lineRule="auto"/>
              <w:jc w:val="center"/>
              <w:rPr>
                <w:rFonts w:ascii="Arial" w:eastAsia="Calibri" w:hAnsi="Arial" w:cs="Arial"/>
                <w:bCs/>
                <w:iCs/>
                <w:sz w:val="20"/>
                <w:lang w:val="en-ZA"/>
              </w:rPr>
            </w:pPr>
            <w:r w:rsidRPr="00543713">
              <w:rPr>
                <w:rFonts w:ascii="Arial" w:eastAsia="Calibri" w:hAnsi="Arial" w:cs="Arial"/>
                <w:bCs/>
                <w:iCs/>
                <w:sz w:val="20"/>
                <w:lang w:val="en-ZA"/>
              </w:rPr>
              <w:t xml:space="preserve">Activities for </w:t>
            </w:r>
            <w:r>
              <w:rPr>
                <w:rFonts w:ascii="Arial" w:eastAsia="Calibri" w:hAnsi="Arial" w:cs="Arial"/>
                <w:bCs/>
                <w:iCs/>
                <w:sz w:val="20"/>
                <w:lang w:val="en-ZA"/>
              </w:rPr>
              <w:t>subcontracting</w:t>
            </w:r>
            <w:r w:rsidRPr="00543713">
              <w:rPr>
                <w:rFonts w:ascii="Arial" w:eastAsia="Calibri" w:hAnsi="Arial" w:cs="Arial"/>
                <w:bCs/>
                <w:iCs/>
                <w:sz w:val="20"/>
                <w:lang w:val="en-ZA"/>
              </w:rPr>
              <w:t xml:space="preserve"> in the local scope of work</w:t>
            </w:r>
          </w:p>
        </w:tc>
        <w:tc>
          <w:tcPr>
            <w:tcW w:w="4508" w:type="dxa"/>
          </w:tcPr>
          <w:p w14:paraId="36848AE4" w14:textId="77777777" w:rsidR="00A45CFB" w:rsidRPr="00543713" w:rsidRDefault="00A45CFB" w:rsidP="007B5A37">
            <w:pPr>
              <w:tabs>
                <w:tab w:val="num" w:pos="1276"/>
              </w:tabs>
              <w:spacing w:line="360" w:lineRule="auto"/>
              <w:jc w:val="center"/>
              <w:rPr>
                <w:rFonts w:ascii="Arial" w:eastAsia="Calibri" w:hAnsi="Arial" w:cs="Arial"/>
                <w:bCs/>
                <w:iCs/>
                <w:sz w:val="20"/>
                <w:lang w:val="en-ZA"/>
              </w:rPr>
            </w:pPr>
            <w:r w:rsidRPr="00543713">
              <w:rPr>
                <w:rFonts w:ascii="Arial" w:eastAsia="Calibri" w:hAnsi="Arial" w:cs="Arial"/>
                <w:bCs/>
                <w:iCs/>
                <w:sz w:val="20"/>
                <w:lang w:val="en-ZA"/>
              </w:rPr>
              <w:t>Percentage of local scope of work</w:t>
            </w:r>
          </w:p>
        </w:tc>
      </w:tr>
      <w:tr w:rsidR="00A45CFB" w:rsidRPr="00543713" w14:paraId="0FE11DCF" w14:textId="77777777" w:rsidTr="007B5A37">
        <w:tc>
          <w:tcPr>
            <w:tcW w:w="4508" w:type="dxa"/>
          </w:tcPr>
          <w:p w14:paraId="119A78C2" w14:textId="77777777" w:rsidR="00A45CFB" w:rsidRPr="00543713" w:rsidRDefault="00A45CFB" w:rsidP="00A45CFB">
            <w:pPr>
              <w:numPr>
                <w:ilvl w:val="0"/>
                <w:numId w:val="46"/>
              </w:numPr>
              <w:tabs>
                <w:tab w:val="num" w:pos="1276"/>
              </w:tabs>
              <w:spacing w:line="360" w:lineRule="auto"/>
              <w:jc w:val="both"/>
              <w:rPr>
                <w:rFonts w:ascii="Arial" w:eastAsia="Calibri" w:hAnsi="Arial" w:cs="Arial"/>
                <w:bCs/>
                <w:iCs/>
                <w:sz w:val="20"/>
                <w:lang w:val="en-ZA"/>
              </w:rPr>
            </w:pPr>
          </w:p>
        </w:tc>
        <w:tc>
          <w:tcPr>
            <w:tcW w:w="4508" w:type="dxa"/>
          </w:tcPr>
          <w:p w14:paraId="6E17533C" w14:textId="77777777" w:rsidR="00A45CFB" w:rsidRPr="00543713" w:rsidRDefault="00A45CFB" w:rsidP="007B5A37">
            <w:pPr>
              <w:tabs>
                <w:tab w:val="num" w:pos="1276"/>
              </w:tabs>
              <w:spacing w:line="360" w:lineRule="auto"/>
              <w:jc w:val="center"/>
              <w:rPr>
                <w:rFonts w:ascii="Arial" w:eastAsia="Calibri" w:hAnsi="Arial" w:cs="Arial"/>
                <w:bCs/>
                <w:iCs/>
                <w:sz w:val="20"/>
                <w:lang w:val="en-ZA"/>
              </w:rPr>
            </w:pPr>
          </w:p>
        </w:tc>
      </w:tr>
      <w:tr w:rsidR="00A45CFB" w:rsidRPr="00543713" w14:paraId="3B234B07" w14:textId="77777777" w:rsidTr="007B5A37">
        <w:tc>
          <w:tcPr>
            <w:tcW w:w="4508" w:type="dxa"/>
          </w:tcPr>
          <w:p w14:paraId="4A414F29" w14:textId="77777777" w:rsidR="00A45CFB" w:rsidRPr="00543713" w:rsidRDefault="00A45CFB" w:rsidP="00A45CFB">
            <w:pPr>
              <w:numPr>
                <w:ilvl w:val="0"/>
                <w:numId w:val="46"/>
              </w:numPr>
              <w:tabs>
                <w:tab w:val="num" w:pos="1276"/>
              </w:tabs>
              <w:spacing w:line="360" w:lineRule="auto"/>
              <w:jc w:val="both"/>
              <w:rPr>
                <w:rFonts w:ascii="Arial" w:eastAsia="Calibri" w:hAnsi="Arial" w:cs="Arial"/>
                <w:bCs/>
                <w:iCs/>
                <w:sz w:val="20"/>
                <w:lang w:val="en-ZA"/>
              </w:rPr>
            </w:pPr>
          </w:p>
        </w:tc>
        <w:tc>
          <w:tcPr>
            <w:tcW w:w="4508" w:type="dxa"/>
          </w:tcPr>
          <w:p w14:paraId="4686C43E" w14:textId="77777777" w:rsidR="00A45CFB" w:rsidRPr="00543713" w:rsidRDefault="00A45CFB" w:rsidP="007B5A37">
            <w:pPr>
              <w:tabs>
                <w:tab w:val="num" w:pos="1276"/>
              </w:tabs>
              <w:spacing w:line="360" w:lineRule="auto"/>
              <w:jc w:val="center"/>
              <w:rPr>
                <w:rFonts w:ascii="Arial" w:eastAsia="Calibri" w:hAnsi="Arial" w:cs="Arial"/>
                <w:bCs/>
                <w:iCs/>
                <w:sz w:val="20"/>
                <w:lang w:val="en-ZA"/>
              </w:rPr>
            </w:pPr>
          </w:p>
        </w:tc>
      </w:tr>
      <w:tr w:rsidR="00A45CFB" w:rsidRPr="00543713" w14:paraId="5FBF779E" w14:textId="77777777" w:rsidTr="007B5A37">
        <w:tc>
          <w:tcPr>
            <w:tcW w:w="4508" w:type="dxa"/>
          </w:tcPr>
          <w:p w14:paraId="15109F48" w14:textId="77777777" w:rsidR="00A45CFB" w:rsidRPr="00543713" w:rsidRDefault="00A45CFB" w:rsidP="00A45CFB">
            <w:pPr>
              <w:numPr>
                <w:ilvl w:val="0"/>
                <w:numId w:val="46"/>
              </w:numPr>
              <w:tabs>
                <w:tab w:val="num" w:pos="1276"/>
              </w:tabs>
              <w:spacing w:line="360" w:lineRule="auto"/>
              <w:jc w:val="both"/>
              <w:rPr>
                <w:rFonts w:ascii="Arial" w:eastAsia="Calibri" w:hAnsi="Arial" w:cs="Arial"/>
                <w:bCs/>
                <w:iCs/>
                <w:sz w:val="20"/>
                <w:lang w:val="en-ZA"/>
              </w:rPr>
            </w:pPr>
          </w:p>
        </w:tc>
        <w:tc>
          <w:tcPr>
            <w:tcW w:w="4508" w:type="dxa"/>
          </w:tcPr>
          <w:p w14:paraId="39BB4128" w14:textId="77777777" w:rsidR="00A45CFB" w:rsidRPr="00543713" w:rsidRDefault="00A45CFB" w:rsidP="007B5A37">
            <w:pPr>
              <w:tabs>
                <w:tab w:val="num" w:pos="1276"/>
              </w:tabs>
              <w:spacing w:line="360" w:lineRule="auto"/>
              <w:jc w:val="center"/>
              <w:rPr>
                <w:rFonts w:ascii="Arial" w:eastAsia="Calibri" w:hAnsi="Arial" w:cs="Arial"/>
                <w:bCs/>
                <w:iCs/>
                <w:sz w:val="20"/>
                <w:lang w:val="en-ZA"/>
              </w:rPr>
            </w:pPr>
          </w:p>
        </w:tc>
      </w:tr>
    </w:tbl>
    <w:p w14:paraId="5402107A" w14:textId="77777777" w:rsidR="00A45CFB" w:rsidRDefault="00A45CFB" w:rsidP="00A45CFB">
      <w:pPr>
        <w:spacing w:after="200" w:line="360" w:lineRule="auto"/>
        <w:jc w:val="both"/>
        <w:rPr>
          <w:rFonts w:ascii="Arial" w:eastAsiaTheme="minorHAnsi" w:hAnsi="Arial" w:cs="Arial"/>
          <w:sz w:val="20"/>
          <w:lang w:val="en-ZA"/>
        </w:rPr>
      </w:pPr>
    </w:p>
    <w:p w14:paraId="6E3EF65A" w14:textId="77777777" w:rsidR="00A45CFB" w:rsidRPr="005B5A73" w:rsidRDefault="00A45CFB" w:rsidP="00A45CFB">
      <w:pPr>
        <w:spacing w:after="200" w:line="360" w:lineRule="auto"/>
        <w:jc w:val="both"/>
        <w:rPr>
          <w:rFonts w:ascii="Arial" w:hAnsi="Arial" w:cs="Arial"/>
          <w:b/>
          <w:sz w:val="20"/>
        </w:rPr>
      </w:pPr>
      <w:r w:rsidRPr="005B5A73">
        <w:rPr>
          <w:rFonts w:ascii="Arial" w:eastAsiaTheme="minorHAnsi" w:hAnsi="Arial" w:cs="Arial"/>
          <w:sz w:val="20"/>
          <w:lang w:val="en-ZA"/>
        </w:rPr>
        <w:t>Subcontracting, in this instance, will be treated as a condition for contract award. A supplier awarded a contract may not subcontract more than 25% of the value of the contract to any other entity that does not have an equal or higher B-BBEE status level of a contributor than the supplier concerned unless the contract is subcontracted to an EME that has the capability and ability to execute the subcontract</w:t>
      </w:r>
      <w:r>
        <w:rPr>
          <w:rFonts w:ascii="Arial" w:eastAsiaTheme="minorHAnsi" w:hAnsi="Arial" w:cs="Arial"/>
          <w:sz w:val="20"/>
          <w:lang w:val="en-ZA"/>
        </w:rPr>
        <w:t>.</w:t>
      </w:r>
    </w:p>
    <w:bookmarkEnd w:id="0"/>
    <w:p w14:paraId="3D29F6BA" w14:textId="77777777" w:rsidR="00A45CFB" w:rsidRDefault="00A45CFB" w:rsidP="00546E27">
      <w:pPr>
        <w:spacing w:after="200" w:line="276" w:lineRule="auto"/>
        <w:rPr>
          <w:rFonts w:ascii="Arial" w:hAnsi="Arial" w:cs="Arial"/>
          <w:b/>
        </w:rPr>
      </w:pPr>
    </w:p>
    <w:p w14:paraId="0F3E6533" w14:textId="77777777" w:rsidR="00A45CFB" w:rsidRDefault="00A45CFB" w:rsidP="00546E27">
      <w:pPr>
        <w:spacing w:after="200" w:line="276" w:lineRule="auto"/>
        <w:rPr>
          <w:rFonts w:ascii="Arial" w:hAnsi="Arial" w:cs="Arial"/>
          <w:b/>
        </w:rPr>
      </w:pPr>
    </w:p>
    <w:p w14:paraId="59F27E54" w14:textId="77777777" w:rsidR="00A45CFB" w:rsidRDefault="00A45CFB" w:rsidP="00546E27">
      <w:pPr>
        <w:spacing w:after="200" w:line="276" w:lineRule="auto"/>
        <w:rPr>
          <w:rFonts w:ascii="Arial" w:hAnsi="Arial" w:cs="Arial"/>
          <w:b/>
        </w:rPr>
      </w:pPr>
    </w:p>
    <w:p w14:paraId="62BF0E97" w14:textId="77777777" w:rsidR="00A45CFB" w:rsidRDefault="00A45CFB" w:rsidP="00546E27">
      <w:pPr>
        <w:spacing w:after="200" w:line="276" w:lineRule="auto"/>
        <w:rPr>
          <w:rFonts w:ascii="Arial" w:hAnsi="Arial" w:cs="Arial"/>
          <w:b/>
        </w:rPr>
      </w:pPr>
    </w:p>
    <w:p w14:paraId="45A969DE" w14:textId="77777777" w:rsidR="00A45CFB" w:rsidRDefault="00A45CFB" w:rsidP="00546E27">
      <w:pPr>
        <w:spacing w:after="200" w:line="276" w:lineRule="auto"/>
        <w:rPr>
          <w:rFonts w:ascii="Arial" w:hAnsi="Arial" w:cs="Arial"/>
          <w:b/>
        </w:rPr>
      </w:pPr>
    </w:p>
    <w:p w14:paraId="6D1C7841" w14:textId="77777777" w:rsidR="00A45CFB" w:rsidRDefault="00A45CFB" w:rsidP="00546E27">
      <w:pPr>
        <w:spacing w:after="200" w:line="276" w:lineRule="auto"/>
        <w:rPr>
          <w:rFonts w:ascii="Arial" w:hAnsi="Arial" w:cs="Arial"/>
          <w:b/>
        </w:rPr>
      </w:pPr>
    </w:p>
    <w:p w14:paraId="0484581A" w14:textId="0F4F37CD" w:rsidR="00546E27" w:rsidRPr="00EB6A30" w:rsidRDefault="00546E27" w:rsidP="00546E27">
      <w:pPr>
        <w:spacing w:after="200" w:line="276" w:lineRule="auto"/>
        <w:rPr>
          <w:rFonts w:ascii="Arial" w:hAnsi="Arial" w:cs="Arial"/>
          <w:b/>
          <w:sz w:val="22"/>
        </w:rPr>
      </w:pPr>
      <w:r>
        <w:rPr>
          <w:rFonts w:ascii="Arial" w:hAnsi="Arial" w:cs="Arial"/>
          <w:b/>
        </w:rPr>
        <w:lastRenderedPageBreak/>
        <w:t>S</w:t>
      </w:r>
      <w:r w:rsidRPr="00EB6A30">
        <w:rPr>
          <w:rFonts w:ascii="Arial" w:hAnsi="Arial" w:cs="Arial"/>
          <w:b/>
          <w:sz w:val="22"/>
        </w:rPr>
        <w:t xml:space="preserve">ection </w:t>
      </w:r>
      <w:r w:rsidR="006F7826">
        <w:rPr>
          <w:rFonts w:ascii="Arial" w:hAnsi="Arial" w:cs="Arial"/>
          <w:b/>
          <w:sz w:val="22"/>
        </w:rPr>
        <w:t>3</w:t>
      </w:r>
      <w:r w:rsidRPr="00EB6A30">
        <w:rPr>
          <w:rFonts w:ascii="Arial" w:hAnsi="Arial" w:cs="Arial"/>
          <w:b/>
          <w:sz w:val="22"/>
        </w:rPr>
        <w:t xml:space="preserve">: </w:t>
      </w:r>
      <w:bookmarkStart w:id="1" w:name="_Hlk124873330"/>
      <w:r w:rsidRPr="008F177A">
        <w:rPr>
          <w:rFonts w:ascii="Arial" w:hAnsi="Arial" w:cs="Arial"/>
          <w:b/>
        </w:rPr>
        <w:t>SDL&amp;I Objectives in line with Reconstruction and Development Programme (RDP) Goals</w:t>
      </w:r>
    </w:p>
    <w:tbl>
      <w:tblPr>
        <w:tblStyle w:val="TableGrid"/>
        <w:tblW w:w="0" w:type="auto"/>
        <w:tblLook w:val="04A0" w:firstRow="1" w:lastRow="0" w:firstColumn="1" w:lastColumn="0" w:noHBand="0" w:noVBand="1"/>
      </w:tblPr>
      <w:tblGrid>
        <w:gridCol w:w="9016"/>
      </w:tblGrid>
      <w:tr w:rsidR="00546E27" w:rsidRPr="000C5130" w14:paraId="47F124AD" w14:textId="77777777" w:rsidTr="00065BFD">
        <w:tc>
          <w:tcPr>
            <w:tcW w:w="9016" w:type="dxa"/>
            <w:shd w:val="clear" w:color="auto" w:fill="000000" w:themeFill="text1"/>
          </w:tcPr>
          <w:bookmarkEnd w:id="1"/>
          <w:p w14:paraId="1B4F3000" w14:textId="77777777" w:rsidR="00546E27" w:rsidRPr="000C5130" w:rsidRDefault="00546E27" w:rsidP="00065BFD">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F436EA" w:rsidRPr="000C5130" w14:paraId="61CC959F" w14:textId="77777777" w:rsidTr="00065BFD">
        <w:trPr>
          <w:trHeight w:val="2424"/>
        </w:trPr>
        <w:tc>
          <w:tcPr>
            <w:tcW w:w="9016" w:type="dxa"/>
            <w:shd w:val="clear" w:color="auto" w:fill="FFFFFF" w:themeFill="background1"/>
          </w:tcPr>
          <w:p w14:paraId="205C2A08" w14:textId="77777777" w:rsidR="00F436EA" w:rsidRPr="006105B5" w:rsidRDefault="00F436EA" w:rsidP="00F436EA">
            <w:pPr>
              <w:numPr>
                <w:ilvl w:val="0"/>
                <w:numId w:val="30"/>
              </w:numPr>
              <w:tabs>
                <w:tab w:val="left" w:pos="720"/>
              </w:tabs>
              <w:spacing w:line="360" w:lineRule="auto"/>
              <w:jc w:val="both"/>
              <w:rPr>
                <w:rFonts w:ascii="Arial" w:hAnsi="Arial" w:cs="Arial"/>
                <w:sz w:val="20"/>
              </w:rPr>
            </w:pPr>
            <w:r w:rsidRPr="00B11F74">
              <w:rPr>
                <w:rFonts w:ascii="Arial" w:hAnsi="Arial" w:cs="Arial"/>
                <w:b/>
                <w:sz w:val="22"/>
                <w:szCs w:val="22"/>
              </w:rPr>
              <w:t>Transformation – BBBEE Improvement or Retention Plan</w:t>
            </w:r>
            <w:r>
              <w:rPr>
                <w:rFonts w:ascii="Arial" w:hAnsi="Arial" w:cs="Arial"/>
                <w:b/>
                <w:sz w:val="20"/>
              </w:rPr>
              <w:t xml:space="preserve">: </w:t>
            </w:r>
          </w:p>
          <w:p w14:paraId="0AC547DB" w14:textId="77777777" w:rsidR="00F436EA" w:rsidRPr="00DD747B" w:rsidRDefault="00F436EA" w:rsidP="00F436EA">
            <w:pPr>
              <w:pStyle w:val="ListParagraph"/>
              <w:spacing w:after="200" w:line="360" w:lineRule="auto"/>
              <w:ind w:left="0"/>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r w:rsidRPr="00C673B9">
              <w:rPr>
                <w:rFonts w:ascii="Arial" w:eastAsiaTheme="minorHAnsi" w:hAnsi="Arial" w:cs="Arial"/>
                <w:sz w:val="20"/>
              </w:rPr>
              <w:t>.</w:t>
            </w:r>
          </w:p>
          <w:p w14:paraId="4D6252F5" w14:textId="77777777" w:rsidR="00F436EA" w:rsidRPr="00DD747B" w:rsidRDefault="00F436EA" w:rsidP="00F436EA">
            <w:pPr>
              <w:pStyle w:val="ListParagraph"/>
              <w:spacing w:after="200" w:line="360" w:lineRule="auto"/>
              <w:ind w:left="0"/>
              <w:jc w:val="both"/>
              <w:rPr>
                <w:rFonts w:ascii="Arial" w:hAnsi="Arial" w:cs="Arial"/>
                <w:sz w:val="16"/>
                <w:szCs w:val="16"/>
              </w:rPr>
            </w:pPr>
          </w:p>
          <w:p w14:paraId="501555E6" w14:textId="77777777" w:rsidR="00F436EA" w:rsidRPr="00DD747B" w:rsidRDefault="00F436EA" w:rsidP="00F436EA">
            <w:pPr>
              <w:pStyle w:val="ListParagraph"/>
              <w:spacing w:after="200" w:line="360" w:lineRule="auto"/>
              <w:ind w:left="0"/>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5D8D2AAD" w14:textId="77777777" w:rsidR="00F436EA" w:rsidRPr="00DD747B" w:rsidRDefault="00F436EA" w:rsidP="00F436EA">
            <w:pPr>
              <w:pStyle w:val="ListParagraph"/>
              <w:spacing w:after="200" w:line="360" w:lineRule="auto"/>
              <w:ind w:left="0"/>
              <w:jc w:val="both"/>
              <w:rPr>
                <w:rFonts w:ascii="Arial" w:hAnsi="Arial" w:cs="Arial"/>
                <w:sz w:val="16"/>
                <w:szCs w:val="16"/>
              </w:rPr>
            </w:pPr>
          </w:p>
          <w:p w14:paraId="0BAB0BB0" w14:textId="77777777" w:rsidR="00F436EA" w:rsidRPr="00DD747B" w:rsidRDefault="00F436EA" w:rsidP="00F436EA">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3BEC1470" w14:textId="77777777" w:rsidR="00F436EA" w:rsidRPr="00DD747B" w:rsidRDefault="00F436EA" w:rsidP="00F436EA">
            <w:pPr>
              <w:pStyle w:val="ListParagraph"/>
              <w:spacing w:after="200" w:line="360" w:lineRule="auto"/>
              <w:ind w:left="0"/>
              <w:jc w:val="both"/>
              <w:rPr>
                <w:rFonts w:ascii="Arial" w:hAnsi="Arial" w:cs="Arial"/>
                <w:sz w:val="16"/>
                <w:szCs w:val="16"/>
              </w:rPr>
            </w:pPr>
          </w:p>
          <w:p w14:paraId="6AD8DAB0" w14:textId="77777777" w:rsidR="00F436EA" w:rsidRPr="00DD747B" w:rsidRDefault="00F436EA" w:rsidP="00F436EA">
            <w:pPr>
              <w:pStyle w:val="ListParagraph"/>
              <w:spacing w:after="200" w:line="360" w:lineRule="auto"/>
              <w:ind w:left="0"/>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1C4A6F27" w14:textId="77777777" w:rsidR="00F436EA" w:rsidRDefault="00F436EA" w:rsidP="00F436EA">
            <w:pPr>
              <w:tabs>
                <w:tab w:val="left" w:pos="720"/>
              </w:tabs>
              <w:spacing w:line="360" w:lineRule="auto"/>
              <w:ind w:left="360"/>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r>
              <w:rPr>
                <w:rFonts w:ascii="Arial" w:hAnsi="Arial" w:cs="Arial"/>
                <w:sz w:val="20"/>
              </w:rPr>
              <w:t>and to submit the following documents as a condition for contract award:</w:t>
            </w:r>
          </w:p>
          <w:p w14:paraId="6E96DD25" w14:textId="77777777" w:rsidR="00F436EA" w:rsidRPr="00B22D89" w:rsidRDefault="00F436EA" w:rsidP="00F436EA">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Proof of ownership / shareholding (preferably CIPC documentation) inclusive of shareholding breakdown</w:t>
            </w:r>
          </w:p>
          <w:p w14:paraId="2CAEB434" w14:textId="77777777" w:rsidR="00F436EA" w:rsidRPr="00B22D89" w:rsidRDefault="00F436EA" w:rsidP="00F436EA">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Certified ID copies of shareholder(s)</w:t>
            </w:r>
          </w:p>
          <w:p w14:paraId="4543E7C3" w14:textId="77777777" w:rsidR="00F436EA" w:rsidRDefault="00F436EA" w:rsidP="00F436EA">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Proof of Disability (where applicable)</w:t>
            </w:r>
          </w:p>
          <w:p w14:paraId="591EF882" w14:textId="77777777" w:rsidR="00F436EA" w:rsidRPr="00DD747B" w:rsidRDefault="00F436EA" w:rsidP="00F436EA">
            <w:pPr>
              <w:spacing w:line="360" w:lineRule="auto"/>
              <w:jc w:val="both"/>
              <w:rPr>
                <w:sz w:val="20"/>
                <w:lang w:eastAsia="en-ZA"/>
              </w:rPr>
            </w:pPr>
            <w:r w:rsidRPr="00DD747B">
              <w:rPr>
                <w:rFonts w:ascii="Arial" w:hAnsi="Arial" w:cs="Arial"/>
                <w:b/>
                <w:bCs/>
                <w:sz w:val="20"/>
              </w:rPr>
              <w:t xml:space="preserve">NB: </w:t>
            </w:r>
            <w:r w:rsidRPr="00DD747B">
              <w:rPr>
                <w:rFonts w:ascii="Arial" w:hAnsi="Arial" w:cs="Arial"/>
                <w:sz w:val="20"/>
              </w:rPr>
              <w:t xml:space="preserve">A valid B-BBEE certificate or Sworn Affidavit is a condition for contract </w:t>
            </w:r>
            <w:proofErr w:type="gramStart"/>
            <w:r w:rsidRPr="00DD747B">
              <w:rPr>
                <w:rFonts w:ascii="Arial" w:hAnsi="Arial" w:cs="Arial"/>
                <w:sz w:val="20"/>
              </w:rPr>
              <w:t>award, if</w:t>
            </w:r>
            <w:proofErr w:type="gramEnd"/>
            <w:r w:rsidRPr="00DD747B">
              <w:rPr>
                <w:rFonts w:ascii="Arial" w:hAnsi="Arial" w:cs="Arial"/>
                <w:sz w:val="20"/>
              </w:rPr>
              <w:t xml:space="preserve">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 xml:space="preserve">Enterprise therefore you can submit Sworn Affidavit. If your annual Total Revenue is R50 Million or less, you qualify as Qualifying Small Enterprise and must comply with </w:t>
            </w:r>
            <w:proofErr w:type="gramStart"/>
            <w:r w:rsidRPr="00DD747B">
              <w:rPr>
                <w:rFonts w:ascii="Arial" w:hAnsi="Arial" w:cs="Arial"/>
                <w:sz w:val="20"/>
              </w:rPr>
              <w:t>all of</w:t>
            </w:r>
            <w:proofErr w:type="gramEnd"/>
            <w:r w:rsidRPr="00DD747B">
              <w:rPr>
                <w:rFonts w:ascii="Arial" w:hAnsi="Arial" w:cs="Arial"/>
                <w:sz w:val="20"/>
              </w:rPr>
              <w:t xml:space="preserve"> the elements of QSE score card relevant to your sector unless an entity is at least 51% Black owned you are required to obtain a Sworn affidavit. If your Annual Total Revenue is above R50m you need to submit a Valid B-BBEE certificate</w:t>
            </w:r>
          </w:p>
          <w:p w14:paraId="143076CF" w14:textId="77777777" w:rsidR="00F436EA" w:rsidRPr="00CF781D" w:rsidRDefault="00F436EA" w:rsidP="00F436EA">
            <w:pPr>
              <w:tabs>
                <w:tab w:val="left" w:pos="720"/>
              </w:tabs>
              <w:spacing w:line="276" w:lineRule="auto"/>
              <w:ind w:left="360"/>
              <w:jc w:val="both"/>
              <w:rPr>
                <w:rFonts w:ascii="Arial" w:hAnsi="Arial" w:cs="Arial"/>
                <w:b/>
                <w:sz w:val="20"/>
              </w:rPr>
            </w:pPr>
          </w:p>
          <w:p w14:paraId="224AA60A" w14:textId="77777777" w:rsidR="00F436EA" w:rsidRPr="00D86CD2" w:rsidRDefault="00F436EA" w:rsidP="00F436EA">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Pr="00D86CD2">
              <w:rPr>
                <w:rFonts w:ascii="Arial" w:hAnsi="Arial" w:cs="Arial"/>
                <w:b/>
                <w:sz w:val="20"/>
                <w:u w:val="single"/>
                <w:lang w:val="en-ZA"/>
              </w:rPr>
              <w:t xml:space="preserve"> Procurement Content </w:t>
            </w:r>
          </w:p>
          <w:p w14:paraId="24D08202" w14:textId="77777777" w:rsidR="00F436EA" w:rsidRDefault="00F436EA" w:rsidP="00F436EA">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6E185F4A" w14:textId="77777777" w:rsidR="00F436EA" w:rsidRDefault="00F436EA" w:rsidP="00F436EA">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380C8E8C" w14:textId="77777777" w:rsidR="00F436EA" w:rsidRDefault="00F436EA" w:rsidP="00F436EA">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F436EA" w14:paraId="58E7B609" w14:textId="77777777" w:rsidTr="007B5A37">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54C563A7" w14:textId="77777777" w:rsidR="00F436EA" w:rsidRDefault="00F436EA" w:rsidP="00F436EA">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338CF2DB" w14:textId="77777777" w:rsidR="00F436EA" w:rsidRDefault="00F436EA" w:rsidP="00F436EA">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414D98B2" w14:textId="77777777" w:rsidR="00F436EA" w:rsidRDefault="00F436EA" w:rsidP="00F436EA">
                  <w:pPr>
                    <w:spacing w:line="276" w:lineRule="auto"/>
                    <w:jc w:val="center"/>
                    <w:rPr>
                      <w:rFonts w:ascii="Arial" w:hAnsi="Arial" w:cs="Arial"/>
                      <w:b/>
                      <w:sz w:val="20"/>
                    </w:rPr>
                  </w:pPr>
                  <w:r>
                    <w:rPr>
                      <w:rFonts w:ascii="Arial" w:hAnsi="Arial" w:cs="Arial"/>
                      <w:b/>
                      <w:sz w:val="20"/>
                    </w:rPr>
                    <w:t>Tenderer Proposal</w:t>
                  </w:r>
                </w:p>
              </w:tc>
            </w:tr>
            <w:tr w:rsidR="00F436EA" w14:paraId="2ECDAC52" w14:textId="77777777" w:rsidTr="007B5A37">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C3F5B26" w14:textId="77777777" w:rsidR="00F436EA" w:rsidRDefault="00F436EA" w:rsidP="00F436EA">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35989F84" w14:textId="77777777" w:rsidR="00F436EA" w:rsidRPr="007D4E0A" w:rsidRDefault="00F436EA" w:rsidP="00F436EA">
                  <w:pPr>
                    <w:spacing w:line="276" w:lineRule="auto"/>
                    <w:jc w:val="center"/>
                    <w:rPr>
                      <w:rFonts w:ascii="Arial" w:hAnsi="Arial" w:cs="Arial"/>
                      <w:sz w:val="20"/>
                    </w:rPr>
                  </w:pPr>
                  <w:r>
                    <w:rPr>
                      <w:rFonts w:ascii="Arial" w:hAnsi="Arial" w:cs="Arial"/>
                      <w:sz w:val="20"/>
                    </w:rPr>
                    <w:t>50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3B2C5535" w14:textId="77777777" w:rsidR="00F436EA" w:rsidRPr="007D4E0A" w:rsidRDefault="00F436EA" w:rsidP="00F436EA">
                  <w:pPr>
                    <w:spacing w:line="276" w:lineRule="auto"/>
                    <w:jc w:val="both"/>
                    <w:rPr>
                      <w:rFonts w:ascii="Arial" w:hAnsi="Arial" w:cs="Arial"/>
                      <w:sz w:val="20"/>
                    </w:rPr>
                  </w:pPr>
                </w:p>
              </w:tc>
            </w:tr>
          </w:tbl>
          <w:p w14:paraId="23588601" w14:textId="77777777" w:rsidR="00F436EA" w:rsidRDefault="00F436EA" w:rsidP="00F436EA">
            <w:pPr>
              <w:tabs>
                <w:tab w:val="left" w:pos="720"/>
              </w:tabs>
              <w:spacing w:line="360" w:lineRule="auto"/>
              <w:ind w:left="360"/>
              <w:jc w:val="both"/>
              <w:rPr>
                <w:rFonts w:ascii="Arial" w:hAnsi="Arial" w:cs="Arial"/>
                <w:b/>
                <w:sz w:val="20"/>
                <w:lang w:val="en-ZA"/>
              </w:rPr>
            </w:pPr>
          </w:p>
          <w:p w14:paraId="1619A164" w14:textId="77777777" w:rsidR="00F436EA" w:rsidRPr="00A63536" w:rsidRDefault="00F436EA" w:rsidP="00F436EA">
            <w:pPr>
              <w:numPr>
                <w:ilvl w:val="0"/>
                <w:numId w:val="30"/>
              </w:numPr>
              <w:tabs>
                <w:tab w:val="left" w:pos="720"/>
              </w:tabs>
              <w:spacing w:line="360" w:lineRule="auto"/>
              <w:jc w:val="both"/>
              <w:rPr>
                <w:rFonts w:ascii="Arial" w:hAnsi="Arial" w:cs="Arial"/>
                <w:b/>
                <w:sz w:val="20"/>
                <w:lang w:val="en-ZA"/>
              </w:rPr>
            </w:pPr>
            <w:r w:rsidRPr="00A63536">
              <w:rPr>
                <w:rFonts w:ascii="Arial" w:hAnsi="Arial" w:cs="Arial"/>
                <w:b/>
                <w:sz w:val="20"/>
                <w:lang w:val="en-ZA"/>
              </w:rPr>
              <w:t>Jobs.</w:t>
            </w:r>
            <w:r w:rsidRPr="00A63536">
              <w:rPr>
                <w:rFonts w:ascii="Arial" w:hAnsi="Arial" w:cs="Arial"/>
                <w:sz w:val="20"/>
                <w:lang w:val="en-ZA"/>
              </w:rPr>
              <w:t xml:space="preserve"> Tenderers are required to submit proposals for the type and number of jobs that will be created and retained in South Africa as a direct result of being awarded a contract.</w:t>
            </w: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F436EA" w:rsidRPr="000C5130" w14:paraId="25A8B018" w14:textId="77777777" w:rsidTr="007B5A37">
              <w:trPr>
                <w:trHeight w:val="341"/>
              </w:trPr>
              <w:tc>
                <w:tcPr>
                  <w:tcW w:w="3676" w:type="dxa"/>
                  <w:shd w:val="clear" w:color="auto" w:fill="D9D9D9" w:themeFill="background1" w:themeFillShade="D9"/>
                </w:tcPr>
                <w:p w14:paraId="705148AD" w14:textId="77777777" w:rsidR="00F436EA" w:rsidRPr="000C5130" w:rsidRDefault="00F436EA" w:rsidP="00F436EA">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795DFC65" w14:textId="77777777" w:rsidR="00F436EA" w:rsidRPr="000C5130" w:rsidRDefault="00F436EA" w:rsidP="00F436EA">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F436EA" w:rsidRPr="000C5130" w14:paraId="60E5FB35" w14:textId="77777777" w:rsidTr="007B5A37">
              <w:trPr>
                <w:trHeight w:val="359"/>
              </w:trPr>
              <w:tc>
                <w:tcPr>
                  <w:tcW w:w="3676" w:type="dxa"/>
                  <w:shd w:val="clear" w:color="auto" w:fill="auto"/>
                </w:tcPr>
                <w:p w14:paraId="537856DE" w14:textId="77777777" w:rsidR="00F436EA" w:rsidRPr="000C5130" w:rsidRDefault="00F436EA" w:rsidP="00F436EA">
                  <w:pPr>
                    <w:tabs>
                      <w:tab w:val="left" w:pos="720"/>
                    </w:tabs>
                    <w:spacing w:line="276" w:lineRule="auto"/>
                    <w:jc w:val="both"/>
                    <w:rPr>
                      <w:rFonts w:ascii="Arial" w:hAnsi="Arial" w:cs="Arial"/>
                      <w:sz w:val="20"/>
                    </w:rPr>
                  </w:pPr>
                </w:p>
              </w:tc>
              <w:tc>
                <w:tcPr>
                  <w:tcW w:w="3676" w:type="dxa"/>
                  <w:shd w:val="clear" w:color="auto" w:fill="auto"/>
                </w:tcPr>
                <w:p w14:paraId="4AA96DCC" w14:textId="77777777" w:rsidR="00F436EA" w:rsidRPr="000C5130" w:rsidRDefault="00F436EA" w:rsidP="00F436EA">
                  <w:pPr>
                    <w:tabs>
                      <w:tab w:val="left" w:pos="720"/>
                    </w:tabs>
                    <w:spacing w:line="276" w:lineRule="auto"/>
                    <w:jc w:val="both"/>
                    <w:rPr>
                      <w:rFonts w:ascii="Arial" w:hAnsi="Arial" w:cs="Arial"/>
                      <w:sz w:val="20"/>
                    </w:rPr>
                  </w:pPr>
                </w:p>
              </w:tc>
            </w:tr>
          </w:tbl>
          <w:p w14:paraId="71E300C2" w14:textId="77777777" w:rsidR="00F436EA" w:rsidRDefault="00F436EA" w:rsidP="00F436EA">
            <w:pPr>
              <w:tabs>
                <w:tab w:val="left" w:pos="720"/>
              </w:tabs>
              <w:spacing w:line="360" w:lineRule="auto"/>
              <w:ind w:left="360"/>
              <w:jc w:val="both"/>
              <w:rPr>
                <w:rFonts w:ascii="Arial" w:hAnsi="Arial" w:cs="Arial"/>
                <w:b/>
                <w:sz w:val="20"/>
                <w:lang w:val="en-ZA"/>
              </w:rPr>
            </w:pPr>
          </w:p>
          <w:p w14:paraId="2CA110E2" w14:textId="77777777" w:rsidR="00F436EA" w:rsidRPr="006E4F88" w:rsidRDefault="00F436EA" w:rsidP="00F436EA">
            <w:pPr>
              <w:tabs>
                <w:tab w:val="left" w:pos="720"/>
              </w:tabs>
              <w:spacing w:line="360" w:lineRule="auto"/>
              <w:ind w:left="360"/>
              <w:jc w:val="both"/>
              <w:rPr>
                <w:rFonts w:ascii="Arial" w:hAnsi="Arial" w:cs="Arial"/>
                <w:b/>
                <w:sz w:val="20"/>
                <w:lang w:val="en-ZA"/>
              </w:rPr>
            </w:pPr>
          </w:p>
          <w:p w14:paraId="3A117210" w14:textId="77777777" w:rsidR="00F436EA" w:rsidRDefault="00F436EA" w:rsidP="00F436EA">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F436EA" w:rsidRPr="000C5130" w14:paraId="3F50B01A" w14:textId="77777777" w:rsidTr="007B5A37">
              <w:trPr>
                <w:trHeight w:val="287"/>
              </w:trPr>
              <w:tc>
                <w:tcPr>
                  <w:tcW w:w="3694" w:type="dxa"/>
                  <w:shd w:val="clear" w:color="auto" w:fill="D9D9D9" w:themeFill="background1" w:themeFillShade="D9"/>
                </w:tcPr>
                <w:p w14:paraId="4A519FFC" w14:textId="77777777" w:rsidR="00F436EA" w:rsidRPr="000C5130" w:rsidRDefault="00F436EA" w:rsidP="00F436EA">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38736E06" w14:textId="77777777" w:rsidR="00F436EA" w:rsidRPr="000C5130" w:rsidRDefault="00F436EA" w:rsidP="00F436EA">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F436EA" w:rsidRPr="000C5130" w14:paraId="5E86F1AD" w14:textId="77777777" w:rsidTr="007B5A37">
              <w:trPr>
                <w:trHeight w:val="302"/>
              </w:trPr>
              <w:tc>
                <w:tcPr>
                  <w:tcW w:w="3694" w:type="dxa"/>
                  <w:shd w:val="clear" w:color="auto" w:fill="auto"/>
                </w:tcPr>
                <w:p w14:paraId="158099B5" w14:textId="77777777" w:rsidR="00F436EA" w:rsidRPr="000C5130" w:rsidRDefault="00F436EA" w:rsidP="00F436EA">
                  <w:pPr>
                    <w:tabs>
                      <w:tab w:val="left" w:pos="720"/>
                    </w:tabs>
                    <w:spacing w:line="276" w:lineRule="auto"/>
                    <w:jc w:val="both"/>
                    <w:rPr>
                      <w:rFonts w:ascii="Arial" w:hAnsi="Arial" w:cs="Arial"/>
                      <w:sz w:val="20"/>
                    </w:rPr>
                  </w:pPr>
                </w:p>
              </w:tc>
              <w:tc>
                <w:tcPr>
                  <w:tcW w:w="3694" w:type="dxa"/>
                  <w:shd w:val="clear" w:color="auto" w:fill="auto"/>
                </w:tcPr>
                <w:p w14:paraId="01957A71" w14:textId="77777777" w:rsidR="00F436EA" w:rsidRPr="000C5130" w:rsidRDefault="00F436EA" w:rsidP="00F436EA">
                  <w:pPr>
                    <w:tabs>
                      <w:tab w:val="left" w:pos="720"/>
                    </w:tabs>
                    <w:spacing w:line="276" w:lineRule="auto"/>
                    <w:jc w:val="both"/>
                    <w:rPr>
                      <w:rFonts w:ascii="Arial" w:hAnsi="Arial" w:cs="Arial"/>
                      <w:sz w:val="20"/>
                    </w:rPr>
                  </w:pPr>
                </w:p>
              </w:tc>
            </w:tr>
          </w:tbl>
          <w:p w14:paraId="79F275A1" w14:textId="77777777" w:rsidR="00F436EA" w:rsidRDefault="00F436EA" w:rsidP="00F436EA">
            <w:pPr>
              <w:pStyle w:val="ListParagraph"/>
              <w:rPr>
                <w:rFonts w:ascii="Arial" w:hAnsi="Arial" w:cs="Arial"/>
                <w:b/>
                <w:sz w:val="20"/>
                <w:lang w:val="en-ZA"/>
              </w:rPr>
            </w:pPr>
          </w:p>
          <w:p w14:paraId="6597897D" w14:textId="77777777" w:rsidR="00F436EA" w:rsidRDefault="00F436EA" w:rsidP="00F436EA">
            <w:pPr>
              <w:pStyle w:val="ListParagraph"/>
              <w:rPr>
                <w:rFonts w:ascii="Arial" w:hAnsi="Arial" w:cs="Arial"/>
                <w:b/>
                <w:sz w:val="20"/>
                <w:lang w:val="en-ZA"/>
              </w:rPr>
            </w:pPr>
          </w:p>
          <w:p w14:paraId="01825EC0" w14:textId="77777777" w:rsidR="00F436EA" w:rsidRDefault="00F436EA" w:rsidP="00F436EA">
            <w:pPr>
              <w:pStyle w:val="ListParagraph"/>
              <w:rPr>
                <w:rFonts w:ascii="Arial" w:hAnsi="Arial" w:cs="Arial"/>
                <w:b/>
                <w:sz w:val="20"/>
                <w:lang w:val="en-ZA"/>
              </w:rPr>
            </w:pPr>
          </w:p>
          <w:p w14:paraId="0179932B" w14:textId="77777777" w:rsidR="00F436EA" w:rsidRDefault="00F436EA" w:rsidP="00F436EA">
            <w:pPr>
              <w:tabs>
                <w:tab w:val="left" w:pos="720"/>
              </w:tabs>
              <w:spacing w:line="276" w:lineRule="auto"/>
              <w:ind w:left="360"/>
              <w:jc w:val="both"/>
              <w:rPr>
                <w:rFonts w:ascii="Arial" w:hAnsi="Arial" w:cs="Arial"/>
                <w:b/>
                <w:sz w:val="20"/>
                <w:lang w:val="en-ZA"/>
              </w:rPr>
            </w:pPr>
          </w:p>
          <w:p w14:paraId="300F7A91" w14:textId="77777777" w:rsidR="00F436EA" w:rsidRPr="006E4F88" w:rsidRDefault="00F436EA" w:rsidP="00F436EA">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5CDDD684" w14:textId="77777777" w:rsidR="00F436EA" w:rsidRDefault="00F436EA" w:rsidP="00F436EA">
            <w:pPr>
              <w:tabs>
                <w:tab w:val="left" w:pos="720"/>
              </w:tabs>
              <w:jc w:val="both"/>
              <w:rPr>
                <w:rFonts w:ascii="Arial" w:hAnsi="Arial" w:cs="Arial"/>
                <w:sz w:val="20"/>
              </w:rPr>
            </w:pPr>
          </w:p>
          <w:p w14:paraId="457B5C3C" w14:textId="77777777" w:rsidR="00F436EA" w:rsidRDefault="00F436EA" w:rsidP="00F436EA">
            <w:pPr>
              <w:spacing w:after="200" w:line="360" w:lineRule="auto"/>
              <w:ind w:left="360"/>
              <w:contextualSpacing/>
              <w:jc w:val="both"/>
              <w:rPr>
                <w:rFonts w:ascii="Arial" w:hAnsi="Arial" w:cs="Arial"/>
                <w:sz w:val="20"/>
              </w:rPr>
            </w:pPr>
            <w:r w:rsidRPr="007328B8">
              <w:rPr>
                <w:rFonts w:ascii="Arial" w:hAnsi="Arial" w:cs="Arial"/>
                <w:sz w:val="20"/>
              </w:rPr>
              <w:t>Tenderers are required to submit proposals in a table below for developing the skills of unemployed candidates in the country. Skills development is intended to address Eskom’s core, scarce and critical skills and the Mict SETA scarce and critical skills.  These skills are also included in a 202</w:t>
            </w:r>
            <w:r>
              <w:rPr>
                <w:rFonts w:ascii="Arial" w:hAnsi="Arial" w:cs="Arial"/>
                <w:sz w:val="20"/>
              </w:rPr>
              <w:t>4</w:t>
            </w:r>
            <w:r w:rsidRPr="007328B8">
              <w:rPr>
                <w:rFonts w:ascii="Arial" w:hAnsi="Arial" w:cs="Arial"/>
                <w:sz w:val="20"/>
              </w:rPr>
              <w:t xml:space="preserve"> list of occupations in high demand as stipulated in the Government Gazette </w:t>
            </w:r>
            <w:r>
              <w:rPr>
                <w:rFonts w:ascii="Arial" w:hAnsi="Arial" w:cs="Arial"/>
                <w:sz w:val="20"/>
              </w:rPr>
              <w:t>50510</w:t>
            </w:r>
            <w:r w:rsidRPr="007328B8">
              <w:rPr>
                <w:rFonts w:ascii="Arial" w:hAnsi="Arial" w:cs="Arial"/>
                <w:sz w:val="20"/>
              </w:rPr>
              <w:t>.   Candidates shall be from all provinces in the country, and their composition shall be representative of the population demographics of South Africa</w:t>
            </w:r>
          </w:p>
          <w:p w14:paraId="288E3686" w14:textId="77777777" w:rsidR="00F436EA" w:rsidRPr="007328B8" w:rsidRDefault="00F436EA" w:rsidP="00F436EA">
            <w:pPr>
              <w:spacing w:after="200" w:line="360" w:lineRule="auto"/>
              <w:ind w:left="360"/>
              <w:contextualSpacing/>
              <w:jc w:val="both"/>
              <w:rPr>
                <w:rFonts w:ascii="Arial" w:hAnsi="Arial" w:cs="Arial"/>
                <w:sz w:val="20"/>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F436EA" w:rsidRPr="000C5130" w14:paraId="7FA2A203" w14:textId="77777777" w:rsidTr="007B5A37">
              <w:trPr>
                <w:trHeight w:val="359"/>
              </w:trPr>
              <w:tc>
                <w:tcPr>
                  <w:tcW w:w="3668" w:type="dxa"/>
                  <w:shd w:val="clear" w:color="auto" w:fill="D9D9D9" w:themeFill="background1" w:themeFillShade="D9"/>
                </w:tcPr>
                <w:p w14:paraId="72CE8C84" w14:textId="77777777" w:rsidR="00F436EA" w:rsidRPr="000C5130" w:rsidRDefault="00F436EA" w:rsidP="00F436EA">
                  <w:pPr>
                    <w:tabs>
                      <w:tab w:val="left" w:pos="720"/>
                    </w:tabs>
                    <w:jc w:val="center"/>
                    <w:rPr>
                      <w:rFonts w:ascii="Arial" w:hAnsi="Arial" w:cs="Arial"/>
                      <w:b/>
                      <w:sz w:val="20"/>
                    </w:rPr>
                  </w:pPr>
                  <w:r>
                    <w:rPr>
                      <w:rFonts w:ascii="Arial" w:hAnsi="Arial" w:cs="Arial"/>
                      <w:b/>
                      <w:sz w:val="20"/>
                    </w:rPr>
                    <w:t>Skill type / Occupation</w:t>
                  </w:r>
                </w:p>
              </w:tc>
              <w:tc>
                <w:tcPr>
                  <w:tcW w:w="1674" w:type="dxa"/>
                  <w:shd w:val="clear" w:color="auto" w:fill="D9D9D9" w:themeFill="background1" w:themeFillShade="D9"/>
                </w:tcPr>
                <w:p w14:paraId="78F19BFC" w14:textId="77777777" w:rsidR="00F436EA" w:rsidRDefault="00F436EA" w:rsidP="00F436EA">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67FA1273" w14:textId="77777777" w:rsidR="00F436EA" w:rsidRPr="000C5130" w:rsidRDefault="00F436EA" w:rsidP="00F436EA">
                  <w:pPr>
                    <w:tabs>
                      <w:tab w:val="left" w:pos="720"/>
                    </w:tabs>
                    <w:jc w:val="center"/>
                    <w:rPr>
                      <w:rFonts w:ascii="Arial" w:hAnsi="Arial" w:cs="Arial"/>
                      <w:b/>
                      <w:sz w:val="20"/>
                    </w:rPr>
                  </w:pPr>
                  <w:r>
                    <w:rPr>
                      <w:rFonts w:ascii="Arial" w:hAnsi="Arial" w:cs="Arial"/>
                      <w:b/>
                      <w:sz w:val="20"/>
                    </w:rPr>
                    <w:t>Proposed Number of Candidates</w:t>
                  </w:r>
                </w:p>
              </w:tc>
            </w:tr>
            <w:tr w:rsidR="00F436EA" w:rsidRPr="000C5130" w14:paraId="05B8F048" w14:textId="77777777" w:rsidTr="007B5A37">
              <w:trPr>
                <w:trHeight w:val="359"/>
              </w:trPr>
              <w:tc>
                <w:tcPr>
                  <w:tcW w:w="3668" w:type="dxa"/>
                  <w:shd w:val="clear" w:color="auto" w:fill="auto"/>
                </w:tcPr>
                <w:p w14:paraId="1D2E3DEF" w14:textId="77777777" w:rsidR="00F436EA" w:rsidRDefault="00F436EA" w:rsidP="00F436EA">
                  <w:pPr>
                    <w:spacing w:line="276" w:lineRule="auto"/>
                    <w:rPr>
                      <w:rFonts w:ascii="Arial" w:hAnsi="Arial" w:cs="Arial"/>
                      <w:sz w:val="20"/>
                    </w:rPr>
                  </w:pPr>
                  <w:r w:rsidRPr="00A27597">
                    <w:rPr>
                      <w:rFonts w:ascii="Arial" w:hAnsi="Arial" w:cs="Arial"/>
                      <w:sz w:val="20"/>
                    </w:rPr>
                    <w:t>SQL Developer</w:t>
                  </w:r>
                </w:p>
              </w:tc>
              <w:tc>
                <w:tcPr>
                  <w:tcW w:w="1674" w:type="dxa"/>
                </w:tcPr>
                <w:p w14:paraId="120AC295" w14:textId="77777777" w:rsidR="00F436EA" w:rsidRDefault="00F436EA" w:rsidP="00F436EA">
                  <w:pPr>
                    <w:jc w:val="center"/>
                    <w:rPr>
                      <w:rFonts w:ascii="Arial" w:hAnsi="Arial" w:cs="Arial"/>
                      <w:sz w:val="20"/>
                    </w:rPr>
                  </w:pPr>
                  <w:r>
                    <w:rPr>
                      <w:rFonts w:ascii="Arial" w:hAnsi="Arial" w:cs="Arial"/>
                      <w:sz w:val="20"/>
                    </w:rPr>
                    <w:t>5</w:t>
                  </w:r>
                </w:p>
              </w:tc>
              <w:tc>
                <w:tcPr>
                  <w:tcW w:w="1984" w:type="dxa"/>
                </w:tcPr>
                <w:p w14:paraId="41D78FEB" w14:textId="77777777" w:rsidR="00F436EA" w:rsidRPr="008A3FC8" w:rsidRDefault="00F436EA" w:rsidP="00F436EA">
                  <w:pPr>
                    <w:tabs>
                      <w:tab w:val="left" w:pos="720"/>
                    </w:tabs>
                    <w:jc w:val="center"/>
                    <w:rPr>
                      <w:rFonts w:ascii="Arial" w:hAnsi="Arial" w:cs="Arial"/>
                      <w:b/>
                      <w:sz w:val="20"/>
                    </w:rPr>
                  </w:pPr>
                </w:p>
              </w:tc>
            </w:tr>
            <w:tr w:rsidR="00F436EA" w:rsidRPr="000C5130" w14:paraId="0BB2B0A2" w14:textId="77777777" w:rsidTr="007B5A37">
              <w:trPr>
                <w:trHeight w:val="359"/>
              </w:trPr>
              <w:tc>
                <w:tcPr>
                  <w:tcW w:w="3668" w:type="dxa"/>
                  <w:shd w:val="clear" w:color="auto" w:fill="auto"/>
                </w:tcPr>
                <w:p w14:paraId="22E6BFB1" w14:textId="77777777" w:rsidR="00F436EA" w:rsidRDefault="00F436EA" w:rsidP="00F436EA">
                  <w:pPr>
                    <w:spacing w:line="276" w:lineRule="auto"/>
                    <w:rPr>
                      <w:rFonts w:ascii="Arial" w:hAnsi="Arial" w:cs="Arial"/>
                      <w:sz w:val="20"/>
                    </w:rPr>
                  </w:pPr>
                  <w:r w:rsidRPr="00A27597">
                    <w:rPr>
                      <w:rFonts w:ascii="Arial" w:hAnsi="Arial" w:cs="Arial"/>
                      <w:sz w:val="20"/>
                    </w:rPr>
                    <w:t>SSRS developer</w:t>
                  </w:r>
                </w:p>
              </w:tc>
              <w:tc>
                <w:tcPr>
                  <w:tcW w:w="1674" w:type="dxa"/>
                </w:tcPr>
                <w:p w14:paraId="0954B25C" w14:textId="77777777" w:rsidR="00F436EA" w:rsidRDefault="00F436EA" w:rsidP="00F436EA">
                  <w:pPr>
                    <w:jc w:val="center"/>
                    <w:rPr>
                      <w:rFonts w:ascii="Arial" w:hAnsi="Arial" w:cs="Arial"/>
                      <w:sz w:val="20"/>
                    </w:rPr>
                  </w:pPr>
                  <w:r>
                    <w:rPr>
                      <w:rFonts w:ascii="Arial" w:hAnsi="Arial" w:cs="Arial"/>
                      <w:sz w:val="20"/>
                    </w:rPr>
                    <w:t>5</w:t>
                  </w:r>
                </w:p>
              </w:tc>
              <w:tc>
                <w:tcPr>
                  <w:tcW w:w="1984" w:type="dxa"/>
                </w:tcPr>
                <w:p w14:paraId="114B2AB9" w14:textId="77777777" w:rsidR="00F436EA" w:rsidRPr="008A3FC8" w:rsidRDefault="00F436EA" w:rsidP="00F436EA">
                  <w:pPr>
                    <w:tabs>
                      <w:tab w:val="left" w:pos="720"/>
                    </w:tabs>
                    <w:jc w:val="center"/>
                    <w:rPr>
                      <w:rFonts w:ascii="Arial" w:hAnsi="Arial" w:cs="Arial"/>
                      <w:b/>
                      <w:sz w:val="20"/>
                    </w:rPr>
                  </w:pPr>
                </w:p>
              </w:tc>
            </w:tr>
            <w:tr w:rsidR="00F436EA" w:rsidRPr="000C5130" w14:paraId="53333429" w14:textId="77777777" w:rsidTr="007B5A37">
              <w:trPr>
                <w:trHeight w:val="359"/>
              </w:trPr>
              <w:tc>
                <w:tcPr>
                  <w:tcW w:w="3668" w:type="dxa"/>
                  <w:shd w:val="clear" w:color="auto" w:fill="auto"/>
                </w:tcPr>
                <w:p w14:paraId="612EFDE2" w14:textId="77777777" w:rsidR="00F436EA" w:rsidRPr="00040A8B" w:rsidRDefault="00F436EA" w:rsidP="00F436EA">
                  <w:pPr>
                    <w:spacing w:line="276" w:lineRule="auto"/>
                    <w:rPr>
                      <w:rFonts w:ascii="Arial" w:hAnsi="Arial" w:cs="Arial"/>
                      <w:sz w:val="20"/>
                    </w:rPr>
                  </w:pPr>
                  <w:r>
                    <w:rPr>
                      <w:rFonts w:ascii="Arial" w:hAnsi="Arial" w:cs="Arial"/>
                      <w:sz w:val="20"/>
                    </w:rPr>
                    <w:t>CompTIA security+</w:t>
                  </w:r>
                </w:p>
              </w:tc>
              <w:tc>
                <w:tcPr>
                  <w:tcW w:w="1674" w:type="dxa"/>
                </w:tcPr>
                <w:p w14:paraId="62CEA86E" w14:textId="77777777" w:rsidR="00F436EA" w:rsidRDefault="00F436EA" w:rsidP="00F436EA">
                  <w:pPr>
                    <w:jc w:val="center"/>
                    <w:rPr>
                      <w:rFonts w:ascii="Arial" w:hAnsi="Arial" w:cs="Arial"/>
                      <w:sz w:val="20"/>
                    </w:rPr>
                  </w:pPr>
                  <w:r>
                    <w:rPr>
                      <w:rFonts w:ascii="Arial" w:hAnsi="Arial" w:cs="Arial"/>
                      <w:sz w:val="20"/>
                    </w:rPr>
                    <w:t>10</w:t>
                  </w:r>
                </w:p>
              </w:tc>
              <w:tc>
                <w:tcPr>
                  <w:tcW w:w="1984" w:type="dxa"/>
                </w:tcPr>
                <w:p w14:paraId="2D20824B" w14:textId="77777777" w:rsidR="00F436EA" w:rsidRPr="008A3FC8" w:rsidRDefault="00F436EA" w:rsidP="00F436EA">
                  <w:pPr>
                    <w:tabs>
                      <w:tab w:val="left" w:pos="720"/>
                    </w:tabs>
                    <w:jc w:val="center"/>
                    <w:rPr>
                      <w:rFonts w:ascii="Arial" w:hAnsi="Arial" w:cs="Arial"/>
                      <w:b/>
                      <w:sz w:val="20"/>
                    </w:rPr>
                  </w:pPr>
                </w:p>
              </w:tc>
            </w:tr>
            <w:tr w:rsidR="00F436EA" w:rsidRPr="000C5130" w14:paraId="72177F18" w14:textId="77777777" w:rsidTr="007B5A37">
              <w:trPr>
                <w:trHeight w:val="359"/>
              </w:trPr>
              <w:tc>
                <w:tcPr>
                  <w:tcW w:w="3668" w:type="dxa"/>
                  <w:shd w:val="clear" w:color="auto" w:fill="auto"/>
                </w:tcPr>
                <w:p w14:paraId="6E64FC95" w14:textId="77777777" w:rsidR="00F436EA" w:rsidRDefault="00F436EA" w:rsidP="00F436EA">
                  <w:pPr>
                    <w:spacing w:line="276" w:lineRule="auto"/>
                    <w:rPr>
                      <w:rFonts w:ascii="Arial" w:hAnsi="Arial" w:cs="Arial"/>
                      <w:sz w:val="20"/>
                    </w:rPr>
                  </w:pPr>
                  <w:r>
                    <w:rPr>
                      <w:rFonts w:ascii="Arial" w:hAnsi="Arial" w:cs="Arial"/>
                      <w:sz w:val="20"/>
                    </w:rPr>
                    <w:t>Certified DevOps engineer</w:t>
                  </w:r>
                </w:p>
              </w:tc>
              <w:tc>
                <w:tcPr>
                  <w:tcW w:w="1674" w:type="dxa"/>
                </w:tcPr>
                <w:p w14:paraId="333ACB5A" w14:textId="77777777" w:rsidR="00F436EA" w:rsidRDefault="00F436EA" w:rsidP="00F436EA">
                  <w:pPr>
                    <w:jc w:val="center"/>
                    <w:rPr>
                      <w:rFonts w:ascii="Arial" w:hAnsi="Arial" w:cs="Arial"/>
                      <w:sz w:val="20"/>
                    </w:rPr>
                  </w:pPr>
                  <w:r>
                    <w:rPr>
                      <w:rFonts w:ascii="Arial" w:hAnsi="Arial" w:cs="Arial"/>
                      <w:sz w:val="20"/>
                    </w:rPr>
                    <w:t>5</w:t>
                  </w:r>
                </w:p>
              </w:tc>
              <w:tc>
                <w:tcPr>
                  <w:tcW w:w="1984" w:type="dxa"/>
                </w:tcPr>
                <w:p w14:paraId="719812D6" w14:textId="77777777" w:rsidR="00F436EA" w:rsidRPr="008A3FC8" w:rsidRDefault="00F436EA" w:rsidP="00F436EA">
                  <w:pPr>
                    <w:tabs>
                      <w:tab w:val="left" w:pos="720"/>
                    </w:tabs>
                    <w:jc w:val="center"/>
                    <w:rPr>
                      <w:rFonts w:ascii="Arial" w:hAnsi="Arial" w:cs="Arial"/>
                      <w:b/>
                      <w:sz w:val="20"/>
                    </w:rPr>
                  </w:pPr>
                </w:p>
              </w:tc>
            </w:tr>
            <w:tr w:rsidR="00F436EA" w:rsidRPr="000C5130" w14:paraId="69942280" w14:textId="77777777" w:rsidTr="007B5A37">
              <w:trPr>
                <w:trHeight w:val="359"/>
              </w:trPr>
              <w:tc>
                <w:tcPr>
                  <w:tcW w:w="3668" w:type="dxa"/>
                  <w:shd w:val="clear" w:color="auto" w:fill="auto"/>
                </w:tcPr>
                <w:p w14:paraId="0A73B688" w14:textId="77777777" w:rsidR="00F436EA" w:rsidRPr="00A27597" w:rsidRDefault="00F436EA" w:rsidP="00F436EA">
                  <w:pPr>
                    <w:spacing w:line="276" w:lineRule="auto"/>
                    <w:rPr>
                      <w:rFonts w:ascii="Arial" w:hAnsi="Arial" w:cs="Arial"/>
                      <w:sz w:val="20"/>
                    </w:rPr>
                  </w:pPr>
                  <w:r w:rsidRPr="00040A8B">
                    <w:rPr>
                      <w:rFonts w:ascii="Arial" w:hAnsi="Arial" w:cs="Arial"/>
                      <w:sz w:val="20"/>
                    </w:rPr>
                    <w:t>Microsoft Certified: Azure Database Administrator Associate</w:t>
                  </w:r>
                </w:p>
              </w:tc>
              <w:tc>
                <w:tcPr>
                  <w:tcW w:w="1674" w:type="dxa"/>
                </w:tcPr>
                <w:p w14:paraId="142E27CC" w14:textId="77777777" w:rsidR="00F436EA" w:rsidRDefault="00F436EA" w:rsidP="00F436EA">
                  <w:pPr>
                    <w:jc w:val="center"/>
                    <w:rPr>
                      <w:rFonts w:ascii="Arial" w:hAnsi="Arial" w:cs="Arial"/>
                      <w:sz w:val="20"/>
                    </w:rPr>
                  </w:pPr>
                  <w:r>
                    <w:rPr>
                      <w:rFonts w:ascii="Arial" w:hAnsi="Arial" w:cs="Arial"/>
                      <w:sz w:val="20"/>
                    </w:rPr>
                    <w:t>10</w:t>
                  </w:r>
                </w:p>
              </w:tc>
              <w:tc>
                <w:tcPr>
                  <w:tcW w:w="1984" w:type="dxa"/>
                </w:tcPr>
                <w:p w14:paraId="49B96CEA" w14:textId="77777777" w:rsidR="00F436EA" w:rsidRPr="008A3FC8" w:rsidRDefault="00F436EA" w:rsidP="00F436EA">
                  <w:pPr>
                    <w:tabs>
                      <w:tab w:val="left" w:pos="720"/>
                    </w:tabs>
                    <w:jc w:val="center"/>
                    <w:rPr>
                      <w:rFonts w:ascii="Arial" w:hAnsi="Arial" w:cs="Arial"/>
                      <w:b/>
                      <w:sz w:val="20"/>
                    </w:rPr>
                  </w:pPr>
                </w:p>
              </w:tc>
            </w:tr>
            <w:tr w:rsidR="00F436EA" w:rsidRPr="000C5130" w14:paraId="0D1B6955" w14:textId="77777777" w:rsidTr="007B5A37">
              <w:trPr>
                <w:trHeight w:val="359"/>
              </w:trPr>
              <w:tc>
                <w:tcPr>
                  <w:tcW w:w="3668" w:type="dxa"/>
                  <w:shd w:val="clear" w:color="auto" w:fill="auto"/>
                </w:tcPr>
                <w:p w14:paraId="72FC6C01" w14:textId="77777777" w:rsidR="00F436EA" w:rsidRPr="00040A8B" w:rsidRDefault="00F436EA" w:rsidP="00F436EA">
                  <w:pPr>
                    <w:spacing w:line="276" w:lineRule="auto"/>
                    <w:rPr>
                      <w:rFonts w:ascii="Arial" w:hAnsi="Arial" w:cs="Arial"/>
                      <w:sz w:val="20"/>
                    </w:rPr>
                  </w:pPr>
                  <w:r>
                    <w:rPr>
                      <w:rFonts w:ascii="Arial" w:hAnsi="Arial" w:cs="Arial"/>
                      <w:sz w:val="20"/>
                    </w:rPr>
                    <w:t xml:space="preserve">Certified </w:t>
                  </w:r>
                  <w:r w:rsidRPr="00AE2929">
                    <w:rPr>
                      <w:rFonts w:ascii="Arial" w:hAnsi="Arial" w:cs="Arial"/>
                      <w:sz w:val="20"/>
                    </w:rPr>
                    <w:t xml:space="preserve">API Security Architect </w:t>
                  </w:r>
                </w:p>
              </w:tc>
              <w:tc>
                <w:tcPr>
                  <w:tcW w:w="1674" w:type="dxa"/>
                </w:tcPr>
                <w:p w14:paraId="58C84498" w14:textId="77777777" w:rsidR="00F436EA" w:rsidRDefault="00F436EA" w:rsidP="00F436EA">
                  <w:pPr>
                    <w:jc w:val="center"/>
                    <w:rPr>
                      <w:rFonts w:ascii="Arial" w:hAnsi="Arial" w:cs="Arial"/>
                      <w:sz w:val="20"/>
                    </w:rPr>
                  </w:pPr>
                  <w:r>
                    <w:rPr>
                      <w:rFonts w:ascii="Arial" w:hAnsi="Arial" w:cs="Arial"/>
                      <w:sz w:val="20"/>
                    </w:rPr>
                    <w:t>5</w:t>
                  </w:r>
                </w:p>
              </w:tc>
              <w:tc>
                <w:tcPr>
                  <w:tcW w:w="1984" w:type="dxa"/>
                </w:tcPr>
                <w:p w14:paraId="15FC5A28" w14:textId="77777777" w:rsidR="00F436EA" w:rsidRPr="008A3FC8" w:rsidRDefault="00F436EA" w:rsidP="00F436EA">
                  <w:pPr>
                    <w:tabs>
                      <w:tab w:val="left" w:pos="720"/>
                    </w:tabs>
                    <w:jc w:val="center"/>
                    <w:rPr>
                      <w:rFonts w:ascii="Arial" w:hAnsi="Arial" w:cs="Arial"/>
                      <w:b/>
                      <w:sz w:val="20"/>
                    </w:rPr>
                  </w:pPr>
                </w:p>
              </w:tc>
            </w:tr>
          </w:tbl>
          <w:p w14:paraId="6FA48937" w14:textId="77777777" w:rsidR="00F436EA" w:rsidRPr="007328B8" w:rsidRDefault="00F436EA" w:rsidP="00F436EA">
            <w:pPr>
              <w:spacing w:after="200" w:line="360" w:lineRule="auto"/>
              <w:ind w:left="360"/>
              <w:contextualSpacing/>
              <w:jc w:val="both"/>
              <w:rPr>
                <w:rFonts w:ascii="Arial" w:hAnsi="Arial" w:cs="Arial"/>
                <w:sz w:val="20"/>
                <w:lang w:val="en-ZA"/>
              </w:rPr>
            </w:pPr>
          </w:p>
          <w:p w14:paraId="1630EAAF" w14:textId="77777777" w:rsidR="00F436EA" w:rsidRPr="007328B8" w:rsidRDefault="00F436EA" w:rsidP="00F436EA">
            <w:pPr>
              <w:spacing w:after="200" w:line="360" w:lineRule="auto"/>
              <w:ind w:left="360"/>
              <w:contextualSpacing/>
              <w:jc w:val="both"/>
              <w:rPr>
                <w:rFonts w:ascii="Arial" w:hAnsi="Arial" w:cs="Arial"/>
                <w:sz w:val="20"/>
                <w:lang w:val="en-ZA"/>
              </w:rPr>
            </w:pPr>
            <w:r w:rsidRPr="007328B8">
              <w:rPr>
                <w:rFonts w:ascii="Arial" w:hAnsi="Arial" w:cs="Arial"/>
                <w:sz w:val="20"/>
                <w:lang w:val="en-ZA"/>
              </w:rPr>
              <w:t>The process of developing these skills shall involve the participation by tenderers directly and through their supply network.  In certain cases, the SETA’s accredited training providers can be approached to participate in developing critical and scarce skills.</w:t>
            </w:r>
          </w:p>
          <w:p w14:paraId="6DA7FE08" w14:textId="77777777" w:rsidR="00F436EA" w:rsidRPr="007328B8" w:rsidRDefault="00F436EA" w:rsidP="00F436EA">
            <w:pPr>
              <w:spacing w:after="200" w:line="360" w:lineRule="auto"/>
              <w:ind w:left="360"/>
              <w:contextualSpacing/>
              <w:jc w:val="both"/>
              <w:rPr>
                <w:rFonts w:ascii="Arial" w:hAnsi="Arial" w:cs="Arial"/>
                <w:sz w:val="20"/>
                <w:lang w:val="en-ZA"/>
              </w:rPr>
            </w:pPr>
          </w:p>
          <w:p w14:paraId="71443C5C" w14:textId="60C97D87" w:rsidR="00F436EA" w:rsidRPr="000C5130" w:rsidRDefault="00F436EA" w:rsidP="00F436EA">
            <w:pPr>
              <w:spacing w:after="200" w:line="360" w:lineRule="auto"/>
              <w:ind w:left="360"/>
              <w:contextualSpacing/>
              <w:jc w:val="both"/>
              <w:rPr>
                <w:rFonts w:ascii="Arial" w:hAnsi="Arial" w:cs="Arial"/>
                <w:sz w:val="20"/>
              </w:rPr>
            </w:pPr>
            <w:r w:rsidRPr="007328B8">
              <w:rPr>
                <w:rFonts w:ascii="Arial" w:hAnsi="Arial" w:cs="Arial"/>
                <w:sz w:val="20"/>
                <w:lang w:val="en-ZA"/>
              </w:rPr>
              <w:t xml:space="preserve">Note: Tenderers are required to take full responsibility for the total cost of developing the requisite skills, and Eskom shall not make any financial contribution towards the fulfilment of this obligation.  Tenderers also are advised to approach their relevant SETAs to access grants, </w:t>
            </w:r>
            <w:proofErr w:type="gramStart"/>
            <w:r w:rsidRPr="007328B8">
              <w:rPr>
                <w:rFonts w:ascii="Arial" w:hAnsi="Arial" w:cs="Arial"/>
                <w:sz w:val="20"/>
                <w:lang w:val="en-ZA"/>
              </w:rPr>
              <w:t>subsidies</w:t>
            </w:r>
            <w:proofErr w:type="gramEnd"/>
            <w:r w:rsidRPr="007328B8">
              <w:rPr>
                <w:rFonts w:ascii="Arial" w:hAnsi="Arial" w:cs="Arial"/>
                <w:sz w:val="20"/>
                <w:lang w:val="en-ZA"/>
              </w:rPr>
              <w:t xml:space="preserve"> and incentives as well as South African Revenue Services for tax rebates that are earmarked for skills development initiatives.</w:t>
            </w:r>
          </w:p>
        </w:tc>
      </w:tr>
    </w:tbl>
    <w:p w14:paraId="2D745BC1" w14:textId="77777777" w:rsidR="00D418F5" w:rsidRDefault="00D418F5" w:rsidP="00EB6A30">
      <w:pPr>
        <w:spacing w:after="120" w:line="276" w:lineRule="auto"/>
        <w:rPr>
          <w:rFonts w:ascii="Arial" w:hAnsi="Arial" w:cs="Arial"/>
          <w:b/>
          <w:sz w:val="22"/>
        </w:rPr>
      </w:pPr>
    </w:p>
    <w:p w14:paraId="14951245" w14:textId="61EDE2DB"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1C6B54">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w:t>
      </w:r>
      <w:r w:rsidR="00A45CFB">
        <w:rPr>
          <w:rFonts w:ascii="Arial" w:hAnsi="Arial" w:cs="Arial"/>
          <w:b/>
          <w:sz w:val="22"/>
        </w:rPr>
        <w:t>Retention</w:t>
      </w:r>
      <w:r w:rsidR="00733FE1" w:rsidRPr="00506A41">
        <w:rPr>
          <w:rFonts w:ascii="Arial" w:hAnsi="Arial" w:cs="Arial"/>
          <w:b/>
          <w:sz w:val="22"/>
        </w:rPr>
        <w:t xml:space="preserve"> and Performance Security</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00"/>
      </w:tblGrid>
      <w:tr w:rsidR="00A45CFB" w:rsidRPr="007C175A" w14:paraId="702C89FF" w14:textId="77777777" w:rsidTr="007B5A37">
        <w:trPr>
          <w:trHeight w:val="459"/>
        </w:trPr>
        <w:tc>
          <w:tcPr>
            <w:tcW w:w="9000" w:type="dxa"/>
            <w:shd w:val="clear" w:color="auto" w:fill="000000"/>
          </w:tcPr>
          <w:p w14:paraId="2C8E7508" w14:textId="77777777" w:rsidR="00A45CFB" w:rsidRPr="007C175A" w:rsidRDefault="00A45CFB" w:rsidP="007B5A37">
            <w:pPr>
              <w:spacing w:after="120" w:line="276" w:lineRule="auto"/>
              <w:jc w:val="both"/>
              <w:rPr>
                <w:rFonts w:ascii="Arial" w:hAnsi="Arial" w:cs="Arial"/>
                <w:sz w:val="22"/>
                <w:szCs w:val="22"/>
                <w:lang w:val="en-ZA"/>
              </w:rPr>
            </w:pPr>
            <w:bookmarkStart w:id="2" w:name="_Hlk179816628"/>
            <w:r w:rsidRPr="007C175A">
              <w:rPr>
                <w:rFonts w:ascii="Arial" w:hAnsi="Arial" w:cs="Arial"/>
                <w:sz w:val="22"/>
                <w:szCs w:val="22"/>
                <w:lang w:val="en-ZA"/>
              </w:rPr>
              <w:t xml:space="preserve">Eskom will apply a </w:t>
            </w:r>
            <w:r>
              <w:rPr>
                <w:rFonts w:ascii="Arial" w:hAnsi="Arial" w:cs="Arial"/>
                <w:sz w:val="22"/>
                <w:szCs w:val="22"/>
                <w:lang w:val="en-ZA"/>
              </w:rPr>
              <w:t xml:space="preserve">retention </w:t>
            </w:r>
            <w:r w:rsidRPr="007C175A">
              <w:rPr>
                <w:rFonts w:ascii="Arial" w:hAnsi="Arial" w:cs="Arial"/>
                <w:sz w:val="22"/>
                <w:szCs w:val="22"/>
                <w:lang w:val="en-ZA"/>
              </w:rPr>
              <w:t>of 2.5% of the invoice amount for failure to meet SDL&amp;I obligations.</w:t>
            </w:r>
          </w:p>
        </w:tc>
      </w:tr>
      <w:tr w:rsidR="00A45CFB" w:rsidRPr="007C175A" w14:paraId="24D7981F" w14:textId="77777777" w:rsidTr="007B5A37">
        <w:trPr>
          <w:trHeight w:val="819"/>
        </w:trPr>
        <w:tc>
          <w:tcPr>
            <w:tcW w:w="9000" w:type="dxa"/>
            <w:shd w:val="clear" w:color="auto" w:fill="auto"/>
          </w:tcPr>
          <w:p w14:paraId="77B6F086" w14:textId="77777777" w:rsidR="00A45CFB" w:rsidRPr="00F57C68" w:rsidRDefault="00A45CFB" w:rsidP="007B5A37">
            <w:pPr>
              <w:spacing w:line="360" w:lineRule="auto"/>
              <w:jc w:val="both"/>
              <w:rPr>
                <w:rFonts w:ascii="Arial" w:hAnsi="Arial" w:cs="Arial"/>
                <w:sz w:val="20"/>
              </w:rPr>
            </w:pPr>
            <w:bookmarkStart w:id="3" w:name="_Hlk178580693"/>
            <w:r w:rsidRPr="00F57C68">
              <w:rPr>
                <w:rFonts w:ascii="Arial" w:hAnsi="Arial" w:cs="Arial"/>
                <w:sz w:val="20"/>
              </w:rPr>
              <w:t>As security for the fulfilment of SDL&amp;I obligations, Eskom will apply a retention of 2.5% on every invoice amount (excluding VAT) for failure to submit SDL&amp;I performance reports every quarter; or failure to meet the SDL&amp;I obligations in this contract. The retained amounts shall only be released to the contractor upon:</w:t>
            </w:r>
          </w:p>
          <w:p w14:paraId="40362C4E" w14:textId="77777777" w:rsidR="00A45CFB" w:rsidRPr="00F57C68" w:rsidRDefault="00A45CFB" w:rsidP="007B5A37">
            <w:pPr>
              <w:pStyle w:val="ListParagraph"/>
              <w:numPr>
                <w:ilvl w:val="0"/>
                <w:numId w:val="45"/>
              </w:numPr>
              <w:spacing w:line="360" w:lineRule="auto"/>
              <w:jc w:val="both"/>
              <w:rPr>
                <w:rFonts w:ascii="Arial" w:hAnsi="Arial" w:cs="Arial"/>
                <w:sz w:val="20"/>
              </w:rPr>
            </w:pPr>
            <w:r w:rsidRPr="00F57C68">
              <w:rPr>
                <w:rFonts w:ascii="Arial" w:hAnsi="Arial" w:cs="Arial"/>
                <w:sz w:val="20"/>
              </w:rPr>
              <w:t>The tenderer will be expected to submit their performance reports on a quarterly basis towards SDL&amp;I obligations.</w:t>
            </w:r>
          </w:p>
          <w:p w14:paraId="794E8E44" w14:textId="77777777" w:rsidR="00A45CFB" w:rsidRPr="00F57C68" w:rsidRDefault="00A45CFB" w:rsidP="007B5A37">
            <w:pPr>
              <w:pStyle w:val="ListParagraph"/>
              <w:numPr>
                <w:ilvl w:val="0"/>
                <w:numId w:val="45"/>
              </w:numPr>
              <w:spacing w:line="360" w:lineRule="auto"/>
              <w:jc w:val="both"/>
              <w:rPr>
                <w:rFonts w:ascii="Arial" w:hAnsi="Arial" w:cs="Arial"/>
                <w:sz w:val="20"/>
              </w:rPr>
            </w:pPr>
            <w:r w:rsidRPr="00F57C68">
              <w:rPr>
                <w:rFonts w:ascii="Arial" w:hAnsi="Arial" w:cs="Arial"/>
                <w:sz w:val="20"/>
              </w:rPr>
              <w:t xml:space="preserve">SDL&amp;I will assess the submitted performance report against the Implementation plan then issue a compliance report. </w:t>
            </w:r>
          </w:p>
          <w:p w14:paraId="55B4B00D" w14:textId="77777777" w:rsidR="00A45CFB" w:rsidRPr="00F57C68" w:rsidRDefault="00A45CFB" w:rsidP="007B5A37">
            <w:pPr>
              <w:pStyle w:val="ListParagraph"/>
              <w:numPr>
                <w:ilvl w:val="0"/>
                <w:numId w:val="45"/>
              </w:numPr>
              <w:spacing w:line="360" w:lineRule="auto"/>
              <w:jc w:val="both"/>
              <w:rPr>
                <w:rFonts w:ascii="Arial" w:hAnsi="Arial" w:cs="Arial"/>
                <w:sz w:val="20"/>
              </w:rPr>
            </w:pPr>
            <w:r w:rsidRPr="00F57C68">
              <w:rPr>
                <w:rFonts w:ascii="Arial" w:hAnsi="Arial" w:cs="Arial"/>
                <w:sz w:val="20"/>
              </w:rPr>
              <w:t>Should the report yield non-compliance results, Eskom will retain the</w:t>
            </w:r>
            <w:r>
              <w:rPr>
                <w:rFonts w:ascii="Arial" w:hAnsi="Arial" w:cs="Arial"/>
                <w:sz w:val="20"/>
              </w:rPr>
              <w:t xml:space="preserve"> </w:t>
            </w:r>
            <w:r w:rsidRPr="00F57C68">
              <w:rPr>
                <w:rFonts w:ascii="Arial" w:hAnsi="Arial" w:cs="Arial"/>
                <w:sz w:val="20"/>
              </w:rPr>
              <w:t>2.5%</w:t>
            </w:r>
            <w:r>
              <w:rPr>
                <w:rFonts w:ascii="Arial" w:hAnsi="Arial" w:cs="Arial"/>
                <w:sz w:val="20"/>
              </w:rPr>
              <w:t xml:space="preserve"> of the invoice amount</w:t>
            </w:r>
            <w:r w:rsidRPr="00F57C68">
              <w:rPr>
                <w:rFonts w:ascii="Arial" w:hAnsi="Arial" w:cs="Arial"/>
                <w:sz w:val="20"/>
              </w:rPr>
              <w:t>.</w:t>
            </w:r>
          </w:p>
          <w:p w14:paraId="0FD2CB8D" w14:textId="77777777" w:rsidR="00A45CFB" w:rsidRPr="00F57C68" w:rsidRDefault="00A45CFB" w:rsidP="007B5A37">
            <w:pPr>
              <w:pStyle w:val="ListParagraph"/>
              <w:numPr>
                <w:ilvl w:val="0"/>
                <w:numId w:val="45"/>
              </w:numPr>
              <w:spacing w:line="360" w:lineRule="auto"/>
              <w:jc w:val="both"/>
              <w:rPr>
                <w:rFonts w:ascii="Arial" w:hAnsi="Arial" w:cs="Arial"/>
                <w:sz w:val="20"/>
              </w:rPr>
            </w:pPr>
            <w:r w:rsidRPr="00F57C68">
              <w:rPr>
                <w:rFonts w:ascii="Arial" w:hAnsi="Arial" w:cs="Arial"/>
                <w:sz w:val="20"/>
              </w:rPr>
              <w:t>Should the compliance results be positive, Eskom will release the retained funds to the tenderer.</w:t>
            </w:r>
          </w:p>
        </w:tc>
      </w:tr>
      <w:bookmarkEnd w:id="2"/>
      <w:bookmarkEnd w:id="3"/>
    </w:tbl>
    <w:p w14:paraId="6AD14C4B" w14:textId="7A68D9AC" w:rsidR="00B84E16" w:rsidRDefault="00B84E16" w:rsidP="00C7656D">
      <w:pPr>
        <w:spacing w:after="200" w:line="276" w:lineRule="auto"/>
        <w:rPr>
          <w:rFonts w:ascii="Arial" w:hAnsi="Arial" w:cs="Arial"/>
          <w:b/>
          <w:sz w:val="22"/>
        </w:rPr>
      </w:pPr>
    </w:p>
    <w:p w14:paraId="35DAD45A" w14:textId="50FBDC19"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 xml:space="preserve">ction </w:t>
      </w:r>
      <w:r w:rsidR="001C6B54">
        <w:rPr>
          <w:rFonts w:ascii="Arial" w:hAnsi="Arial" w:cs="Arial"/>
          <w:b/>
          <w:sz w:val="22"/>
        </w:rPr>
        <w:t>5</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75644">
        <w:trPr>
          <w:trHeight w:val="1395"/>
        </w:trPr>
        <w:tc>
          <w:tcPr>
            <w:tcW w:w="9050" w:type="dxa"/>
            <w:shd w:val="clear" w:color="auto" w:fill="DDD9C3" w:themeFill="background2" w:themeFillShade="E6"/>
          </w:tcPr>
          <w:p w14:paraId="3F64373D" w14:textId="6F1A7A7F" w:rsidR="00990864" w:rsidRPr="00CB3564" w:rsidRDefault="00990864" w:rsidP="00755F90">
            <w:pPr>
              <w:pStyle w:val="ListParagraph"/>
              <w:numPr>
                <w:ilvl w:val="0"/>
                <w:numId w:val="25"/>
              </w:numPr>
              <w:spacing w:after="200" w:line="276" w:lineRule="auto"/>
              <w:ind w:left="314" w:hanging="218"/>
              <w:jc w:val="both"/>
              <w:rPr>
                <w:rFonts w:ascii="Arial" w:eastAsia="Calibri" w:hAnsi="Arial" w:cs="Arial"/>
                <w:sz w:val="20"/>
                <w:lang w:val="en-GB"/>
              </w:rPr>
            </w:pPr>
            <w:bookmarkStart w:id="4"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4"/>
          </w:p>
          <w:p w14:paraId="081854E5" w14:textId="77777777" w:rsidR="00CB3564" w:rsidRPr="00337B1F" w:rsidRDefault="00CB3564" w:rsidP="00755F90">
            <w:pPr>
              <w:pStyle w:val="ListParagraph"/>
              <w:numPr>
                <w:ilvl w:val="0"/>
                <w:numId w:val="25"/>
              </w:numPr>
              <w:spacing w:after="200" w:line="276" w:lineRule="auto"/>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755F90">
            <w:pPr>
              <w:pStyle w:val="ListParagraph"/>
              <w:numPr>
                <w:ilvl w:val="0"/>
                <w:numId w:val="25"/>
              </w:numPr>
              <w:spacing w:after="200" w:line="276" w:lineRule="auto"/>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175644" w:rsidRDefault="00CB3564" w:rsidP="00755F90">
            <w:pPr>
              <w:pStyle w:val="ListParagraph"/>
              <w:numPr>
                <w:ilvl w:val="0"/>
                <w:numId w:val="25"/>
              </w:numPr>
              <w:spacing w:after="200" w:line="276" w:lineRule="auto"/>
              <w:ind w:left="314" w:hanging="218"/>
              <w:jc w:val="both"/>
              <w:rPr>
                <w:rFonts w:ascii="Arial" w:eastAsia="Calibri" w:hAnsi="Arial" w:cs="Arial"/>
                <w:sz w:val="16"/>
                <w:szCs w:val="22"/>
                <w:lang w:val="en-ZA"/>
              </w:rPr>
            </w:pPr>
            <w:r w:rsidRPr="00337B1F">
              <w:rPr>
                <w:rFonts w:ascii="Arial" w:eastAsia="Calibri" w:hAnsi="Arial" w:cs="Arial"/>
                <w:sz w:val="20"/>
                <w:lang w:val="en-ZA"/>
              </w:rPr>
              <w:t xml:space="preserve">Every contract shall be accompanied by the SDL&amp;I Implementation Schedule, which must be completed by the suppliers and returned to SDL&amp;I representative for acceptance 28 days after contract award. This will be used as a reference document for monitoring, </w:t>
            </w:r>
            <w:proofErr w:type="gramStart"/>
            <w:r w:rsidRPr="00337B1F">
              <w:rPr>
                <w:rFonts w:ascii="Arial" w:eastAsia="Calibri" w:hAnsi="Arial" w:cs="Arial"/>
                <w:sz w:val="20"/>
                <w:lang w:val="en-ZA"/>
              </w:rPr>
              <w:t>measuring</w:t>
            </w:r>
            <w:proofErr w:type="gramEnd"/>
            <w:r w:rsidRPr="00337B1F">
              <w:rPr>
                <w:rFonts w:ascii="Arial" w:eastAsia="Calibri" w:hAnsi="Arial" w:cs="Arial"/>
                <w:sz w:val="20"/>
                <w:lang w:val="en-ZA"/>
              </w:rPr>
              <w:t xml:space="preserve"> and reporting on the supplier’s progress in delivering on their stated SDL&amp;I commitments</w:t>
            </w:r>
          </w:p>
        </w:tc>
      </w:tr>
    </w:tbl>
    <w:p w14:paraId="5C6D2EAA" w14:textId="12E4988C"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w:t>
      </w:r>
      <w:r w:rsidR="001C6B54">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09590270" w14:textId="3F30934E" w:rsidR="00175644" w:rsidRDefault="00175644" w:rsidP="00304117">
      <w:pPr>
        <w:pBdr>
          <w:bottom w:val="single" w:sz="12" w:space="1" w:color="auto"/>
        </w:pBdr>
        <w:tabs>
          <w:tab w:val="left" w:pos="720"/>
        </w:tabs>
        <w:jc w:val="both"/>
        <w:rPr>
          <w:rFonts w:ascii="Arial" w:hAnsi="Arial" w:cs="Arial"/>
          <w:b/>
          <w:sz w:val="16"/>
          <w:szCs w:val="16"/>
        </w:rPr>
      </w:pPr>
    </w:p>
    <w:tbl>
      <w:tblPr>
        <w:tblStyle w:val="TableGrid"/>
        <w:tblW w:w="14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gridCol w:w="222"/>
        <w:gridCol w:w="222"/>
      </w:tblGrid>
      <w:tr w:rsidR="00637D14" w14:paraId="6E8F1A61" w14:textId="77777777" w:rsidTr="008E2DAC">
        <w:tc>
          <w:tcPr>
            <w:tcW w:w="13740" w:type="dxa"/>
          </w:tcPr>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324D94" w14:paraId="056D584A" w14:textId="77777777" w:rsidTr="00324D94">
              <w:tc>
                <w:tcPr>
                  <w:tcW w:w="4508" w:type="dxa"/>
                </w:tcPr>
                <w:p w14:paraId="6A22F87D" w14:textId="77777777" w:rsidR="00324D94" w:rsidRDefault="00324D94" w:rsidP="00324D94">
                  <w:pPr>
                    <w:tabs>
                      <w:tab w:val="left" w:pos="720"/>
                    </w:tabs>
                    <w:jc w:val="both"/>
                    <w:rPr>
                      <w:rFonts w:ascii="Arial" w:hAnsi="Arial" w:cs="Arial"/>
                      <w:sz w:val="20"/>
                    </w:rPr>
                  </w:pPr>
                </w:p>
                <w:p w14:paraId="5AA3CEAA" w14:textId="77777777" w:rsidR="00324D94" w:rsidRDefault="00324D94" w:rsidP="00324D94">
                  <w:pPr>
                    <w:tabs>
                      <w:tab w:val="left" w:pos="720"/>
                    </w:tabs>
                    <w:jc w:val="both"/>
                    <w:rPr>
                      <w:rFonts w:ascii="Arial" w:hAnsi="Arial" w:cs="Arial"/>
                      <w:sz w:val="20"/>
                    </w:rPr>
                  </w:pPr>
                  <w:r>
                    <w:rPr>
                      <w:rFonts w:ascii="Arial" w:hAnsi="Arial" w:cs="Arial"/>
                      <w:sz w:val="20"/>
                    </w:rPr>
                    <w:t xml:space="preserve">Name of tenderer: </w:t>
                  </w:r>
                </w:p>
              </w:tc>
              <w:tc>
                <w:tcPr>
                  <w:tcW w:w="4508" w:type="dxa"/>
                </w:tcPr>
                <w:p w14:paraId="593C483E" w14:textId="77777777" w:rsidR="00324D94" w:rsidRDefault="00324D94" w:rsidP="00324D94">
                  <w:pPr>
                    <w:tabs>
                      <w:tab w:val="left" w:pos="720"/>
                    </w:tabs>
                    <w:jc w:val="both"/>
                    <w:rPr>
                      <w:rFonts w:ascii="Arial" w:hAnsi="Arial" w:cs="Arial"/>
                      <w:sz w:val="20"/>
                    </w:rPr>
                  </w:pPr>
                </w:p>
              </w:tc>
              <w:tc>
                <w:tcPr>
                  <w:tcW w:w="4508" w:type="dxa"/>
                </w:tcPr>
                <w:p w14:paraId="78AC4F5B" w14:textId="77777777" w:rsidR="00324D94" w:rsidRDefault="00324D94" w:rsidP="00324D94">
                  <w:pPr>
                    <w:tabs>
                      <w:tab w:val="left" w:pos="720"/>
                    </w:tabs>
                    <w:jc w:val="both"/>
                    <w:rPr>
                      <w:rFonts w:ascii="Arial" w:hAnsi="Arial" w:cs="Arial"/>
                      <w:sz w:val="20"/>
                    </w:rPr>
                  </w:pPr>
                </w:p>
              </w:tc>
            </w:tr>
            <w:tr w:rsidR="00324D94" w14:paraId="46DA8B01" w14:textId="77777777" w:rsidTr="00324D94">
              <w:tc>
                <w:tcPr>
                  <w:tcW w:w="4508" w:type="dxa"/>
                </w:tcPr>
                <w:p w14:paraId="4EE0B6AB" w14:textId="77777777" w:rsidR="00324D94" w:rsidRDefault="00324D94" w:rsidP="00324D94">
                  <w:pPr>
                    <w:tabs>
                      <w:tab w:val="left" w:pos="720"/>
                    </w:tabs>
                    <w:jc w:val="both"/>
                    <w:rPr>
                      <w:rFonts w:ascii="Arial" w:hAnsi="Arial" w:cs="Arial"/>
                      <w:sz w:val="20"/>
                    </w:rPr>
                  </w:pPr>
                </w:p>
                <w:p w14:paraId="1DCCA945" w14:textId="77777777" w:rsidR="00324D94" w:rsidRDefault="00324D94" w:rsidP="00324D94">
                  <w:pPr>
                    <w:tabs>
                      <w:tab w:val="left" w:pos="720"/>
                    </w:tabs>
                    <w:jc w:val="both"/>
                    <w:rPr>
                      <w:rFonts w:ascii="Arial" w:hAnsi="Arial" w:cs="Arial"/>
                      <w:sz w:val="20"/>
                    </w:rPr>
                  </w:pPr>
                  <w:r>
                    <w:rPr>
                      <w:rFonts w:ascii="Arial" w:hAnsi="Arial" w:cs="Arial"/>
                      <w:sz w:val="20"/>
                    </w:rPr>
                    <w:t>Tenderer representative:</w:t>
                  </w:r>
                </w:p>
                <w:p w14:paraId="4F868C2A" w14:textId="77777777" w:rsidR="00324D94" w:rsidRDefault="00324D94" w:rsidP="00324D94">
                  <w:pPr>
                    <w:tabs>
                      <w:tab w:val="left" w:pos="720"/>
                    </w:tabs>
                    <w:jc w:val="both"/>
                    <w:rPr>
                      <w:rFonts w:ascii="Arial" w:hAnsi="Arial" w:cs="Arial"/>
                      <w:sz w:val="20"/>
                    </w:rPr>
                  </w:pPr>
                </w:p>
                <w:p w14:paraId="77BC07C3" w14:textId="77777777" w:rsidR="00324D94" w:rsidRDefault="00324D94" w:rsidP="00324D94">
                  <w:pPr>
                    <w:tabs>
                      <w:tab w:val="left" w:pos="720"/>
                    </w:tabs>
                    <w:jc w:val="both"/>
                    <w:rPr>
                      <w:rFonts w:ascii="Arial" w:hAnsi="Arial" w:cs="Arial"/>
                      <w:sz w:val="20"/>
                    </w:rPr>
                  </w:pPr>
                  <w:r>
                    <w:rPr>
                      <w:rFonts w:ascii="Arial" w:hAnsi="Arial" w:cs="Arial"/>
                      <w:sz w:val="20"/>
                    </w:rPr>
                    <w:t>Representative signature:</w:t>
                  </w:r>
                </w:p>
              </w:tc>
              <w:tc>
                <w:tcPr>
                  <w:tcW w:w="4508" w:type="dxa"/>
                </w:tcPr>
                <w:p w14:paraId="0382C23F" w14:textId="77777777" w:rsidR="00324D94" w:rsidRDefault="00324D94" w:rsidP="00324D94">
                  <w:pPr>
                    <w:tabs>
                      <w:tab w:val="left" w:pos="720"/>
                    </w:tabs>
                    <w:jc w:val="both"/>
                    <w:rPr>
                      <w:rFonts w:ascii="Arial" w:hAnsi="Arial" w:cs="Arial"/>
                      <w:sz w:val="20"/>
                    </w:rPr>
                  </w:pPr>
                </w:p>
              </w:tc>
              <w:tc>
                <w:tcPr>
                  <w:tcW w:w="4508" w:type="dxa"/>
                </w:tcPr>
                <w:p w14:paraId="4A62AED9" w14:textId="77777777" w:rsidR="00324D94" w:rsidRDefault="00324D94" w:rsidP="00324D94">
                  <w:pPr>
                    <w:tabs>
                      <w:tab w:val="left" w:pos="720"/>
                    </w:tabs>
                    <w:jc w:val="both"/>
                    <w:rPr>
                      <w:rFonts w:ascii="Arial" w:hAnsi="Arial" w:cs="Arial"/>
                      <w:sz w:val="20"/>
                    </w:rPr>
                  </w:pPr>
                </w:p>
              </w:tc>
            </w:tr>
            <w:tr w:rsidR="00324D94" w14:paraId="38463175" w14:textId="77777777" w:rsidTr="00324D94">
              <w:tc>
                <w:tcPr>
                  <w:tcW w:w="4508" w:type="dxa"/>
                </w:tcPr>
                <w:p w14:paraId="49138CD7" w14:textId="77777777" w:rsidR="00324D94" w:rsidRDefault="00324D94" w:rsidP="00324D94">
                  <w:pPr>
                    <w:tabs>
                      <w:tab w:val="left" w:pos="720"/>
                    </w:tabs>
                    <w:jc w:val="both"/>
                    <w:rPr>
                      <w:rFonts w:ascii="Arial" w:hAnsi="Arial" w:cs="Arial"/>
                      <w:sz w:val="20"/>
                    </w:rPr>
                  </w:pPr>
                </w:p>
              </w:tc>
              <w:tc>
                <w:tcPr>
                  <w:tcW w:w="4508" w:type="dxa"/>
                </w:tcPr>
                <w:p w14:paraId="0E0EE807" w14:textId="77777777" w:rsidR="00324D94" w:rsidRDefault="00324D94" w:rsidP="00324D94">
                  <w:pPr>
                    <w:tabs>
                      <w:tab w:val="left" w:pos="720"/>
                    </w:tabs>
                    <w:jc w:val="both"/>
                    <w:rPr>
                      <w:rFonts w:ascii="Arial" w:hAnsi="Arial" w:cs="Arial"/>
                      <w:sz w:val="20"/>
                    </w:rPr>
                  </w:pPr>
                </w:p>
              </w:tc>
              <w:tc>
                <w:tcPr>
                  <w:tcW w:w="4508" w:type="dxa"/>
                </w:tcPr>
                <w:p w14:paraId="1F0C5C86" w14:textId="77777777" w:rsidR="00324D94" w:rsidRDefault="00324D94" w:rsidP="00324D94">
                  <w:pPr>
                    <w:tabs>
                      <w:tab w:val="left" w:pos="720"/>
                    </w:tabs>
                    <w:jc w:val="both"/>
                    <w:rPr>
                      <w:rFonts w:ascii="Arial" w:hAnsi="Arial" w:cs="Arial"/>
                      <w:sz w:val="20"/>
                    </w:rPr>
                  </w:pPr>
                </w:p>
              </w:tc>
            </w:tr>
            <w:tr w:rsidR="00324D94" w14:paraId="2E883928" w14:textId="77777777" w:rsidTr="00324D94">
              <w:trPr>
                <w:gridAfter w:val="2"/>
                <w:wAfter w:w="9016" w:type="dxa"/>
              </w:trPr>
              <w:tc>
                <w:tcPr>
                  <w:tcW w:w="4508" w:type="dxa"/>
                </w:tcPr>
                <w:p w14:paraId="77E438DB" w14:textId="77777777" w:rsidR="00324D94" w:rsidRDefault="00324D94" w:rsidP="00324D94">
                  <w:pPr>
                    <w:tabs>
                      <w:tab w:val="left" w:pos="720"/>
                    </w:tabs>
                    <w:jc w:val="both"/>
                    <w:rPr>
                      <w:rFonts w:ascii="Arial" w:hAnsi="Arial" w:cs="Arial"/>
                      <w:sz w:val="20"/>
                    </w:rPr>
                  </w:pPr>
                </w:p>
                <w:p w14:paraId="09662438" w14:textId="77777777" w:rsidR="00324D94" w:rsidRDefault="00324D94" w:rsidP="00324D94">
                  <w:pPr>
                    <w:tabs>
                      <w:tab w:val="left" w:pos="720"/>
                    </w:tabs>
                    <w:jc w:val="both"/>
                    <w:rPr>
                      <w:rFonts w:ascii="Arial" w:hAnsi="Arial" w:cs="Arial"/>
                      <w:sz w:val="20"/>
                    </w:rPr>
                  </w:pPr>
                  <w:r>
                    <w:rPr>
                      <w:rFonts w:ascii="Arial" w:hAnsi="Arial" w:cs="Arial"/>
                      <w:sz w:val="20"/>
                    </w:rPr>
                    <w:t xml:space="preserve">Date: </w:t>
                  </w:r>
                </w:p>
              </w:tc>
            </w:tr>
          </w:tbl>
          <w:p w14:paraId="776322B8" w14:textId="5CF155F0" w:rsidR="00637D14" w:rsidRDefault="00637D14" w:rsidP="006E4F88">
            <w:pPr>
              <w:tabs>
                <w:tab w:val="left" w:pos="720"/>
              </w:tabs>
              <w:jc w:val="both"/>
              <w:rPr>
                <w:rFonts w:ascii="Arial" w:hAnsi="Arial" w:cs="Arial"/>
                <w:sz w:val="20"/>
              </w:rPr>
            </w:pPr>
          </w:p>
        </w:tc>
        <w:tc>
          <w:tcPr>
            <w:tcW w:w="222" w:type="dxa"/>
          </w:tcPr>
          <w:p w14:paraId="3137E81A" w14:textId="77777777" w:rsidR="00637D14" w:rsidRDefault="00637D14" w:rsidP="00637D14">
            <w:pPr>
              <w:tabs>
                <w:tab w:val="left" w:pos="720"/>
              </w:tabs>
              <w:jc w:val="both"/>
              <w:rPr>
                <w:rFonts w:ascii="Arial" w:hAnsi="Arial" w:cs="Arial"/>
                <w:sz w:val="20"/>
              </w:rPr>
            </w:pPr>
          </w:p>
        </w:tc>
        <w:tc>
          <w:tcPr>
            <w:tcW w:w="222"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8E2DAC">
        <w:tc>
          <w:tcPr>
            <w:tcW w:w="13740" w:type="dxa"/>
          </w:tcPr>
          <w:p w14:paraId="1D722807" w14:textId="317AAFDB" w:rsidR="00637D14" w:rsidRPr="00AC3774" w:rsidRDefault="00637D14" w:rsidP="00AC3774">
            <w:pPr>
              <w:tabs>
                <w:tab w:val="left" w:pos="720"/>
              </w:tabs>
              <w:jc w:val="both"/>
              <w:rPr>
                <w:rFonts w:ascii="Arial" w:hAnsi="Arial" w:cs="Arial"/>
                <w:sz w:val="20"/>
              </w:rPr>
            </w:pPr>
          </w:p>
        </w:tc>
        <w:tc>
          <w:tcPr>
            <w:tcW w:w="222" w:type="dxa"/>
          </w:tcPr>
          <w:p w14:paraId="3F76471F" w14:textId="77777777" w:rsidR="00637D14" w:rsidRPr="00AC3774" w:rsidRDefault="00637D14" w:rsidP="00637D14">
            <w:pPr>
              <w:tabs>
                <w:tab w:val="left" w:pos="720"/>
              </w:tabs>
              <w:jc w:val="both"/>
              <w:rPr>
                <w:rFonts w:ascii="Arial" w:hAnsi="Arial" w:cs="Arial"/>
                <w:sz w:val="20"/>
              </w:rPr>
            </w:pPr>
          </w:p>
        </w:tc>
        <w:tc>
          <w:tcPr>
            <w:tcW w:w="222" w:type="dxa"/>
          </w:tcPr>
          <w:p w14:paraId="37933B0A"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83BE" w14:textId="77777777" w:rsidR="00721DD8" w:rsidRDefault="00721DD8" w:rsidP="00201A98">
      <w:r>
        <w:separator/>
      </w:r>
    </w:p>
  </w:endnote>
  <w:endnote w:type="continuationSeparator" w:id="0">
    <w:p w14:paraId="519E2A5B" w14:textId="77777777" w:rsidR="00721DD8" w:rsidRDefault="00721DD8"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158ED059"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w:t>
    </w:r>
    <w:r w:rsidR="00FB52CF" w:rsidRPr="00FB52CF">
      <w:rPr>
        <w:rFonts w:ascii="Arial" w:hAnsi="Arial" w:cs="Arial"/>
        <w:sz w:val="16"/>
        <w:szCs w:val="16"/>
      </w:rPr>
      <w:t>6860265</w:t>
    </w:r>
    <w:r w:rsidRPr="00B3212E">
      <w:rPr>
        <w:rFonts w:ascii="Arial" w:hAnsi="Arial" w:cs="Arial"/>
        <w:sz w:val="16"/>
        <w:szCs w:val="16"/>
      </w:rPr>
      <w:t xml:space="preserve"> (Rev </w:t>
    </w:r>
    <w:r w:rsidR="00F316E0">
      <w:rPr>
        <w:rFonts w:ascii="Arial" w:hAnsi="Arial" w:cs="Arial"/>
        <w:sz w:val="16"/>
        <w:szCs w:val="16"/>
      </w:rPr>
      <w:t>1</w:t>
    </w:r>
    <w:r w:rsidRPr="00B3212E">
      <w:rPr>
        <w:rFonts w:ascii="Arial" w:hAnsi="Arial" w:cs="Arial"/>
        <w:sz w:val="16"/>
        <w:szCs w:val="16"/>
      </w:rPr>
      <w:t xml:space="preserve">) </w:t>
    </w:r>
    <w:r w:rsidR="00F316E0" w:rsidRPr="00F316E0">
      <w:rPr>
        <w:rFonts w:ascii="Arial" w:hAnsi="Arial" w:cs="Arial"/>
        <w:sz w:val="16"/>
        <w:szCs w:val="16"/>
      </w:rPr>
      <w:t>SDL&amp;I Strategy Setting Template for Bidders</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EAD0" w14:textId="77777777" w:rsidR="00721DD8" w:rsidRDefault="00721DD8" w:rsidP="00201A98">
      <w:r>
        <w:separator/>
      </w:r>
    </w:p>
  </w:footnote>
  <w:footnote w:type="continuationSeparator" w:id="0">
    <w:p w14:paraId="57C257EE" w14:textId="77777777" w:rsidR="00721DD8" w:rsidRDefault="00721DD8"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C967DA" w:rsidRPr="00116E60" w14:paraId="2C78AF87" w14:textId="77777777" w:rsidTr="00105474">
      <w:trPr>
        <w:cantSplit/>
        <w:trHeight w:val="263"/>
        <w:jc w:val="center"/>
      </w:trPr>
      <w:tc>
        <w:tcPr>
          <w:tcW w:w="2410" w:type="dxa"/>
          <w:vMerge w:val="restart"/>
          <w:vAlign w:val="bottom"/>
        </w:tcPr>
        <w:p w14:paraId="5C0BF010" w14:textId="22F5B4BB" w:rsidR="00C967DA" w:rsidRPr="003914DE" w:rsidRDefault="00D37921" w:rsidP="00C967DA">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18928455" r:id="rId2"/>
            </w:object>
          </w:r>
        </w:p>
      </w:tc>
      <w:tc>
        <w:tcPr>
          <w:tcW w:w="3544" w:type="dxa"/>
          <w:vMerge w:val="restart"/>
          <w:vAlign w:val="center"/>
        </w:tcPr>
        <w:p w14:paraId="51058E85" w14:textId="01276F89" w:rsidR="00C967DA" w:rsidRPr="00CA666C" w:rsidRDefault="00C967DA" w:rsidP="00C967DA">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 for Bidders</w:t>
          </w:r>
        </w:p>
      </w:tc>
      <w:tc>
        <w:tcPr>
          <w:tcW w:w="1795" w:type="dxa"/>
          <w:shd w:val="clear" w:color="auto" w:fill="auto"/>
          <w:vAlign w:val="center"/>
        </w:tcPr>
        <w:p w14:paraId="5D39760E" w14:textId="10E4B5E9" w:rsidR="00C967DA" w:rsidRPr="00105474" w:rsidRDefault="00C967DA" w:rsidP="00C967DA">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1BD39419" w:rsidR="00C967DA" w:rsidRPr="00105474" w:rsidRDefault="0063278E" w:rsidP="00C967DA">
          <w:pPr>
            <w:rPr>
              <w:rFonts w:ascii="Arial" w:hAnsi="Arial"/>
              <w:sz w:val="16"/>
              <w:lang w:val="en-GB"/>
            </w:rPr>
          </w:pPr>
          <w:r>
            <w:rPr>
              <w:rFonts w:ascii="Arial" w:hAnsi="Arial"/>
              <w:sz w:val="16"/>
              <w:lang w:val="en-GB"/>
            </w:rPr>
            <w:t>240-</w:t>
          </w:r>
          <w:r w:rsidR="00FB52CF" w:rsidRPr="00FB52CF">
            <w:rPr>
              <w:rFonts w:ascii="Arial" w:hAnsi="Arial"/>
              <w:sz w:val="16"/>
              <w:lang w:val="en-GB"/>
            </w:rPr>
            <w:t>6860265</w:t>
          </w:r>
        </w:p>
      </w:tc>
      <w:tc>
        <w:tcPr>
          <w:tcW w:w="567" w:type="dxa"/>
          <w:shd w:val="clear" w:color="auto" w:fill="auto"/>
          <w:vAlign w:val="center"/>
        </w:tcPr>
        <w:p w14:paraId="53F8F567" w14:textId="6DCE3201" w:rsidR="00C967DA" w:rsidRPr="00105474" w:rsidRDefault="00C967DA" w:rsidP="00C967DA">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606371FC" w:rsidR="00C967DA" w:rsidRPr="00105474" w:rsidRDefault="0063278E" w:rsidP="00C967DA">
          <w:pPr>
            <w:rPr>
              <w:rFonts w:ascii="Arial" w:hAnsi="Arial"/>
              <w:sz w:val="16"/>
              <w:lang w:val="en-GB"/>
            </w:rPr>
          </w:pPr>
          <w:r>
            <w:rPr>
              <w:rFonts w:ascii="Arial" w:hAnsi="Arial"/>
              <w:sz w:val="16"/>
              <w:lang w:val="en-GB"/>
            </w:rPr>
            <w:t>1</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1E37D528" w:rsidR="00B3212E" w:rsidRPr="00105474" w:rsidRDefault="0063278E"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8C24BD7" w:rsidR="00B3212E" w:rsidRPr="00105474" w:rsidRDefault="0063278E" w:rsidP="00B3212E">
          <w:pPr>
            <w:rPr>
              <w:rFonts w:ascii="Arial" w:hAnsi="Arial"/>
              <w:sz w:val="16"/>
              <w:lang w:val="en-GB"/>
            </w:rPr>
          </w:pPr>
          <w:r>
            <w:rPr>
              <w:rFonts w:ascii="Arial" w:hAnsi="Arial"/>
              <w:sz w:val="16"/>
              <w:lang w:val="en-GB"/>
            </w:rPr>
            <w:t>April</w:t>
          </w:r>
          <w:r w:rsidR="00B3212E" w:rsidRPr="00105474">
            <w:rPr>
              <w:rFonts w:ascii="Arial" w:hAnsi="Arial"/>
              <w:sz w:val="16"/>
              <w:lang w:val="en-GB"/>
            </w:rPr>
            <w:t xml:space="preserve"> 202</w:t>
          </w:r>
          <w:r>
            <w:rPr>
              <w:rFonts w:ascii="Arial" w:hAnsi="Arial"/>
              <w:sz w:val="16"/>
              <w:lang w:val="en-GB"/>
            </w:rPr>
            <w:t>6</w:t>
          </w: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8"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0"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1"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4"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5"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660A4F7D"/>
    <w:multiLevelType w:val="hybridMultilevel"/>
    <w:tmpl w:val="80D61C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0"/>
  </w:num>
  <w:num w:numId="3" w16cid:durableId="1636983690">
    <w:abstractNumId w:val="31"/>
  </w:num>
  <w:num w:numId="4" w16cid:durableId="1049838470">
    <w:abstractNumId w:val="4"/>
  </w:num>
  <w:num w:numId="5" w16cid:durableId="747270413">
    <w:abstractNumId w:val="15"/>
  </w:num>
  <w:num w:numId="6" w16cid:durableId="298614127">
    <w:abstractNumId w:val="19"/>
  </w:num>
  <w:num w:numId="7" w16cid:durableId="886451534">
    <w:abstractNumId w:val="38"/>
  </w:num>
  <w:num w:numId="8" w16cid:durableId="1364016205">
    <w:abstractNumId w:val="7"/>
  </w:num>
  <w:num w:numId="9" w16cid:durableId="501093778">
    <w:abstractNumId w:val="23"/>
  </w:num>
  <w:num w:numId="10" w16cid:durableId="296688292">
    <w:abstractNumId w:val="27"/>
  </w:num>
  <w:num w:numId="11" w16cid:durableId="1367868149">
    <w:abstractNumId w:val="34"/>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29"/>
  </w:num>
  <w:num w:numId="20" w16cid:durableId="160703720">
    <w:abstractNumId w:val="14"/>
  </w:num>
  <w:num w:numId="21" w16cid:durableId="1083262651">
    <w:abstractNumId w:val="25"/>
  </w:num>
  <w:num w:numId="22" w16cid:durableId="594288937">
    <w:abstractNumId w:val="16"/>
  </w:num>
  <w:num w:numId="23" w16cid:durableId="137694747">
    <w:abstractNumId w:val="35"/>
  </w:num>
  <w:num w:numId="24" w16cid:durableId="1635332457">
    <w:abstractNumId w:val="22"/>
  </w:num>
  <w:num w:numId="25" w16cid:durableId="356195997">
    <w:abstractNumId w:val="12"/>
  </w:num>
  <w:num w:numId="26" w16cid:durableId="1068723575">
    <w:abstractNumId w:val="14"/>
  </w:num>
  <w:num w:numId="27" w16cid:durableId="1280183404">
    <w:abstractNumId w:val="42"/>
  </w:num>
  <w:num w:numId="28" w16cid:durableId="391970900">
    <w:abstractNumId w:val="26"/>
  </w:num>
  <w:num w:numId="29" w16cid:durableId="2142724945">
    <w:abstractNumId w:val="6"/>
  </w:num>
  <w:num w:numId="30" w16cid:durableId="1111973304">
    <w:abstractNumId w:val="32"/>
  </w:num>
  <w:num w:numId="31" w16cid:durableId="1998069011">
    <w:abstractNumId w:val="44"/>
  </w:num>
  <w:num w:numId="32" w16cid:durableId="1712143695">
    <w:abstractNumId w:val="40"/>
  </w:num>
  <w:num w:numId="33" w16cid:durableId="778767238">
    <w:abstractNumId w:val="33"/>
  </w:num>
  <w:num w:numId="34" w16cid:durableId="1249457635">
    <w:abstractNumId w:val="43"/>
  </w:num>
  <w:num w:numId="35" w16cid:durableId="1195466582">
    <w:abstractNumId w:val="20"/>
  </w:num>
  <w:num w:numId="36" w16cid:durableId="937130701">
    <w:abstractNumId w:val="41"/>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39"/>
  </w:num>
  <w:num w:numId="41" w16cid:durableId="986789375">
    <w:abstractNumId w:val="5"/>
  </w:num>
  <w:num w:numId="42" w16cid:durableId="733353706">
    <w:abstractNumId w:val="0"/>
  </w:num>
  <w:num w:numId="43" w16cid:durableId="859053093">
    <w:abstractNumId w:val="28"/>
  </w:num>
  <w:num w:numId="44" w16cid:durableId="2065517844">
    <w:abstractNumId w:val="1"/>
  </w:num>
  <w:num w:numId="45" w16cid:durableId="1979189320">
    <w:abstractNumId w:val="37"/>
  </w:num>
  <w:num w:numId="46" w16cid:durableId="2983449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60D8A"/>
    <w:rsid w:val="00067DC9"/>
    <w:rsid w:val="00074C17"/>
    <w:rsid w:val="00077A57"/>
    <w:rsid w:val="0009108C"/>
    <w:rsid w:val="00097047"/>
    <w:rsid w:val="000A01FA"/>
    <w:rsid w:val="000A375C"/>
    <w:rsid w:val="000A386C"/>
    <w:rsid w:val="000A648D"/>
    <w:rsid w:val="000B165C"/>
    <w:rsid w:val="000B28F1"/>
    <w:rsid w:val="000B6B22"/>
    <w:rsid w:val="000B7D6D"/>
    <w:rsid w:val="000C33EB"/>
    <w:rsid w:val="000C6C73"/>
    <w:rsid w:val="000D401F"/>
    <w:rsid w:val="000D4357"/>
    <w:rsid w:val="000E1AB5"/>
    <w:rsid w:val="000F528A"/>
    <w:rsid w:val="001021C1"/>
    <w:rsid w:val="001022DD"/>
    <w:rsid w:val="00105474"/>
    <w:rsid w:val="00111B2E"/>
    <w:rsid w:val="00113DFD"/>
    <w:rsid w:val="00115ECC"/>
    <w:rsid w:val="0011612D"/>
    <w:rsid w:val="00140917"/>
    <w:rsid w:val="001477A3"/>
    <w:rsid w:val="00151F81"/>
    <w:rsid w:val="001521AD"/>
    <w:rsid w:val="00154240"/>
    <w:rsid w:val="00155040"/>
    <w:rsid w:val="00155248"/>
    <w:rsid w:val="001645BF"/>
    <w:rsid w:val="00173BE4"/>
    <w:rsid w:val="00175644"/>
    <w:rsid w:val="001829A7"/>
    <w:rsid w:val="001A1B65"/>
    <w:rsid w:val="001A408A"/>
    <w:rsid w:val="001A57D9"/>
    <w:rsid w:val="001B2323"/>
    <w:rsid w:val="001B3B2A"/>
    <w:rsid w:val="001C599B"/>
    <w:rsid w:val="001C61B6"/>
    <w:rsid w:val="001C6B54"/>
    <w:rsid w:val="001D0409"/>
    <w:rsid w:val="001D042C"/>
    <w:rsid w:val="001D1614"/>
    <w:rsid w:val="001D391D"/>
    <w:rsid w:val="001D3F40"/>
    <w:rsid w:val="001E3CF5"/>
    <w:rsid w:val="001E4F28"/>
    <w:rsid w:val="001E64BB"/>
    <w:rsid w:val="00201A98"/>
    <w:rsid w:val="00203FB8"/>
    <w:rsid w:val="002319CA"/>
    <w:rsid w:val="002341C9"/>
    <w:rsid w:val="00253B8A"/>
    <w:rsid w:val="002632AA"/>
    <w:rsid w:val="00267F52"/>
    <w:rsid w:val="00270763"/>
    <w:rsid w:val="0027500D"/>
    <w:rsid w:val="002763F5"/>
    <w:rsid w:val="00276C45"/>
    <w:rsid w:val="0027700C"/>
    <w:rsid w:val="00280506"/>
    <w:rsid w:val="0028265C"/>
    <w:rsid w:val="002855B7"/>
    <w:rsid w:val="00296B82"/>
    <w:rsid w:val="002A7C4A"/>
    <w:rsid w:val="002B02CB"/>
    <w:rsid w:val="002B19FA"/>
    <w:rsid w:val="002B7514"/>
    <w:rsid w:val="002E453E"/>
    <w:rsid w:val="002E6D5E"/>
    <w:rsid w:val="002E7887"/>
    <w:rsid w:val="002E79E4"/>
    <w:rsid w:val="002F4F5C"/>
    <w:rsid w:val="00304117"/>
    <w:rsid w:val="003113D9"/>
    <w:rsid w:val="003127C7"/>
    <w:rsid w:val="00317372"/>
    <w:rsid w:val="00324D94"/>
    <w:rsid w:val="0032593D"/>
    <w:rsid w:val="00325D2C"/>
    <w:rsid w:val="003317CA"/>
    <w:rsid w:val="00332369"/>
    <w:rsid w:val="003363BE"/>
    <w:rsid w:val="00336747"/>
    <w:rsid w:val="003462C3"/>
    <w:rsid w:val="00347894"/>
    <w:rsid w:val="00354047"/>
    <w:rsid w:val="003633CD"/>
    <w:rsid w:val="00373CF8"/>
    <w:rsid w:val="0037426F"/>
    <w:rsid w:val="0037609B"/>
    <w:rsid w:val="003840F2"/>
    <w:rsid w:val="003914DE"/>
    <w:rsid w:val="0039219D"/>
    <w:rsid w:val="003A07AA"/>
    <w:rsid w:val="003B3ABD"/>
    <w:rsid w:val="003C07F4"/>
    <w:rsid w:val="003D48B8"/>
    <w:rsid w:val="003D66FA"/>
    <w:rsid w:val="003D78F9"/>
    <w:rsid w:val="003E052A"/>
    <w:rsid w:val="003E4D3F"/>
    <w:rsid w:val="003F020F"/>
    <w:rsid w:val="003F2387"/>
    <w:rsid w:val="003F3E07"/>
    <w:rsid w:val="003F59CF"/>
    <w:rsid w:val="003F7B1E"/>
    <w:rsid w:val="00404772"/>
    <w:rsid w:val="004213A7"/>
    <w:rsid w:val="004251A4"/>
    <w:rsid w:val="004364AE"/>
    <w:rsid w:val="00457274"/>
    <w:rsid w:val="00460577"/>
    <w:rsid w:val="00470385"/>
    <w:rsid w:val="004705FF"/>
    <w:rsid w:val="00470A92"/>
    <w:rsid w:val="004857A1"/>
    <w:rsid w:val="004954EB"/>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22B04"/>
    <w:rsid w:val="00533373"/>
    <w:rsid w:val="00534A84"/>
    <w:rsid w:val="005358BE"/>
    <w:rsid w:val="00546E27"/>
    <w:rsid w:val="00550760"/>
    <w:rsid w:val="00557071"/>
    <w:rsid w:val="00560EDB"/>
    <w:rsid w:val="00563AC1"/>
    <w:rsid w:val="005765A0"/>
    <w:rsid w:val="00586532"/>
    <w:rsid w:val="005908DD"/>
    <w:rsid w:val="0059543E"/>
    <w:rsid w:val="00596B3A"/>
    <w:rsid w:val="005A39B7"/>
    <w:rsid w:val="005A62CE"/>
    <w:rsid w:val="005A63F7"/>
    <w:rsid w:val="005B168F"/>
    <w:rsid w:val="005B5A73"/>
    <w:rsid w:val="005C2E51"/>
    <w:rsid w:val="005D7F0D"/>
    <w:rsid w:val="005E0073"/>
    <w:rsid w:val="005E3BE0"/>
    <w:rsid w:val="005E6044"/>
    <w:rsid w:val="00602047"/>
    <w:rsid w:val="006067AC"/>
    <w:rsid w:val="00607D65"/>
    <w:rsid w:val="0061034B"/>
    <w:rsid w:val="0061035C"/>
    <w:rsid w:val="006260D8"/>
    <w:rsid w:val="00627923"/>
    <w:rsid w:val="0063278E"/>
    <w:rsid w:val="00633969"/>
    <w:rsid w:val="00633B8B"/>
    <w:rsid w:val="0063746A"/>
    <w:rsid w:val="00637900"/>
    <w:rsid w:val="00637D14"/>
    <w:rsid w:val="0064741D"/>
    <w:rsid w:val="00655FCF"/>
    <w:rsid w:val="00656535"/>
    <w:rsid w:val="00657B8A"/>
    <w:rsid w:val="006714A6"/>
    <w:rsid w:val="00686AD4"/>
    <w:rsid w:val="00692B80"/>
    <w:rsid w:val="006A1569"/>
    <w:rsid w:val="006A443E"/>
    <w:rsid w:val="006A55C5"/>
    <w:rsid w:val="006A73A5"/>
    <w:rsid w:val="006B0DF7"/>
    <w:rsid w:val="006B3FA2"/>
    <w:rsid w:val="006B57DF"/>
    <w:rsid w:val="006C01E5"/>
    <w:rsid w:val="006D07D5"/>
    <w:rsid w:val="006D6104"/>
    <w:rsid w:val="006E0940"/>
    <w:rsid w:val="006E14B5"/>
    <w:rsid w:val="006E1BFE"/>
    <w:rsid w:val="006E4F88"/>
    <w:rsid w:val="006E52BA"/>
    <w:rsid w:val="006E5E06"/>
    <w:rsid w:val="006F5D0A"/>
    <w:rsid w:val="006F7826"/>
    <w:rsid w:val="00702C96"/>
    <w:rsid w:val="00705512"/>
    <w:rsid w:val="00713E63"/>
    <w:rsid w:val="00721DD8"/>
    <w:rsid w:val="00730262"/>
    <w:rsid w:val="00732A3F"/>
    <w:rsid w:val="00732BC4"/>
    <w:rsid w:val="00733FE1"/>
    <w:rsid w:val="00755F90"/>
    <w:rsid w:val="00761BE3"/>
    <w:rsid w:val="007644B6"/>
    <w:rsid w:val="00766FB1"/>
    <w:rsid w:val="00766FE5"/>
    <w:rsid w:val="00784A54"/>
    <w:rsid w:val="00785295"/>
    <w:rsid w:val="00791C9C"/>
    <w:rsid w:val="0079769C"/>
    <w:rsid w:val="007A5ED0"/>
    <w:rsid w:val="007A6DC8"/>
    <w:rsid w:val="007A6F13"/>
    <w:rsid w:val="007B57E6"/>
    <w:rsid w:val="007C0A56"/>
    <w:rsid w:val="007C553C"/>
    <w:rsid w:val="007D4E0A"/>
    <w:rsid w:val="007D5975"/>
    <w:rsid w:val="007E0CE5"/>
    <w:rsid w:val="007E7D29"/>
    <w:rsid w:val="007F15E3"/>
    <w:rsid w:val="007F4C9F"/>
    <w:rsid w:val="00810BAA"/>
    <w:rsid w:val="00821626"/>
    <w:rsid w:val="00825B67"/>
    <w:rsid w:val="008326AE"/>
    <w:rsid w:val="0084371B"/>
    <w:rsid w:val="00844D86"/>
    <w:rsid w:val="0084573D"/>
    <w:rsid w:val="00845A4B"/>
    <w:rsid w:val="0085043F"/>
    <w:rsid w:val="008525C7"/>
    <w:rsid w:val="00854874"/>
    <w:rsid w:val="00860294"/>
    <w:rsid w:val="00860C12"/>
    <w:rsid w:val="00861AE9"/>
    <w:rsid w:val="00861BE0"/>
    <w:rsid w:val="008642CE"/>
    <w:rsid w:val="008723E9"/>
    <w:rsid w:val="00874A63"/>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E2DAC"/>
    <w:rsid w:val="008F57DD"/>
    <w:rsid w:val="008F5BEC"/>
    <w:rsid w:val="009017B9"/>
    <w:rsid w:val="00903604"/>
    <w:rsid w:val="00910E6C"/>
    <w:rsid w:val="00914474"/>
    <w:rsid w:val="009214A0"/>
    <w:rsid w:val="00924E22"/>
    <w:rsid w:val="00931DE5"/>
    <w:rsid w:val="00944D59"/>
    <w:rsid w:val="0095525E"/>
    <w:rsid w:val="00965504"/>
    <w:rsid w:val="009677DD"/>
    <w:rsid w:val="00970379"/>
    <w:rsid w:val="00977B70"/>
    <w:rsid w:val="009801BA"/>
    <w:rsid w:val="00990864"/>
    <w:rsid w:val="009A77EC"/>
    <w:rsid w:val="009B5780"/>
    <w:rsid w:val="009F25ED"/>
    <w:rsid w:val="009F3555"/>
    <w:rsid w:val="00A05C1D"/>
    <w:rsid w:val="00A111DA"/>
    <w:rsid w:val="00A22EF4"/>
    <w:rsid w:val="00A256F9"/>
    <w:rsid w:val="00A346F0"/>
    <w:rsid w:val="00A36904"/>
    <w:rsid w:val="00A4460B"/>
    <w:rsid w:val="00A45CFB"/>
    <w:rsid w:val="00A473FA"/>
    <w:rsid w:val="00A532EE"/>
    <w:rsid w:val="00A651E0"/>
    <w:rsid w:val="00A6602E"/>
    <w:rsid w:val="00A67C16"/>
    <w:rsid w:val="00A72491"/>
    <w:rsid w:val="00A72A16"/>
    <w:rsid w:val="00A91CB3"/>
    <w:rsid w:val="00AA16F4"/>
    <w:rsid w:val="00AA403D"/>
    <w:rsid w:val="00AB4D3B"/>
    <w:rsid w:val="00AB64E3"/>
    <w:rsid w:val="00AB650A"/>
    <w:rsid w:val="00AC21FB"/>
    <w:rsid w:val="00AC3774"/>
    <w:rsid w:val="00AD784B"/>
    <w:rsid w:val="00AE7139"/>
    <w:rsid w:val="00AF35DE"/>
    <w:rsid w:val="00AF6824"/>
    <w:rsid w:val="00B00E72"/>
    <w:rsid w:val="00B0566F"/>
    <w:rsid w:val="00B16C39"/>
    <w:rsid w:val="00B263C0"/>
    <w:rsid w:val="00B3212E"/>
    <w:rsid w:val="00B32FC7"/>
    <w:rsid w:val="00B35AA2"/>
    <w:rsid w:val="00B44389"/>
    <w:rsid w:val="00B47EA0"/>
    <w:rsid w:val="00B54B80"/>
    <w:rsid w:val="00B57DBD"/>
    <w:rsid w:val="00B617FF"/>
    <w:rsid w:val="00B70E33"/>
    <w:rsid w:val="00B729B9"/>
    <w:rsid w:val="00B84E16"/>
    <w:rsid w:val="00B85F6B"/>
    <w:rsid w:val="00B93602"/>
    <w:rsid w:val="00BA5C88"/>
    <w:rsid w:val="00BB6D00"/>
    <w:rsid w:val="00BC6F34"/>
    <w:rsid w:val="00BC7452"/>
    <w:rsid w:val="00BD2863"/>
    <w:rsid w:val="00BD65E2"/>
    <w:rsid w:val="00BE065B"/>
    <w:rsid w:val="00BE0CD8"/>
    <w:rsid w:val="00BE3DBD"/>
    <w:rsid w:val="00BE56E8"/>
    <w:rsid w:val="00BE6D5F"/>
    <w:rsid w:val="00BF476B"/>
    <w:rsid w:val="00BF7560"/>
    <w:rsid w:val="00C12D3D"/>
    <w:rsid w:val="00C2473A"/>
    <w:rsid w:val="00C2594A"/>
    <w:rsid w:val="00C2623C"/>
    <w:rsid w:val="00C26313"/>
    <w:rsid w:val="00C369AF"/>
    <w:rsid w:val="00C40E58"/>
    <w:rsid w:val="00C413FB"/>
    <w:rsid w:val="00C4471F"/>
    <w:rsid w:val="00C469F5"/>
    <w:rsid w:val="00C5004E"/>
    <w:rsid w:val="00C610B6"/>
    <w:rsid w:val="00C61E80"/>
    <w:rsid w:val="00C64D96"/>
    <w:rsid w:val="00C64FE1"/>
    <w:rsid w:val="00C67975"/>
    <w:rsid w:val="00C71201"/>
    <w:rsid w:val="00C71402"/>
    <w:rsid w:val="00C72E5D"/>
    <w:rsid w:val="00C7656D"/>
    <w:rsid w:val="00C77EB9"/>
    <w:rsid w:val="00C8088F"/>
    <w:rsid w:val="00C85676"/>
    <w:rsid w:val="00C87CC3"/>
    <w:rsid w:val="00C90D47"/>
    <w:rsid w:val="00C943A6"/>
    <w:rsid w:val="00C95686"/>
    <w:rsid w:val="00C95EC4"/>
    <w:rsid w:val="00C967DA"/>
    <w:rsid w:val="00CA1205"/>
    <w:rsid w:val="00CA48E7"/>
    <w:rsid w:val="00CA666C"/>
    <w:rsid w:val="00CA7AEF"/>
    <w:rsid w:val="00CB13D4"/>
    <w:rsid w:val="00CB3564"/>
    <w:rsid w:val="00CB3BE1"/>
    <w:rsid w:val="00CB4DCA"/>
    <w:rsid w:val="00CC0C67"/>
    <w:rsid w:val="00CC4080"/>
    <w:rsid w:val="00CD787A"/>
    <w:rsid w:val="00CE00CF"/>
    <w:rsid w:val="00CE5EEE"/>
    <w:rsid w:val="00CF781D"/>
    <w:rsid w:val="00D02E71"/>
    <w:rsid w:val="00D04B3C"/>
    <w:rsid w:val="00D1512B"/>
    <w:rsid w:val="00D21895"/>
    <w:rsid w:val="00D2565A"/>
    <w:rsid w:val="00D32E5C"/>
    <w:rsid w:val="00D3660F"/>
    <w:rsid w:val="00D37921"/>
    <w:rsid w:val="00D415A5"/>
    <w:rsid w:val="00D418F5"/>
    <w:rsid w:val="00D4544B"/>
    <w:rsid w:val="00D45AEE"/>
    <w:rsid w:val="00D479A6"/>
    <w:rsid w:val="00D5588B"/>
    <w:rsid w:val="00D60523"/>
    <w:rsid w:val="00D71719"/>
    <w:rsid w:val="00D73F08"/>
    <w:rsid w:val="00D754CB"/>
    <w:rsid w:val="00D817F7"/>
    <w:rsid w:val="00D86CD2"/>
    <w:rsid w:val="00DA1B06"/>
    <w:rsid w:val="00DA3954"/>
    <w:rsid w:val="00DB22F3"/>
    <w:rsid w:val="00DB3DA4"/>
    <w:rsid w:val="00DB6A92"/>
    <w:rsid w:val="00DC3353"/>
    <w:rsid w:val="00DC6795"/>
    <w:rsid w:val="00DD5408"/>
    <w:rsid w:val="00DD7B12"/>
    <w:rsid w:val="00DE2368"/>
    <w:rsid w:val="00DF400D"/>
    <w:rsid w:val="00DF46B0"/>
    <w:rsid w:val="00E112C5"/>
    <w:rsid w:val="00E2355B"/>
    <w:rsid w:val="00E238C2"/>
    <w:rsid w:val="00E26D9A"/>
    <w:rsid w:val="00E35EB0"/>
    <w:rsid w:val="00E3774F"/>
    <w:rsid w:val="00E500CF"/>
    <w:rsid w:val="00E534E2"/>
    <w:rsid w:val="00E701E5"/>
    <w:rsid w:val="00E71288"/>
    <w:rsid w:val="00E71A93"/>
    <w:rsid w:val="00E74D52"/>
    <w:rsid w:val="00E85F12"/>
    <w:rsid w:val="00E90B24"/>
    <w:rsid w:val="00EA1B3D"/>
    <w:rsid w:val="00EA320B"/>
    <w:rsid w:val="00EA4206"/>
    <w:rsid w:val="00EA765D"/>
    <w:rsid w:val="00EB03A4"/>
    <w:rsid w:val="00EB20DA"/>
    <w:rsid w:val="00EB6A30"/>
    <w:rsid w:val="00EC662F"/>
    <w:rsid w:val="00ED3E4E"/>
    <w:rsid w:val="00ED65B2"/>
    <w:rsid w:val="00EF279E"/>
    <w:rsid w:val="00EF2F58"/>
    <w:rsid w:val="00EF4E0F"/>
    <w:rsid w:val="00EF5055"/>
    <w:rsid w:val="00EF67B3"/>
    <w:rsid w:val="00EF6D03"/>
    <w:rsid w:val="00EF748F"/>
    <w:rsid w:val="00EF780B"/>
    <w:rsid w:val="00F04C7B"/>
    <w:rsid w:val="00F0521B"/>
    <w:rsid w:val="00F16AC6"/>
    <w:rsid w:val="00F22D6B"/>
    <w:rsid w:val="00F300A7"/>
    <w:rsid w:val="00F316E0"/>
    <w:rsid w:val="00F3247D"/>
    <w:rsid w:val="00F337F6"/>
    <w:rsid w:val="00F367D0"/>
    <w:rsid w:val="00F436EA"/>
    <w:rsid w:val="00F43E37"/>
    <w:rsid w:val="00F45833"/>
    <w:rsid w:val="00F53FC5"/>
    <w:rsid w:val="00F64443"/>
    <w:rsid w:val="00F73FDF"/>
    <w:rsid w:val="00F76156"/>
    <w:rsid w:val="00F80B7B"/>
    <w:rsid w:val="00F819D3"/>
    <w:rsid w:val="00F92697"/>
    <w:rsid w:val="00F9323F"/>
    <w:rsid w:val="00F96837"/>
    <w:rsid w:val="00F9702A"/>
    <w:rsid w:val="00FA106A"/>
    <w:rsid w:val="00FA1238"/>
    <w:rsid w:val="00FA31B2"/>
    <w:rsid w:val="00FB1E51"/>
    <w:rsid w:val="00FB2E48"/>
    <w:rsid w:val="00FB3F38"/>
    <w:rsid w:val="00FB52CF"/>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EOH bullet,Use Case List Paragraph,EOH paragraph,List Paragraph1,Table (List),Indent Paragraph,Figure_name,List Paragraph 1,Green bullet,lp1,Table of contents numbered,Standard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EOH bullet Char,Use Case List Paragraph Char,EOH paragraph Char,List Paragraph1 Char,Table (List) Char,Indent Paragraph Char,Figure_name Char,List Paragraph 1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107122077">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1780</Words>
  <Characters>10147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Violet Beetha</cp:lastModifiedBy>
  <cp:revision>2</cp:revision>
  <cp:lastPrinted>2023-01-25T15:41:00Z</cp:lastPrinted>
  <dcterms:created xsi:type="dcterms:W3CDTF">2025-09-09T11:08:00Z</dcterms:created>
  <dcterms:modified xsi:type="dcterms:W3CDTF">2025-09-09T11:08:00Z</dcterms:modified>
</cp:coreProperties>
</file>