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0A4366" w:rsidRDefault="000C2C64" w:rsidP="00CD1845">
      <w:pPr>
        <w:pStyle w:val="Title"/>
        <w:rPr>
          <w:color w:val="auto"/>
        </w:rPr>
      </w:pPr>
    </w:p>
    <w:p w:rsidR="00137086" w:rsidRPr="000A4366" w:rsidRDefault="00CD1845" w:rsidP="00FB1E06">
      <w:pPr>
        <w:pStyle w:val="Title"/>
        <w:outlineLvl w:val="9"/>
        <w:rPr>
          <w:color w:val="auto"/>
        </w:rPr>
      </w:pPr>
      <w:r w:rsidRPr="000A4366">
        <w:rPr>
          <w:noProof/>
          <w:color w:val="auto"/>
          <w:lang w:eastAsia="en-ZA"/>
        </w:rPr>
        <w:drawing>
          <wp:anchor distT="0" distB="180340" distL="114300" distR="114300" simplePos="0" relativeHeight="251657216" behindDoc="0" locked="0" layoutInCell="1" allowOverlap="1" wp14:anchorId="302CBAB3" wp14:editId="3F032E75">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0A4366">
        <w:rPr>
          <w:color w:val="auto"/>
        </w:rPr>
        <w:t>Invitation to bid</w:t>
      </w:r>
    </w:p>
    <w:tbl>
      <w:tblPr>
        <w:tblStyle w:val="TableGrid"/>
        <w:tblW w:w="5000" w:type="pct"/>
        <w:tblLook w:val="04A0" w:firstRow="1" w:lastRow="0" w:firstColumn="1" w:lastColumn="0" w:noHBand="0" w:noVBand="1"/>
      </w:tblPr>
      <w:tblGrid>
        <w:gridCol w:w="9627"/>
      </w:tblGrid>
      <w:tr w:rsidR="00CD1845" w:rsidRPr="000A4366" w:rsidTr="00C95C94">
        <w:tc>
          <w:tcPr>
            <w:tcW w:w="5000" w:type="pct"/>
          </w:tcPr>
          <w:p w:rsidR="00CD1845" w:rsidRPr="000A4366" w:rsidRDefault="00CD1845" w:rsidP="00CD1845">
            <w:pPr>
              <w:jc w:val="center"/>
              <w:rPr>
                <w:b/>
                <w:sz w:val="24"/>
                <w:lang w:val="en-ZA" w:eastAsia="en-US"/>
              </w:rPr>
            </w:pPr>
            <w:r w:rsidRPr="000A4366">
              <w:rPr>
                <w:b/>
                <w:sz w:val="24"/>
                <w:lang w:val="en-ZA" w:eastAsia="en-US"/>
              </w:rPr>
              <w:t>YOU ARE HEREBY INVITED TO BID FOR THE REQUIREMENTS OF THE</w:t>
            </w:r>
          </w:p>
          <w:p w:rsidR="00CD1845" w:rsidRPr="000A4366" w:rsidRDefault="00CD1845" w:rsidP="00CD1845">
            <w:pPr>
              <w:jc w:val="center"/>
              <w:rPr>
                <w:lang w:val="en-ZA" w:eastAsia="en-US"/>
              </w:rPr>
            </w:pPr>
            <w:r w:rsidRPr="000A4366">
              <w:rPr>
                <w:sz w:val="24"/>
                <w:lang w:val="en-ZA" w:eastAsia="en-US"/>
              </w:rPr>
              <w:t>South African Nuclear Energy Corporation SOC Ltd</w:t>
            </w:r>
          </w:p>
        </w:tc>
      </w:tr>
    </w:tbl>
    <w:p w:rsidR="00CD1845" w:rsidRPr="000A4366"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0A4366" w:rsidRPr="000A4366" w:rsidTr="00C821F8">
        <w:tc>
          <w:tcPr>
            <w:tcW w:w="2405" w:type="dxa"/>
          </w:tcPr>
          <w:p w:rsidR="00CD1845" w:rsidRPr="000A4366" w:rsidRDefault="00CD1845" w:rsidP="00CD1845">
            <w:pPr>
              <w:rPr>
                <w:b/>
                <w:lang w:val="en-ZA" w:eastAsia="en-US"/>
              </w:rPr>
            </w:pPr>
            <w:r w:rsidRPr="000A4366">
              <w:rPr>
                <w:b/>
                <w:lang w:val="en-ZA" w:eastAsia="en-US"/>
              </w:rPr>
              <w:t>BID NUMBER:</w:t>
            </w:r>
          </w:p>
        </w:tc>
        <w:tc>
          <w:tcPr>
            <w:tcW w:w="7222" w:type="dxa"/>
          </w:tcPr>
          <w:p w:rsidR="00CD1845" w:rsidRPr="000A4366" w:rsidRDefault="000A4366" w:rsidP="004E3B62">
            <w:pPr>
              <w:rPr>
                <w:lang w:val="en-ZA" w:eastAsia="en-US"/>
              </w:rPr>
            </w:pPr>
            <w:r w:rsidRPr="000A4366">
              <w:rPr>
                <w:lang w:val="en-ZA" w:eastAsia="en-US"/>
              </w:rPr>
              <w:t>F</w:t>
            </w:r>
            <w:r w:rsidR="00970B35">
              <w:rPr>
                <w:lang w:val="en-ZA" w:eastAsia="en-US"/>
              </w:rPr>
              <w:t>IN-SCM-TEN-0057</w:t>
            </w:r>
          </w:p>
        </w:tc>
      </w:tr>
      <w:tr w:rsidR="00845EE8" w:rsidRPr="000A4366" w:rsidTr="00C821F8">
        <w:tc>
          <w:tcPr>
            <w:tcW w:w="2405" w:type="dxa"/>
          </w:tcPr>
          <w:p w:rsidR="00845EE8" w:rsidRPr="000A4366" w:rsidRDefault="00845EE8" w:rsidP="00845EE8">
            <w:pPr>
              <w:rPr>
                <w:b/>
                <w:lang w:val="en-ZA" w:eastAsia="en-US"/>
              </w:rPr>
            </w:pPr>
            <w:r w:rsidRPr="000A4366">
              <w:rPr>
                <w:b/>
                <w:lang w:val="en-ZA" w:eastAsia="en-US"/>
              </w:rPr>
              <w:t>BID DESCRIPTION:</w:t>
            </w:r>
          </w:p>
        </w:tc>
        <w:tc>
          <w:tcPr>
            <w:tcW w:w="7222" w:type="dxa"/>
          </w:tcPr>
          <w:p w:rsidR="00845EE8" w:rsidRPr="00BB37F7" w:rsidRDefault="00845EE8" w:rsidP="00826ADB">
            <w:pPr>
              <w:rPr>
                <w:b/>
                <w:highlight w:val="yellow"/>
              </w:rPr>
            </w:pPr>
            <w:r w:rsidRPr="00226F7D">
              <w:rPr>
                <w:b/>
              </w:rPr>
              <w:t>Due Diligence</w:t>
            </w:r>
            <w:r w:rsidR="0060723D">
              <w:rPr>
                <w:b/>
              </w:rPr>
              <w:t xml:space="preserve"> Report Review</w:t>
            </w:r>
            <w:r w:rsidRPr="00226F7D">
              <w:rPr>
                <w:b/>
              </w:rPr>
              <w:t xml:space="preserve"> in Respect of Pebble Bed Modular Reactor (PBMR)</w:t>
            </w:r>
            <w:r w:rsidR="0060723D">
              <w:rPr>
                <w:b/>
              </w:rPr>
              <w:t xml:space="preserve"> Company </w:t>
            </w:r>
            <w:r w:rsidR="00826ADB">
              <w:rPr>
                <w:b/>
              </w:rPr>
              <w:t>Transfer</w:t>
            </w:r>
          </w:p>
        </w:tc>
      </w:tr>
      <w:tr w:rsidR="00845EE8" w:rsidRPr="000A4366" w:rsidTr="00C821F8">
        <w:tc>
          <w:tcPr>
            <w:tcW w:w="2405" w:type="dxa"/>
          </w:tcPr>
          <w:p w:rsidR="00845EE8" w:rsidRPr="000A4366" w:rsidRDefault="00845EE8" w:rsidP="00845EE8">
            <w:pPr>
              <w:rPr>
                <w:b/>
                <w:lang w:val="en-ZA" w:eastAsia="en-US"/>
              </w:rPr>
            </w:pPr>
            <w:r w:rsidRPr="000A4366">
              <w:rPr>
                <w:b/>
              </w:rPr>
              <w:t>CLOSING DATE:</w:t>
            </w:r>
          </w:p>
        </w:tc>
        <w:tc>
          <w:tcPr>
            <w:tcW w:w="7222" w:type="dxa"/>
          </w:tcPr>
          <w:p w:rsidR="00845EE8" w:rsidRPr="00C21F7D" w:rsidRDefault="00BC499C" w:rsidP="00845EE8">
            <w:pPr>
              <w:rPr>
                <w:lang w:val="en-ZA" w:eastAsia="en-US"/>
              </w:rPr>
            </w:pPr>
            <w:r w:rsidRPr="003E010E">
              <w:rPr>
                <w:lang w:val="en-ZA" w:eastAsia="en-US"/>
              </w:rPr>
              <w:t>10</w:t>
            </w:r>
            <w:r w:rsidR="00C21F7D" w:rsidRPr="003E010E">
              <w:rPr>
                <w:lang w:val="en-ZA" w:eastAsia="en-US"/>
              </w:rPr>
              <w:t xml:space="preserve"> June 2024</w:t>
            </w:r>
          </w:p>
        </w:tc>
      </w:tr>
      <w:tr w:rsidR="00845EE8" w:rsidRPr="000A4366" w:rsidTr="00C821F8">
        <w:tc>
          <w:tcPr>
            <w:tcW w:w="2405" w:type="dxa"/>
          </w:tcPr>
          <w:p w:rsidR="00845EE8" w:rsidRPr="000A4366" w:rsidRDefault="00845EE8" w:rsidP="00845EE8">
            <w:pPr>
              <w:rPr>
                <w:b/>
                <w:lang w:val="en-ZA" w:eastAsia="en-US"/>
              </w:rPr>
            </w:pPr>
            <w:r w:rsidRPr="000A4366">
              <w:rPr>
                <w:b/>
              </w:rPr>
              <w:t>CLOSING TIME:</w:t>
            </w:r>
          </w:p>
        </w:tc>
        <w:tc>
          <w:tcPr>
            <w:tcW w:w="7222" w:type="dxa"/>
          </w:tcPr>
          <w:p w:rsidR="00845EE8" w:rsidRPr="00C21F7D" w:rsidRDefault="00845EE8" w:rsidP="00845EE8">
            <w:pPr>
              <w:rPr>
                <w:lang w:val="en-ZA" w:eastAsia="en-US"/>
              </w:rPr>
            </w:pPr>
            <w:r w:rsidRPr="00DE6E65">
              <w:rPr>
                <w:lang w:val="en-ZA" w:eastAsia="en-US"/>
              </w:rPr>
              <w:t>11:00am</w:t>
            </w:r>
          </w:p>
        </w:tc>
      </w:tr>
      <w:tr w:rsidR="00845EE8" w:rsidRPr="000A4366" w:rsidTr="002602E1">
        <w:trPr>
          <w:trHeight w:hRule="exact" w:val="640"/>
        </w:trPr>
        <w:tc>
          <w:tcPr>
            <w:tcW w:w="2405" w:type="dxa"/>
          </w:tcPr>
          <w:p w:rsidR="00845EE8" w:rsidRPr="000A4366" w:rsidRDefault="00845EE8" w:rsidP="00845EE8">
            <w:pPr>
              <w:rPr>
                <w:b/>
                <w:lang w:val="en-ZA" w:eastAsia="en-US"/>
              </w:rPr>
            </w:pPr>
            <w:r w:rsidRPr="000A4366">
              <w:rPr>
                <w:b/>
              </w:rPr>
              <w:t>BID VALIDITY PERIOD:</w:t>
            </w:r>
          </w:p>
        </w:tc>
        <w:tc>
          <w:tcPr>
            <w:tcW w:w="7222" w:type="dxa"/>
          </w:tcPr>
          <w:p w:rsidR="00845EE8" w:rsidRPr="000A4366" w:rsidRDefault="00845EE8" w:rsidP="00845EE8">
            <w:pPr>
              <w:rPr>
                <w:lang w:val="en-ZA" w:eastAsia="en-US"/>
              </w:rPr>
            </w:pPr>
            <w:r w:rsidRPr="000A4366">
              <w:t>90 Working Days (Commencing the Bid Closing Date)</w:t>
            </w:r>
          </w:p>
        </w:tc>
      </w:tr>
      <w:tr w:rsidR="00845EE8" w:rsidRPr="000A4366" w:rsidTr="00FB4782">
        <w:trPr>
          <w:trHeight w:hRule="exact" w:val="958"/>
        </w:trPr>
        <w:tc>
          <w:tcPr>
            <w:tcW w:w="2405" w:type="dxa"/>
          </w:tcPr>
          <w:p w:rsidR="00845EE8" w:rsidRPr="000A4366" w:rsidRDefault="00FB4782" w:rsidP="004C2CA9">
            <w:pPr>
              <w:rPr>
                <w:b/>
                <w:lang w:val="en-ZA" w:eastAsia="en-US"/>
              </w:rPr>
            </w:pPr>
            <w:r>
              <w:rPr>
                <w:b/>
              </w:rPr>
              <w:t xml:space="preserve">COMPULSORY </w:t>
            </w:r>
            <w:r w:rsidR="004C2CA9">
              <w:rPr>
                <w:b/>
              </w:rPr>
              <w:t>BID CLARIFICATION</w:t>
            </w:r>
            <w:r w:rsidR="00845EE8" w:rsidRPr="000A4366">
              <w:rPr>
                <w:b/>
              </w:rPr>
              <w:t xml:space="preserve"> MEETING:</w:t>
            </w:r>
          </w:p>
        </w:tc>
        <w:tc>
          <w:tcPr>
            <w:tcW w:w="7222" w:type="dxa"/>
          </w:tcPr>
          <w:p w:rsidR="00845EE8" w:rsidRPr="000A4366" w:rsidRDefault="00970B35" w:rsidP="00FB4782">
            <w:pPr>
              <w:rPr>
                <w:lang w:val="en-ZA" w:eastAsia="en-US"/>
              </w:rPr>
            </w:pPr>
            <w:r>
              <w:rPr>
                <w:lang w:val="en-ZA" w:eastAsia="en-US"/>
              </w:rPr>
              <w:t xml:space="preserve">23 May 2024 on Ms Teams at </w:t>
            </w:r>
            <w:proofErr w:type="gramStart"/>
            <w:r>
              <w:rPr>
                <w:lang w:val="en-ZA" w:eastAsia="en-US"/>
              </w:rPr>
              <w:t>1</w:t>
            </w:r>
            <w:r>
              <w:rPr>
                <w:lang w:val="en-ZA"/>
              </w:rPr>
              <w:t>4:30</w:t>
            </w:r>
            <w:r w:rsidR="00FB4782">
              <w:rPr>
                <w:lang w:val="en-ZA"/>
              </w:rPr>
              <w:t xml:space="preserve"> </w:t>
            </w:r>
            <w:r w:rsidR="003E010E">
              <w:rPr>
                <w:lang w:val="en-ZA"/>
              </w:rPr>
              <w:t xml:space="preserve"> </w:t>
            </w:r>
            <w:r w:rsidR="003E010E" w:rsidRPr="003E010E">
              <w:rPr>
                <w:lang w:val="en-ZA"/>
              </w:rPr>
              <w:t>(</w:t>
            </w:r>
            <w:proofErr w:type="gramEnd"/>
            <w:r w:rsidR="003E010E" w:rsidRPr="003E010E">
              <w:rPr>
                <w:lang w:val="en-ZA"/>
              </w:rPr>
              <w:t>GMT+2)</w:t>
            </w:r>
          </w:p>
        </w:tc>
      </w:tr>
      <w:tr w:rsidR="00845EE8" w:rsidRPr="000A4366" w:rsidTr="00C821F8">
        <w:tc>
          <w:tcPr>
            <w:tcW w:w="2405" w:type="dxa"/>
          </w:tcPr>
          <w:p w:rsidR="00845EE8" w:rsidRPr="000A4366" w:rsidRDefault="00845EE8" w:rsidP="00845EE8">
            <w:pPr>
              <w:rPr>
                <w:b/>
                <w:lang w:val="en-ZA" w:eastAsia="en-US"/>
              </w:rPr>
            </w:pPr>
            <w:r w:rsidRPr="000A4366">
              <w:rPr>
                <w:b/>
              </w:rPr>
              <w:t>SITE ACCESS:</w:t>
            </w:r>
          </w:p>
        </w:tc>
        <w:tc>
          <w:tcPr>
            <w:tcW w:w="7222" w:type="dxa"/>
          </w:tcPr>
          <w:p w:rsidR="00845EE8" w:rsidRPr="000A4366" w:rsidRDefault="00970B35" w:rsidP="00845EE8">
            <w:pPr>
              <w:rPr>
                <w:lang w:eastAsia="en-US"/>
              </w:rPr>
            </w:pPr>
            <w:r w:rsidRPr="00970B35">
              <w:rPr>
                <w:lang w:eastAsia="en-US"/>
              </w:rPr>
              <w:t xml:space="preserve">Kindly request the meeting link from </w:t>
            </w:r>
            <w:hyperlink r:id="rId12" w:history="1">
              <w:r w:rsidRPr="00D735D4">
                <w:rPr>
                  <w:rStyle w:val="Hyperlink"/>
                  <w:lang w:eastAsia="en-US"/>
                </w:rPr>
                <w:t>scm@necsa.co.za</w:t>
              </w:r>
            </w:hyperlink>
            <w:r>
              <w:rPr>
                <w:lang w:eastAsia="en-US"/>
              </w:rPr>
              <w:t xml:space="preserve"> </w:t>
            </w:r>
            <w:r w:rsidRPr="00970B35">
              <w:rPr>
                <w:lang w:eastAsia="en-US"/>
              </w:rPr>
              <w:t xml:space="preserve"> before the 22nd of May </w:t>
            </w:r>
            <w:bookmarkStart w:id="0" w:name="_GoBack"/>
            <w:bookmarkEnd w:id="0"/>
            <w:r w:rsidRPr="00970B35">
              <w:rPr>
                <w:lang w:eastAsia="en-US"/>
              </w:rPr>
              <w:t>2024</w:t>
            </w:r>
          </w:p>
        </w:tc>
      </w:tr>
      <w:tr w:rsidR="00845EE8" w:rsidRPr="000A4366" w:rsidTr="00C821F8">
        <w:tc>
          <w:tcPr>
            <w:tcW w:w="2405" w:type="dxa"/>
          </w:tcPr>
          <w:p w:rsidR="00845EE8" w:rsidRPr="000A4366" w:rsidRDefault="00845EE8" w:rsidP="00845EE8">
            <w:pPr>
              <w:rPr>
                <w:b/>
                <w:lang w:val="en-ZA" w:eastAsia="en-US"/>
              </w:rPr>
            </w:pPr>
            <w:r w:rsidRPr="000A4366">
              <w:rPr>
                <w:b/>
              </w:rPr>
              <w:t>DELIVERY ADDRESS:</w:t>
            </w:r>
          </w:p>
        </w:tc>
        <w:tc>
          <w:tcPr>
            <w:tcW w:w="7222" w:type="dxa"/>
          </w:tcPr>
          <w:p w:rsidR="00845EE8" w:rsidRPr="000A4366" w:rsidRDefault="00845EE8" w:rsidP="00845EE8">
            <w:pPr>
              <w:spacing w:before="40" w:after="40"/>
              <w:outlineLvl w:val="9"/>
              <w:rPr>
                <w:b/>
                <w:lang w:eastAsia="en-US"/>
              </w:rPr>
            </w:pPr>
            <w:r w:rsidRPr="000A4366">
              <w:rPr>
                <w:b/>
                <w:szCs w:val="24"/>
                <w:lang w:eastAsia="en-US"/>
              </w:rPr>
              <w:t>BID DOCUMENTS MAY BE DEPOSITED IN THE BID BOX SITUATED AT:</w:t>
            </w:r>
          </w:p>
          <w:p w:rsidR="00845EE8" w:rsidRPr="000A4366" w:rsidRDefault="00845EE8" w:rsidP="00845EE8">
            <w:pPr>
              <w:spacing w:before="40" w:after="40"/>
              <w:outlineLvl w:val="9"/>
              <w:rPr>
                <w:lang w:eastAsia="en-US"/>
              </w:rPr>
            </w:pPr>
            <w:proofErr w:type="spellStart"/>
            <w:r w:rsidRPr="000A4366">
              <w:rPr>
                <w:lang w:eastAsia="en-US"/>
              </w:rPr>
              <w:t>Necsa</w:t>
            </w:r>
            <w:proofErr w:type="spellEnd"/>
            <w:r w:rsidRPr="000A4366">
              <w:rPr>
                <w:lang w:eastAsia="en-US"/>
              </w:rPr>
              <w:t xml:space="preserve"> Gate 3</w:t>
            </w:r>
          </w:p>
          <w:p w:rsidR="00845EE8" w:rsidRPr="000A4366" w:rsidRDefault="00845EE8" w:rsidP="00845EE8">
            <w:pPr>
              <w:spacing w:before="40" w:after="40"/>
              <w:outlineLvl w:val="9"/>
              <w:rPr>
                <w:lang w:eastAsia="en-US"/>
              </w:rPr>
            </w:pPr>
            <w:r w:rsidRPr="000A4366">
              <w:rPr>
                <w:lang w:eastAsia="en-US"/>
              </w:rPr>
              <w:t xml:space="preserve">R104 Elias </w:t>
            </w:r>
            <w:proofErr w:type="spellStart"/>
            <w:r w:rsidRPr="000A4366">
              <w:rPr>
                <w:lang w:eastAsia="en-US"/>
              </w:rPr>
              <w:t>Motsoaledi</w:t>
            </w:r>
            <w:proofErr w:type="spellEnd"/>
            <w:r w:rsidRPr="000A4366">
              <w:rPr>
                <w:lang w:eastAsia="en-US"/>
              </w:rPr>
              <w:t xml:space="preserve"> Street (Church Street West Ext)</w:t>
            </w:r>
          </w:p>
          <w:p w:rsidR="00845EE8" w:rsidRPr="000A4366" w:rsidRDefault="00845EE8" w:rsidP="00845EE8">
            <w:pPr>
              <w:spacing w:before="40" w:after="40"/>
              <w:outlineLvl w:val="9"/>
              <w:rPr>
                <w:lang w:eastAsia="en-US"/>
              </w:rPr>
            </w:pPr>
            <w:proofErr w:type="spellStart"/>
            <w:r w:rsidRPr="000A4366">
              <w:rPr>
                <w:lang w:eastAsia="en-US"/>
              </w:rPr>
              <w:t>Pelindaba</w:t>
            </w:r>
            <w:proofErr w:type="spellEnd"/>
          </w:p>
          <w:p w:rsidR="00845EE8" w:rsidRPr="000A4366" w:rsidRDefault="00845EE8" w:rsidP="00845EE8">
            <w:pPr>
              <w:spacing w:before="40" w:after="40"/>
              <w:outlineLvl w:val="9"/>
              <w:rPr>
                <w:lang w:eastAsia="en-US"/>
              </w:rPr>
            </w:pPr>
            <w:r w:rsidRPr="000A4366">
              <w:rPr>
                <w:lang w:eastAsia="en-US"/>
              </w:rPr>
              <w:t>Brits Magisterial District</w:t>
            </w:r>
          </w:p>
          <w:p w:rsidR="00845EE8" w:rsidRPr="000A4366" w:rsidRDefault="00845EE8" w:rsidP="00845EE8">
            <w:pPr>
              <w:spacing w:before="40" w:after="40"/>
              <w:outlineLvl w:val="9"/>
              <w:rPr>
                <w:lang w:eastAsia="en-US"/>
              </w:rPr>
            </w:pPr>
            <w:r w:rsidRPr="000A4366">
              <w:rPr>
                <w:lang w:eastAsia="en-US"/>
              </w:rPr>
              <w:t>Madibeng Municipality</w:t>
            </w:r>
          </w:p>
          <w:p w:rsidR="00845EE8" w:rsidRPr="000A4366" w:rsidRDefault="00845EE8" w:rsidP="00845EE8">
            <w:pPr>
              <w:spacing w:before="40" w:after="40"/>
              <w:outlineLvl w:val="9"/>
              <w:rPr>
                <w:lang w:eastAsia="en-US"/>
              </w:rPr>
            </w:pPr>
            <w:r w:rsidRPr="000A4366">
              <w:rPr>
                <w:lang w:eastAsia="en-US"/>
              </w:rPr>
              <w:t>North West</w:t>
            </w:r>
          </w:p>
          <w:p w:rsidR="00845EE8" w:rsidRPr="000A4366" w:rsidRDefault="00845EE8" w:rsidP="00845EE8">
            <w:pPr>
              <w:rPr>
                <w:iCs w:val="0"/>
                <w:lang w:eastAsia="en-US"/>
              </w:rPr>
            </w:pPr>
            <w:r w:rsidRPr="000A4366">
              <w:rPr>
                <w:iCs w:val="0"/>
                <w:lang w:eastAsia="en-US"/>
              </w:rPr>
              <w:t>0240</w:t>
            </w:r>
          </w:p>
          <w:p w:rsidR="00845EE8" w:rsidRPr="000A4366" w:rsidRDefault="00845EE8" w:rsidP="00845EE8">
            <w:pPr>
              <w:rPr>
                <w:rFonts w:eastAsia="Arial"/>
                <w:bCs/>
              </w:rPr>
            </w:pPr>
          </w:p>
        </w:tc>
      </w:tr>
      <w:tr w:rsidR="00845EE8" w:rsidRPr="000A4366" w:rsidTr="00C821F8">
        <w:tc>
          <w:tcPr>
            <w:tcW w:w="2405" w:type="dxa"/>
          </w:tcPr>
          <w:p w:rsidR="00845EE8" w:rsidRPr="000A4366" w:rsidRDefault="00845EE8" w:rsidP="00845EE8">
            <w:pPr>
              <w:rPr>
                <w:b/>
                <w:lang w:val="en-ZA" w:eastAsia="en-US"/>
              </w:rPr>
            </w:pPr>
            <w:r w:rsidRPr="000A4366">
              <w:rPr>
                <w:b/>
              </w:rPr>
              <w:t>ENQUIRES:</w:t>
            </w:r>
          </w:p>
        </w:tc>
        <w:tc>
          <w:tcPr>
            <w:tcW w:w="7222" w:type="dxa"/>
          </w:tcPr>
          <w:p w:rsidR="00845EE8" w:rsidRPr="000A4366" w:rsidRDefault="00845EE8" w:rsidP="00845EE8">
            <w:pPr>
              <w:spacing w:before="40" w:after="40"/>
              <w:outlineLvl w:val="9"/>
              <w:rPr>
                <w:lang w:eastAsia="en-US"/>
              </w:rPr>
            </w:pPr>
            <w:r w:rsidRPr="00970B35">
              <w:rPr>
                <w:lang w:eastAsia="en-US"/>
              </w:rPr>
              <w:t>Mr. Buyani Nsibande</w:t>
            </w:r>
            <w:r w:rsidRPr="000A4366">
              <w:rPr>
                <w:lang w:eastAsia="en-US"/>
              </w:rPr>
              <w:t xml:space="preserve"> </w:t>
            </w:r>
          </w:p>
          <w:p w:rsidR="00845EE8" w:rsidRPr="000A4366" w:rsidRDefault="00845EE8" w:rsidP="00845EE8">
            <w:pPr>
              <w:rPr>
                <w:iCs w:val="0"/>
                <w:lang w:eastAsia="en-US"/>
              </w:rPr>
            </w:pPr>
            <w:r w:rsidRPr="000A4366">
              <w:rPr>
                <w:b/>
                <w:lang w:eastAsia="en-US"/>
              </w:rPr>
              <w:t>Email</w:t>
            </w:r>
            <w:r w:rsidRPr="000A4366">
              <w:rPr>
                <w:lang w:eastAsia="en-US"/>
              </w:rPr>
              <w:t xml:space="preserve">: </w:t>
            </w:r>
            <w:hyperlink r:id="rId13" w:history="1">
              <w:r w:rsidR="00970B35" w:rsidRPr="00D735D4">
                <w:rPr>
                  <w:rStyle w:val="Hyperlink"/>
                  <w:lang w:eastAsia="en-US"/>
                </w:rPr>
                <w:t>s</w:t>
              </w:r>
              <w:r w:rsidR="00970B35" w:rsidRPr="00D735D4">
                <w:rPr>
                  <w:rStyle w:val="Hyperlink"/>
                </w:rPr>
                <w:t>cm</w:t>
              </w:r>
              <w:r w:rsidR="00970B35" w:rsidRPr="00D735D4">
                <w:rPr>
                  <w:rStyle w:val="Hyperlink"/>
                  <w:lang w:eastAsia="en-US"/>
                </w:rPr>
                <w:t>@necsa.co.za</w:t>
              </w:r>
            </w:hyperlink>
            <w:r w:rsidRPr="000A4366">
              <w:rPr>
                <w:lang w:eastAsia="en-US"/>
              </w:rPr>
              <w:t xml:space="preserve"> </w:t>
            </w:r>
            <w:r w:rsidRPr="000A4366">
              <w:rPr>
                <w:b/>
                <w:iCs w:val="0"/>
                <w:lang w:eastAsia="en-US"/>
              </w:rPr>
              <w:t>Tel:</w:t>
            </w:r>
            <w:r w:rsidRPr="000A4366">
              <w:rPr>
                <w:iCs w:val="0"/>
                <w:lang w:eastAsia="en-US"/>
              </w:rPr>
              <w:t xml:space="preserve"> +27 (0) 12 305 6072</w:t>
            </w:r>
          </w:p>
          <w:p w:rsidR="00845EE8" w:rsidRPr="000606C5" w:rsidRDefault="00845EE8" w:rsidP="00845EE8">
            <w:pPr>
              <w:jc w:val="both"/>
            </w:pPr>
            <w:r>
              <w:rPr>
                <w:w w:val="105"/>
              </w:rPr>
              <w:t>Clarity seeking question must be submitted 7 days before closing date.</w:t>
            </w:r>
          </w:p>
          <w:p w:rsidR="00845EE8" w:rsidRPr="000A4366" w:rsidRDefault="00845EE8" w:rsidP="00845EE8">
            <w:pPr>
              <w:rPr>
                <w:iCs w:val="0"/>
                <w:lang w:eastAsia="en-US"/>
              </w:rPr>
            </w:pPr>
          </w:p>
        </w:tc>
      </w:tr>
    </w:tbl>
    <w:p w:rsidR="008610B6" w:rsidRPr="000A4366" w:rsidRDefault="00CD1845" w:rsidP="002602E1">
      <w:pPr>
        <w:jc w:val="both"/>
        <w:rPr>
          <w:b/>
        </w:rPr>
      </w:pPr>
      <w:r w:rsidRPr="000A4366">
        <w:rPr>
          <w:b/>
        </w:rPr>
        <w:t>THIS BID IS SUBJECT TO THE PREFERENTIAL PROCUREMENT POLICY FRAMEWORK ACT AND THE PREFERENTIAL PROCUREMENT REGULATIONS, 20</w:t>
      </w:r>
      <w:r w:rsidR="00970B35">
        <w:rPr>
          <w:b/>
        </w:rPr>
        <w:t>22</w:t>
      </w:r>
      <w:r w:rsidRPr="000A4366">
        <w:rPr>
          <w:b/>
        </w:rPr>
        <w:t>, THE GENERAL CONDITIONS OF CONTRACT (GCC) AND, IF APPLICABLE, ANY OTHER SPECIAL CONDITIONS OF CONTRACT.</w:t>
      </w:r>
    </w:p>
    <w:p w:rsidR="00290ADA" w:rsidRPr="000A4366" w:rsidRDefault="00290ADA" w:rsidP="002602E1">
      <w:pPr>
        <w:jc w:val="both"/>
        <w:rPr>
          <w:b/>
        </w:rPr>
      </w:pPr>
    </w:p>
    <w:p w:rsidR="00290ADA" w:rsidRPr="000A4366" w:rsidRDefault="00290ADA" w:rsidP="002602E1">
      <w:pPr>
        <w:jc w:val="both"/>
        <w:rPr>
          <w:b/>
        </w:rPr>
      </w:pPr>
    </w:p>
    <w:p w:rsidR="001D0CDB" w:rsidRPr="000A4366" w:rsidRDefault="001D0CDB" w:rsidP="002602E1">
      <w:pPr>
        <w:jc w:val="both"/>
        <w:rPr>
          <w:b/>
        </w:rPr>
      </w:pPr>
    </w:p>
    <w:p w:rsidR="00D32065" w:rsidRPr="000A4366" w:rsidRDefault="00D32065" w:rsidP="002602E1">
      <w:pPr>
        <w:jc w:val="both"/>
        <w:rPr>
          <w:b/>
        </w:rPr>
      </w:pPr>
    </w:p>
    <w:p w:rsidR="00D32065" w:rsidRPr="000A4366" w:rsidRDefault="00D32065" w:rsidP="002602E1">
      <w:pPr>
        <w:jc w:val="both"/>
        <w:rPr>
          <w:b/>
        </w:rPr>
      </w:pPr>
    </w:p>
    <w:p w:rsidR="00773E13" w:rsidRPr="000A4366" w:rsidRDefault="00773E13" w:rsidP="002602E1">
      <w:pPr>
        <w:jc w:val="both"/>
        <w:rPr>
          <w:rFonts w:ascii="Arial Bold" w:hAnsi="Arial Bold"/>
          <w:b/>
          <w:bCs/>
          <w:caps/>
          <w:sz w:val="32"/>
          <w:szCs w:val="44"/>
          <w:lang w:val="en-ZA" w:eastAsia="en-US"/>
        </w:rPr>
      </w:pPr>
    </w:p>
    <w:p w:rsidR="00484FDB" w:rsidRPr="000A4366" w:rsidRDefault="00484FDB" w:rsidP="00FB1E06">
      <w:pPr>
        <w:pStyle w:val="Title"/>
        <w:outlineLvl w:val="9"/>
        <w:rPr>
          <w:color w:val="auto"/>
        </w:rPr>
      </w:pPr>
      <w:r w:rsidRPr="000A4366">
        <w:rPr>
          <w:color w:val="auto"/>
        </w:rPr>
        <w:t>Table of Contents</w:t>
      </w:r>
    </w:p>
    <w:p w:rsidR="00F80D24" w:rsidRPr="000A4366" w:rsidRDefault="00F80D24" w:rsidP="008610B6">
      <w:pPr>
        <w:spacing w:before="0" w:after="0" w:line="240" w:lineRule="auto"/>
        <w:rPr>
          <w:sz w:val="6"/>
          <w:lang w:val="en-ZA" w:eastAsia="en-US"/>
        </w:rPr>
      </w:pPr>
    </w:p>
    <w:p w:rsidR="00C37509" w:rsidRDefault="00BB0E4C">
      <w:pPr>
        <w:pStyle w:val="TOC1"/>
        <w:tabs>
          <w:tab w:val="right" w:leader="dot" w:pos="9627"/>
        </w:tabs>
        <w:rPr>
          <w:rFonts w:asciiTheme="minorHAnsi" w:eastAsiaTheme="minorEastAsia" w:hAnsiTheme="minorHAnsi" w:cstheme="minorBidi"/>
          <w:b w:val="0"/>
          <w:iCs w:val="0"/>
          <w:noProof/>
          <w:sz w:val="22"/>
          <w:lang w:val="en-ZA"/>
        </w:rPr>
      </w:pPr>
      <w:r w:rsidRPr="000A4366">
        <w:fldChar w:fldCharType="begin"/>
      </w:r>
      <w:r w:rsidR="00292449" w:rsidRPr="000A4366">
        <w:instrText xml:space="preserve"> TOC \o "1-3" \h \z \u </w:instrText>
      </w:r>
      <w:r w:rsidRPr="000A4366">
        <w:fldChar w:fldCharType="separate"/>
      </w:r>
      <w:hyperlink w:anchor="_Toc85434434" w:history="1">
        <w:r w:rsidR="00C37509" w:rsidRPr="00742AE2">
          <w:rPr>
            <w:rStyle w:val="Hyperlink"/>
            <w:noProof/>
          </w:rPr>
          <w:t>SECTION 1</w:t>
        </w:r>
        <w:r w:rsidR="00C37509">
          <w:rPr>
            <w:noProof/>
            <w:webHidden/>
          </w:rPr>
          <w:tab/>
        </w:r>
        <w:r w:rsidR="00C37509">
          <w:rPr>
            <w:noProof/>
            <w:webHidden/>
          </w:rPr>
          <w:fldChar w:fldCharType="begin"/>
        </w:r>
        <w:r w:rsidR="00C37509">
          <w:rPr>
            <w:noProof/>
            <w:webHidden/>
          </w:rPr>
          <w:instrText xml:space="preserve"> PAGEREF _Toc85434434 \h </w:instrText>
        </w:r>
        <w:r w:rsidR="00C37509">
          <w:rPr>
            <w:noProof/>
            <w:webHidden/>
          </w:rPr>
        </w:r>
        <w:r w:rsidR="00C37509">
          <w:rPr>
            <w:noProof/>
            <w:webHidden/>
          </w:rPr>
          <w:fldChar w:fldCharType="separate"/>
        </w:r>
        <w:r w:rsidR="00C37509">
          <w:rPr>
            <w:noProof/>
            <w:webHidden/>
          </w:rPr>
          <w:t>3</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35" w:history="1">
        <w:r w:rsidR="00C37509" w:rsidRPr="00742AE2">
          <w:rPr>
            <w:rStyle w:val="Hyperlink"/>
            <w:rFonts w:ascii="Arial Bold" w:hAnsi="Arial Bold"/>
            <w:noProof/>
          </w:rPr>
          <w:t>1.</w:t>
        </w:r>
        <w:r w:rsidR="00C37509">
          <w:rPr>
            <w:rFonts w:asciiTheme="minorHAnsi" w:eastAsiaTheme="minorEastAsia" w:hAnsiTheme="minorHAnsi" w:cstheme="minorBidi"/>
            <w:b w:val="0"/>
            <w:iCs w:val="0"/>
            <w:noProof/>
            <w:sz w:val="22"/>
            <w:lang w:val="en-ZA"/>
          </w:rPr>
          <w:tab/>
        </w:r>
        <w:r w:rsidR="00C37509" w:rsidRPr="00742AE2">
          <w:rPr>
            <w:rStyle w:val="Hyperlink"/>
            <w:noProof/>
          </w:rPr>
          <w:t>Introduction</w:t>
        </w:r>
        <w:r w:rsidR="00C37509">
          <w:rPr>
            <w:noProof/>
            <w:webHidden/>
          </w:rPr>
          <w:tab/>
        </w:r>
        <w:r w:rsidR="00C37509">
          <w:rPr>
            <w:noProof/>
            <w:webHidden/>
          </w:rPr>
          <w:fldChar w:fldCharType="begin"/>
        </w:r>
        <w:r w:rsidR="00C37509">
          <w:rPr>
            <w:noProof/>
            <w:webHidden/>
          </w:rPr>
          <w:instrText xml:space="preserve"> PAGEREF _Toc85434435 \h </w:instrText>
        </w:r>
        <w:r w:rsidR="00C37509">
          <w:rPr>
            <w:noProof/>
            <w:webHidden/>
          </w:rPr>
        </w:r>
        <w:r w:rsidR="00C37509">
          <w:rPr>
            <w:noProof/>
            <w:webHidden/>
          </w:rPr>
          <w:fldChar w:fldCharType="separate"/>
        </w:r>
        <w:r w:rsidR="00C37509">
          <w:rPr>
            <w:noProof/>
            <w:webHidden/>
          </w:rPr>
          <w:t>3</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36" w:history="1">
        <w:r w:rsidR="00C37509" w:rsidRPr="00742AE2">
          <w:rPr>
            <w:rStyle w:val="Hyperlink"/>
            <w:noProof/>
          </w:rPr>
          <w:t>1.1</w:t>
        </w:r>
        <w:r w:rsidR="00C37509">
          <w:rPr>
            <w:rFonts w:asciiTheme="minorHAnsi" w:eastAsiaTheme="minorEastAsia" w:hAnsiTheme="minorHAnsi" w:cstheme="minorBidi"/>
            <w:iCs w:val="0"/>
            <w:noProof/>
            <w:sz w:val="22"/>
            <w:lang w:val="en-ZA"/>
          </w:rPr>
          <w:tab/>
        </w:r>
        <w:r w:rsidR="00C37509" w:rsidRPr="00742AE2">
          <w:rPr>
            <w:rStyle w:val="Hyperlink"/>
            <w:noProof/>
          </w:rPr>
          <w:t>Company Overview</w:t>
        </w:r>
        <w:r w:rsidR="00C37509">
          <w:rPr>
            <w:noProof/>
            <w:webHidden/>
          </w:rPr>
          <w:tab/>
        </w:r>
        <w:r w:rsidR="00C37509">
          <w:rPr>
            <w:noProof/>
            <w:webHidden/>
          </w:rPr>
          <w:fldChar w:fldCharType="begin"/>
        </w:r>
        <w:r w:rsidR="00C37509">
          <w:rPr>
            <w:noProof/>
            <w:webHidden/>
          </w:rPr>
          <w:instrText xml:space="preserve"> PAGEREF _Toc85434436 \h </w:instrText>
        </w:r>
        <w:r w:rsidR="00C37509">
          <w:rPr>
            <w:noProof/>
            <w:webHidden/>
          </w:rPr>
        </w:r>
        <w:r w:rsidR="00C37509">
          <w:rPr>
            <w:noProof/>
            <w:webHidden/>
          </w:rPr>
          <w:fldChar w:fldCharType="separate"/>
        </w:r>
        <w:r w:rsidR="00C37509">
          <w:rPr>
            <w:noProof/>
            <w:webHidden/>
          </w:rPr>
          <w:t>3</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37" w:history="1">
        <w:r w:rsidR="00C37509" w:rsidRPr="00742AE2">
          <w:rPr>
            <w:rStyle w:val="Hyperlink"/>
            <w:noProof/>
          </w:rPr>
          <w:t>1.2</w:t>
        </w:r>
        <w:r w:rsidR="00C37509">
          <w:rPr>
            <w:rFonts w:asciiTheme="minorHAnsi" w:eastAsiaTheme="minorEastAsia" w:hAnsiTheme="minorHAnsi" w:cstheme="minorBidi"/>
            <w:iCs w:val="0"/>
            <w:noProof/>
            <w:sz w:val="22"/>
            <w:lang w:val="en-ZA"/>
          </w:rPr>
          <w:tab/>
        </w:r>
        <w:r w:rsidR="00C37509" w:rsidRPr="00742AE2">
          <w:rPr>
            <w:rStyle w:val="Hyperlink"/>
            <w:noProof/>
          </w:rPr>
          <w:t>Purpose</w:t>
        </w:r>
        <w:r w:rsidR="00C37509">
          <w:rPr>
            <w:noProof/>
            <w:webHidden/>
          </w:rPr>
          <w:tab/>
        </w:r>
        <w:r w:rsidR="00C37509">
          <w:rPr>
            <w:noProof/>
            <w:webHidden/>
          </w:rPr>
          <w:fldChar w:fldCharType="begin"/>
        </w:r>
        <w:r w:rsidR="00C37509">
          <w:rPr>
            <w:noProof/>
            <w:webHidden/>
          </w:rPr>
          <w:instrText xml:space="preserve"> PAGEREF _Toc85434437 \h </w:instrText>
        </w:r>
        <w:r w:rsidR="00C37509">
          <w:rPr>
            <w:noProof/>
            <w:webHidden/>
          </w:rPr>
        </w:r>
        <w:r w:rsidR="00C37509">
          <w:rPr>
            <w:noProof/>
            <w:webHidden/>
          </w:rPr>
          <w:fldChar w:fldCharType="separate"/>
        </w:r>
        <w:r w:rsidR="00C37509">
          <w:rPr>
            <w:noProof/>
            <w:webHidden/>
          </w:rPr>
          <w:t>3</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38" w:history="1">
        <w:r w:rsidR="00C37509" w:rsidRPr="00742AE2">
          <w:rPr>
            <w:rStyle w:val="Hyperlink"/>
            <w:noProof/>
          </w:rPr>
          <w:t>1.3</w:t>
        </w:r>
        <w:r w:rsidR="00C37509">
          <w:rPr>
            <w:rFonts w:asciiTheme="minorHAnsi" w:eastAsiaTheme="minorEastAsia" w:hAnsiTheme="minorHAnsi" w:cstheme="minorBidi"/>
            <w:iCs w:val="0"/>
            <w:noProof/>
            <w:sz w:val="22"/>
            <w:lang w:val="en-ZA"/>
          </w:rPr>
          <w:tab/>
        </w:r>
        <w:r w:rsidR="00C37509" w:rsidRPr="00742AE2">
          <w:rPr>
            <w:rStyle w:val="Hyperlink"/>
            <w:noProof/>
          </w:rPr>
          <w:t>Background</w:t>
        </w:r>
        <w:r w:rsidR="00C37509">
          <w:rPr>
            <w:noProof/>
            <w:webHidden/>
          </w:rPr>
          <w:tab/>
        </w:r>
        <w:r w:rsidR="00C37509">
          <w:rPr>
            <w:noProof/>
            <w:webHidden/>
          </w:rPr>
          <w:fldChar w:fldCharType="begin"/>
        </w:r>
        <w:r w:rsidR="00C37509">
          <w:rPr>
            <w:noProof/>
            <w:webHidden/>
          </w:rPr>
          <w:instrText xml:space="preserve"> PAGEREF _Toc85434438 \h </w:instrText>
        </w:r>
        <w:r w:rsidR="00C37509">
          <w:rPr>
            <w:noProof/>
            <w:webHidden/>
          </w:rPr>
        </w:r>
        <w:r w:rsidR="00C37509">
          <w:rPr>
            <w:noProof/>
            <w:webHidden/>
          </w:rPr>
          <w:fldChar w:fldCharType="separate"/>
        </w:r>
        <w:r w:rsidR="00C37509">
          <w:rPr>
            <w:noProof/>
            <w:webHidden/>
          </w:rPr>
          <w:t>3</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39" w:history="1">
        <w:r w:rsidR="00C37509" w:rsidRPr="00742AE2">
          <w:rPr>
            <w:rStyle w:val="Hyperlink"/>
            <w:rFonts w:ascii="Arial Bold" w:hAnsi="Arial Bold"/>
            <w:noProof/>
          </w:rPr>
          <w:t>2.</w:t>
        </w:r>
        <w:r w:rsidR="00C37509">
          <w:rPr>
            <w:rFonts w:asciiTheme="minorHAnsi" w:eastAsiaTheme="minorEastAsia" w:hAnsiTheme="minorHAnsi" w:cstheme="minorBidi"/>
            <w:b w:val="0"/>
            <w:iCs w:val="0"/>
            <w:noProof/>
            <w:sz w:val="22"/>
            <w:lang w:val="en-ZA"/>
          </w:rPr>
          <w:tab/>
        </w:r>
        <w:r w:rsidR="00C37509" w:rsidRPr="00742AE2">
          <w:rPr>
            <w:rStyle w:val="Hyperlink"/>
            <w:noProof/>
          </w:rPr>
          <w:t>Scope of Services</w:t>
        </w:r>
        <w:r w:rsidR="00C37509">
          <w:rPr>
            <w:noProof/>
            <w:webHidden/>
          </w:rPr>
          <w:tab/>
        </w:r>
        <w:r w:rsidR="00C37509">
          <w:rPr>
            <w:noProof/>
            <w:webHidden/>
          </w:rPr>
          <w:fldChar w:fldCharType="begin"/>
        </w:r>
        <w:r w:rsidR="00C37509">
          <w:rPr>
            <w:noProof/>
            <w:webHidden/>
          </w:rPr>
          <w:instrText xml:space="preserve"> PAGEREF _Toc85434439 \h </w:instrText>
        </w:r>
        <w:r w:rsidR="00C37509">
          <w:rPr>
            <w:noProof/>
            <w:webHidden/>
          </w:rPr>
        </w:r>
        <w:r w:rsidR="00C37509">
          <w:rPr>
            <w:noProof/>
            <w:webHidden/>
          </w:rPr>
          <w:fldChar w:fldCharType="separate"/>
        </w:r>
        <w:r w:rsidR="00C37509">
          <w:rPr>
            <w:noProof/>
            <w:webHidden/>
          </w:rPr>
          <w:t>4</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40" w:history="1">
        <w:r w:rsidR="00C37509" w:rsidRPr="00742AE2">
          <w:rPr>
            <w:rStyle w:val="Hyperlink"/>
            <w:rFonts w:ascii="Arial Bold" w:hAnsi="Arial Bold"/>
            <w:noProof/>
          </w:rPr>
          <w:t>3.</w:t>
        </w:r>
        <w:r w:rsidR="00C37509">
          <w:rPr>
            <w:rFonts w:asciiTheme="minorHAnsi" w:eastAsiaTheme="minorEastAsia" w:hAnsiTheme="minorHAnsi" w:cstheme="minorBidi"/>
            <w:b w:val="0"/>
            <w:iCs w:val="0"/>
            <w:noProof/>
            <w:sz w:val="22"/>
            <w:lang w:val="en-ZA"/>
          </w:rPr>
          <w:tab/>
        </w:r>
        <w:r w:rsidR="00C37509" w:rsidRPr="00742AE2">
          <w:rPr>
            <w:rStyle w:val="Hyperlink"/>
            <w:noProof/>
          </w:rPr>
          <w:t>Specification / Technical Requirement</w:t>
        </w:r>
        <w:r w:rsidR="00C37509">
          <w:rPr>
            <w:noProof/>
            <w:webHidden/>
          </w:rPr>
          <w:tab/>
        </w:r>
        <w:r w:rsidR="00C37509">
          <w:rPr>
            <w:noProof/>
            <w:webHidden/>
          </w:rPr>
          <w:fldChar w:fldCharType="begin"/>
        </w:r>
        <w:r w:rsidR="00C37509">
          <w:rPr>
            <w:noProof/>
            <w:webHidden/>
          </w:rPr>
          <w:instrText xml:space="preserve"> PAGEREF _Toc85434440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1" w:history="1">
        <w:r w:rsidR="00C37509" w:rsidRPr="00742AE2">
          <w:rPr>
            <w:rStyle w:val="Hyperlink"/>
            <w:noProof/>
          </w:rPr>
          <w:t>Please refer to Annexure A for Bid Specification Requirement that must be completed as part of the mandatory document listed in section 6.</w:t>
        </w:r>
        <w:r w:rsidR="00C37509">
          <w:rPr>
            <w:noProof/>
            <w:webHidden/>
          </w:rPr>
          <w:tab/>
        </w:r>
        <w:r w:rsidR="00C37509">
          <w:rPr>
            <w:noProof/>
            <w:webHidden/>
          </w:rPr>
          <w:fldChar w:fldCharType="begin"/>
        </w:r>
        <w:r w:rsidR="00C37509">
          <w:rPr>
            <w:noProof/>
            <w:webHidden/>
          </w:rPr>
          <w:instrText xml:space="preserve"> PAGEREF _Toc85434441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2" w:history="1">
        <w:r w:rsidR="00C37509" w:rsidRPr="00742AE2">
          <w:rPr>
            <w:rStyle w:val="Hyperlink"/>
            <w:noProof/>
          </w:rPr>
          <w:t>3.1</w:t>
        </w:r>
        <w:r w:rsidR="00C37509">
          <w:rPr>
            <w:rFonts w:asciiTheme="minorHAnsi" w:eastAsiaTheme="minorEastAsia" w:hAnsiTheme="minorHAnsi" w:cstheme="minorBidi"/>
            <w:iCs w:val="0"/>
            <w:noProof/>
            <w:sz w:val="22"/>
            <w:lang w:val="en-ZA"/>
          </w:rPr>
          <w:tab/>
        </w:r>
        <w:r w:rsidR="00C37509" w:rsidRPr="00742AE2">
          <w:rPr>
            <w:rStyle w:val="Hyperlink"/>
            <w:noProof/>
          </w:rPr>
          <w:t>Project Plan and Schedule</w:t>
        </w:r>
        <w:r w:rsidR="00C37509">
          <w:rPr>
            <w:noProof/>
            <w:webHidden/>
          </w:rPr>
          <w:tab/>
        </w:r>
        <w:r w:rsidR="00C37509">
          <w:rPr>
            <w:noProof/>
            <w:webHidden/>
          </w:rPr>
          <w:fldChar w:fldCharType="begin"/>
        </w:r>
        <w:r w:rsidR="00C37509">
          <w:rPr>
            <w:noProof/>
            <w:webHidden/>
          </w:rPr>
          <w:instrText xml:space="preserve"> PAGEREF _Toc85434442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3" w:history="1">
        <w:r w:rsidR="00C37509" w:rsidRPr="00742AE2">
          <w:rPr>
            <w:rStyle w:val="Hyperlink"/>
            <w:noProof/>
          </w:rPr>
          <w:t>3.2</w:t>
        </w:r>
        <w:r w:rsidR="00C37509">
          <w:rPr>
            <w:rFonts w:asciiTheme="minorHAnsi" w:eastAsiaTheme="minorEastAsia" w:hAnsiTheme="minorHAnsi" w:cstheme="minorBidi"/>
            <w:iCs w:val="0"/>
            <w:noProof/>
            <w:sz w:val="22"/>
            <w:lang w:val="en-ZA"/>
          </w:rPr>
          <w:tab/>
        </w:r>
        <w:r w:rsidR="00C37509" w:rsidRPr="00742AE2">
          <w:rPr>
            <w:rStyle w:val="Hyperlink"/>
            <w:noProof/>
          </w:rPr>
          <w:t>Applicable Necsa Policies</w:t>
        </w:r>
        <w:r w:rsidR="00C37509">
          <w:rPr>
            <w:noProof/>
            <w:webHidden/>
          </w:rPr>
          <w:tab/>
        </w:r>
        <w:r w:rsidR="00C37509">
          <w:rPr>
            <w:noProof/>
            <w:webHidden/>
          </w:rPr>
          <w:fldChar w:fldCharType="begin"/>
        </w:r>
        <w:r w:rsidR="00C37509">
          <w:rPr>
            <w:noProof/>
            <w:webHidden/>
          </w:rPr>
          <w:instrText xml:space="preserve"> PAGEREF _Toc85434443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44" w:history="1">
        <w:r w:rsidR="00C37509" w:rsidRPr="00742AE2">
          <w:rPr>
            <w:rStyle w:val="Hyperlink"/>
            <w:rFonts w:ascii="Arial Bold" w:hAnsi="Arial Bold"/>
            <w:noProof/>
          </w:rPr>
          <w:t>4.</w:t>
        </w:r>
        <w:r w:rsidR="00C37509">
          <w:rPr>
            <w:rFonts w:asciiTheme="minorHAnsi" w:eastAsiaTheme="minorEastAsia" w:hAnsiTheme="minorHAnsi" w:cstheme="minorBidi"/>
            <w:b w:val="0"/>
            <w:iCs w:val="0"/>
            <w:noProof/>
            <w:sz w:val="22"/>
            <w:lang w:val="en-ZA"/>
          </w:rPr>
          <w:tab/>
        </w:r>
        <w:r w:rsidR="00C37509" w:rsidRPr="00742AE2">
          <w:rPr>
            <w:rStyle w:val="Hyperlink"/>
            <w:noProof/>
          </w:rPr>
          <w:t>Applicable Necsa Procedures</w:t>
        </w:r>
        <w:r w:rsidR="00C37509">
          <w:rPr>
            <w:noProof/>
            <w:webHidden/>
          </w:rPr>
          <w:tab/>
        </w:r>
        <w:r w:rsidR="00C37509">
          <w:rPr>
            <w:noProof/>
            <w:webHidden/>
          </w:rPr>
          <w:fldChar w:fldCharType="begin"/>
        </w:r>
        <w:r w:rsidR="00C37509">
          <w:rPr>
            <w:noProof/>
            <w:webHidden/>
          </w:rPr>
          <w:instrText xml:space="preserve"> PAGEREF _Toc85434444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5" w:history="1">
        <w:r w:rsidR="00C37509" w:rsidRPr="00742AE2">
          <w:rPr>
            <w:rStyle w:val="Hyperlink"/>
            <w:noProof/>
          </w:rPr>
          <w:t>4.1</w:t>
        </w:r>
        <w:r w:rsidR="00C37509">
          <w:rPr>
            <w:rFonts w:asciiTheme="minorHAnsi" w:eastAsiaTheme="minorEastAsia" w:hAnsiTheme="minorHAnsi" w:cstheme="minorBidi"/>
            <w:iCs w:val="0"/>
            <w:noProof/>
            <w:sz w:val="22"/>
            <w:lang w:val="en-ZA"/>
          </w:rPr>
          <w:tab/>
        </w:r>
        <w:r w:rsidR="00C37509" w:rsidRPr="00742AE2">
          <w:rPr>
            <w:rStyle w:val="Hyperlink"/>
            <w:noProof/>
          </w:rPr>
          <w:t>Requirements to Access Necsa Site</w:t>
        </w:r>
        <w:r w:rsidR="00C37509">
          <w:rPr>
            <w:noProof/>
            <w:webHidden/>
          </w:rPr>
          <w:tab/>
        </w:r>
        <w:r w:rsidR="00C37509">
          <w:rPr>
            <w:noProof/>
            <w:webHidden/>
          </w:rPr>
          <w:fldChar w:fldCharType="begin"/>
        </w:r>
        <w:r w:rsidR="00C37509">
          <w:rPr>
            <w:noProof/>
            <w:webHidden/>
          </w:rPr>
          <w:instrText xml:space="preserve"> PAGEREF _Toc85434445 \h </w:instrText>
        </w:r>
        <w:r w:rsidR="00C37509">
          <w:rPr>
            <w:noProof/>
            <w:webHidden/>
          </w:rPr>
        </w:r>
        <w:r w:rsidR="00C37509">
          <w:rPr>
            <w:noProof/>
            <w:webHidden/>
          </w:rPr>
          <w:fldChar w:fldCharType="separate"/>
        </w:r>
        <w:r w:rsidR="00C37509">
          <w:rPr>
            <w:noProof/>
            <w:webHidden/>
          </w:rPr>
          <w:t>5</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6" w:history="1">
        <w:r w:rsidR="00C37509" w:rsidRPr="00742AE2">
          <w:rPr>
            <w:rStyle w:val="Hyperlink"/>
            <w:noProof/>
          </w:rPr>
          <w:t>4.2</w:t>
        </w:r>
        <w:r w:rsidR="00C37509">
          <w:rPr>
            <w:rFonts w:asciiTheme="minorHAnsi" w:eastAsiaTheme="minorEastAsia" w:hAnsiTheme="minorHAnsi" w:cstheme="minorBidi"/>
            <w:iCs w:val="0"/>
            <w:noProof/>
            <w:sz w:val="22"/>
            <w:lang w:val="en-ZA"/>
          </w:rPr>
          <w:tab/>
        </w:r>
        <w:r w:rsidR="00C37509" w:rsidRPr="00742AE2">
          <w:rPr>
            <w:rStyle w:val="Hyperlink"/>
            <w:noProof/>
          </w:rPr>
          <w:t>Emergencies, Incidents, Accidents</w:t>
        </w:r>
        <w:r w:rsidR="00C37509">
          <w:rPr>
            <w:noProof/>
            <w:webHidden/>
          </w:rPr>
          <w:tab/>
        </w:r>
        <w:r w:rsidR="00C37509">
          <w:rPr>
            <w:noProof/>
            <w:webHidden/>
          </w:rPr>
          <w:fldChar w:fldCharType="begin"/>
        </w:r>
        <w:r w:rsidR="00C37509">
          <w:rPr>
            <w:noProof/>
            <w:webHidden/>
          </w:rPr>
          <w:instrText xml:space="preserve"> PAGEREF _Toc85434446 \h </w:instrText>
        </w:r>
        <w:r w:rsidR="00C37509">
          <w:rPr>
            <w:noProof/>
            <w:webHidden/>
          </w:rPr>
        </w:r>
        <w:r w:rsidR="00C37509">
          <w:rPr>
            <w:noProof/>
            <w:webHidden/>
          </w:rPr>
          <w:fldChar w:fldCharType="separate"/>
        </w:r>
        <w:r w:rsidR="00C37509">
          <w:rPr>
            <w:noProof/>
            <w:webHidden/>
          </w:rPr>
          <w:t>6</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7" w:history="1">
        <w:r w:rsidR="00C37509" w:rsidRPr="00742AE2">
          <w:rPr>
            <w:rStyle w:val="Hyperlink"/>
            <w:noProof/>
          </w:rPr>
          <w:t>4.3</w:t>
        </w:r>
        <w:r w:rsidR="00C37509">
          <w:rPr>
            <w:rFonts w:asciiTheme="minorHAnsi" w:eastAsiaTheme="minorEastAsia" w:hAnsiTheme="minorHAnsi" w:cstheme="minorBidi"/>
            <w:iCs w:val="0"/>
            <w:noProof/>
            <w:sz w:val="22"/>
            <w:lang w:val="en-ZA"/>
          </w:rPr>
          <w:tab/>
        </w:r>
        <w:r w:rsidR="00C37509" w:rsidRPr="00742AE2">
          <w:rPr>
            <w:rStyle w:val="Hyperlink"/>
            <w:noProof/>
          </w:rPr>
          <w:t>Necsa Health, Safety and Environmental Requirements</w:t>
        </w:r>
        <w:r w:rsidR="00C37509">
          <w:rPr>
            <w:noProof/>
            <w:webHidden/>
          </w:rPr>
          <w:tab/>
        </w:r>
        <w:r w:rsidR="00C37509">
          <w:rPr>
            <w:noProof/>
            <w:webHidden/>
          </w:rPr>
          <w:fldChar w:fldCharType="begin"/>
        </w:r>
        <w:r w:rsidR="00C37509">
          <w:rPr>
            <w:noProof/>
            <w:webHidden/>
          </w:rPr>
          <w:instrText xml:space="preserve"> PAGEREF _Toc85434447 \h </w:instrText>
        </w:r>
        <w:r w:rsidR="00C37509">
          <w:rPr>
            <w:noProof/>
            <w:webHidden/>
          </w:rPr>
        </w:r>
        <w:r w:rsidR="00C37509">
          <w:rPr>
            <w:noProof/>
            <w:webHidden/>
          </w:rPr>
          <w:fldChar w:fldCharType="separate"/>
        </w:r>
        <w:r w:rsidR="00C37509">
          <w:rPr>
            <w:noProof/>
            <w:webHidden/>
          </w:rPr>
          <w:t>6</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8" w:history="1">
        <w:r w:rsidR="00C37509" w:rsidRPr="00742AE2">
          <w:rPr>
            <w:rStyle w:val="Hyperlink"/>
            <w:noProof/>
          </w:rPr>
          <w:t>4.4</w:t>
        </w:r>
        <w:r w:rsidR="00C37509">
          <w:rPr>
            <w:rFonts w:asciiTheme="minorHAnsi" w:eastAsiaTheme="minorEastAsia" w:hAnsiTheme="minorHAnsi" w:cstheme="minorBidi"/>
            <w:iCs w:val="0"/>
            <w:noProof/>
            <w:sz w:val="22"/>
            <w:lang w:val="en-ZA"/>
          </w:rPr>
          <w:tab/>
        </w:r>
        <w:r w:rsidR="00C37509" w:rsidRPr="00742AE2">
          <w:rPr>
            <w:rStyle w:val="Hyperlink"/>
            <w:noProof/>
          </w:rPr>
          <w:t>Necsa Requirements for Quality</w:t>
        </w:r>
        <w:r w:rsidR="00C37509">
          <w:rPr>
            <w:noProof/>
            <w:webHidden/>
          </w:rPr>
          <w:tab/>
        </w:r>
        <w:r w:rsidR="00C37509">
          <w:rPr>
            <w:noProof/>
            <w:webHidden/>
          </w:rPr>
          <w:fldChar w:fldCharType="begin"/>
        </w:r>
        <w:r w:rsidR="00C37509">
          <w:rPr>
            <w:noProof/>
            <w:webHidden/>
          </w:rPr>
          <w:instrText xml:space="preserve"> PAGEREF _Toc85434448 \h </w:instrText>
        </w:r>
        <w:r w:rsidR="00C37509">
          <w:rPr>
            <w:noProof/>
            <w:webHidden/>
          </w:rPr>
        </w:r>
        <w:r w:rsidR="00C37509">
          <w:rPr>
            <w:noProof/>
            <w:webHidden/>
          </w:rPr>
          <w:fldChar w:fldCharType="separate"/>
        </w:r>
        <w:r w:rsidR="00C37509">
          <w:rPr>
            <w:noProof/>
            <w:webHidden/>
          </w:rPr>
          <w:t>6</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49" w:history="1">
        <w:r w:rsidR="00C37509" w:rsidRPr="00742AE2">
          <w:rPr>
            <w:rStyle w:val="Hyperlink"/>
            <w:noProof/>
          </w:rPr>
          <w:t>4.5</w:t>
        </w:r>
        <w:r w:rsidR="00C37509">
          <w:rPr>
            <w:rFonts w:asciiTheme="minorHAnsi" w:eastAsiaTheme="minorEastAsia" w:hAnsiTheme="minorHAnsi" w:cstheme="minorBidi"/>
            <w:iCs w:val="0"/>
            <w:noProof/>
            <w:sz w:val="22"/>
            <w:lang w:val="en-ZA"/>
          </w:rPr>
          <w:tab/>
        </w:r>
        <w:r w:rsidR="00C37509" w:rsidRPr="00742AE2">
          <w:rPr>
            <w:rStyle w:val="Hyperlink"/>
            <w:noProof/>
          </w:rPr>
          <w:t>Necsa Requirements for Project SHEQ</w:t>
        </w:r>
        <w:r w:rsidR="00C37509">
          <w:rPr>
            <w:noProof/>
            <w:webHidden/>
          </w:rPr>
          <w:tab/>
        </w:r>
        <w:r w:rsidR="00C37509">
          <w:rPr>
            <w:noProof/>
            <w:webHidden/>
          </w:rPr>
          <w:fldChar w:fldCharType="begin"/>
        </w:r>
        <w:r w:rsidR="00C37509">
          <w:rPr>
            <w:noProof/>
            <w:webHidden/>
          </w:rPr>
          <w:instrText xml:space="preserve"> PAGEREF _Toc85434449 \h </w:instrText>
        </w:r>
        <w:r w:rsidR="00C37509">
          <w:rPr>
            <w:noProof/>
            <w:webHidden/>
          </w:rPr>
        </w:r>
        <w:r w:rsidR="00C37509">
          <w:rPr>
            <w:noProof/>
            <w:webHidden/>
          </w:rPr>
          <w:fldChar w:fldCharType="separate"/>
        </w:r>
        <w:r w:rsidR="00C37509">
          <w:rPr>
            <w:noProof/>
            <w:webHidden/>
          </w:rPr>
          <w:t>6</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0" w:history="1">
        <w:r w:rsidR="00C37509" w:rsidRPr="00742AE2">
          <w:rPr>
            <w:rStyle w:val="Hyperlink"/>
            <w:noProof/>
          </w:rPr>
          <w:t>4.6</w:t>
        </w:r>
        <w:r w:rsidR="00C37509">
          <w:rPr>
            <w:rFonts w:asciiTheme="minorHAnsi" w:eastAsiaTheme="minorEastAsia" w:hAnsiTheme="minorHAnsi" w:cstheme="minorBidi"/>
            <w:iCs w:val="0"/>
            <w:noProof/>
            <w:sz w:val="22"/>
            <w:lang w:val="en-ZA"/>
          </w:rPr>
          <w:tab/>
        </w:r>
        <w:r w:rsidR="00C37509" w:rsidRPr="00742AE2">
          <w:rPr>
            <w:rStyle w:val="Hyperlink"/>
            <w:noProof/>
          </w:rPr>
          <w:t>Confidentiality</w:t>
        </w:r>
        <w:r w:rsidR="00C37509">
          <w:rPr>
            <w:noProof/>
            <w:webHidden/>
          </w:rPr>
          <w:tab/>
        </w:r>
        <w:r w:rsidR="00C37509">
          <w:rPr>
            <w:noProof/>
            <w:webHidden/>
          </w:rPr>
          <w:fldChar w:fldCharType="begin"/>
        </w:r>
        <w:r w:rsidR="00C37509">
          <w:rPr>
            <w:noProof/>
            <w:webHidden/>
          </w:rPr>
          <w:instrText xml:space="preserve"> PAGEREF _Toc85434450 \h </w:instrText>
        </w:r>
        <w:r w:rsidR="00C37509">
          <w:rPr>
            <w:noProof/>
            <w:webHidden/>
          </w:rPr>
        </w:r>
        <w:r w:rsidR="00C37509">
          <w:rPr>
            <w:noProof/>
            <w:webHidden/>
          </w:rPr>
          <w:fldChar w:fldCharType="separate"/>
        </w:r>
        <w:r w:rsidR="00C37509">
          <w:rPr>
            <w:noProof/>
            <w:webHidden/>
          </w:rPr>
          <w:t>6</w:t>
        </w:r>
        <w:r w:rsidR="00C37509">
          <w:rPr>
            <w:noProof/>
            <w:webHidden/>
          </w:rPr>
          <w:fldChar w:fldCharType="end"/>
        </w:r>
      </w:hyperlink>
    </w:p>
    <w:p w:rsidR="00C37509" w:rsidRDefault="006A740A">
      <w:pPr>
        <w:pStyle w:val="TOC1"/>
        <w:tabs>
          <w:tab w:val="right" w:leader="dot" w:pos="9627"/>
        </w:tabs>
        <w:rPr>
          <w:rFonts w:asciiTheme="minorHAnsi" w:eastAsiaTheme="minorEastAsia" w:hAnsiTheme="minorHAnsi" w:cstheme="minorBidi"/>
          <w:b w:val="0"/>
          <w:iCs w:val="0"/>
          <w:noProof/>
          <w:sz w:val="22"/>
          <w:lang w:val="en-ZA"/>
        </w:rPr>
      </w:pPr>
      <w:hyperlink w:anchor="_Toc85434451" w:history="1">
        <w:r w:rsidR="00C37509" w:rsidRPr="00742AE2">
          <w:rPr>
            <w:rStyle w:val="Hyperlink"/>
            <w:noProof/>
          </w:rPr>
          <w:t>SECTION 2</w:t>
        </w:r>
        <w:r w:rsidR="00C37509">
          <w:rPr>
            <w:noProof/>
            <w:webHidden/>
          </w:rPr>
          <w:tab/>
        </w:r>
        <w:r w:rsidR="00C37509">
          <w:rPr>
            <w:noProof/>
            <w:webHidden/>
          </w:rPr>
          <w:fldChar w:fldCharType="begin"/>
        </w:r>
        <w:r w:rsidR="00C37509">
          <w:rPr>
            <w:noProof/>
            <w:webHidden/>
          </w:rPr>
          <w:instrText xml:space="preserve"> PAGEREF _Toc85434451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52" w:history="1">
        <w:r w:rsidR="00C37509" w:rsidRPr="00742AE2">
          <w:rPr>
            <w:rStyle w:val="Hyperlink"/>
            <w:rFonts w:ascii="Arial Bold" w:hAnsi="Arial Bold"/>
            <w:noProof/>
            <w:lang w:val="en-ZA"/>
          </w:rPr>
          <w:t>4.</w:t>
        </w:r>
        <w:r w:rsidR="00C37509">
          <w:rPr>
            <w:rFonts w:asciiTheme="minorHAnsi" w:eastAsiaTheme="minorEastAsia" w:hAnsiTheme="minorHAnsi" w:cstheme="minorBidi"/>
            <w:b w:val="0"/>
            <w:iCs w:val="0"/>
            <w:noProof/>
            <w:sz w:val="22"/>
            <w:lang w:val="en-ZA"/>
          </w:rPr>
          <w:tab/>
        </w:r>
        <w:r w:rsidR="00C37509" w:rsidRPr="00742AE2">
          <w:rPr>
            <w:rStyle w:val="Hyperlink"/>
            <w:noProof/>
            <w:lang w:val="en-ZA"/>
          </w:rPr>
          <w:t>Instruction to Bidders</w:t>
        </w:r>
        <w:r w:rsidR="00C37509">
          <w:rPr>
            <w:noProof/>
            <w:webHidden/>
          </w:rPr>
          <w:tab/>
        </w:r>
        <w:r w:rsidR="00C37509">
          <w:rPr>
            <w:noProof/>
            <w:webHidden/>
          </w:rPr>
          <w:fldChar w:fldCharType="begin"/>
        </w:r>
        <w:r w:rsidR="00C37509">
          <w:rPr>
            <w:noProof/>
            <w:webHidden/>
          </w:rPr>
          <w:instrText xml:space="preserve"> PAGEREF _Toc85434452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3" w:history="1">
        <w:r w:rsidR="00C37509" w:rsidRPr="00742AE2">
          <w:rPr>
            <w:rStyle w:val="Hyperlink"/>
            <w:noProof/>
          </w:rPr>
          <w:t>4.1</w:t>
        </w:r>
        <w:r w:rsidR="00C37509">
          <w:rPr>
            <w:rFonts w:asciiTheme="minorHAnsi" w:eastAsiaTheme="minorEastAsia" w:hAnsiTheme="minorHAnsi" w:cstheme="minorBidi"/>
            <w:iCs w:val="0"/>
            <w:noProof/>
            <w:sz w:val="22"/>
            <w:lang w:val="en-ZA"/>
          </w:rPr>
          <w:tab/>
        </w:r>
        <w:r w:rsidR="00C37509" w:rsidRPr="00742AE2">
          <w:rPr>
            <w:rStyle w:val="Hyperlink"/>
            <w:noProof/>
          </w:rPr>
          <w:t>General</w:t>
        </w:r>
        <w:r w:rsidR="00C37509">
          <w:rPr>
            <w:noProof/>
            <w:webHidden/>
          </w:rPr>
          <w:tab/>
        </w:r>
        <w:r w:rsidR="00C37509">
          <w:rPr>
            <w:noProof/>
            <w:webHidden/>
          </w:rPr>
          <w:fldChar w:fldCharType="begin"/>
        </w:r>
        <w:r w:rsidR="00C37509">
          <w:rPr>
            <w:noProof/>
            <w:webHidden/>
          </w:rPr>
          <w:instrText xml:space="preserve"> PAGEREF _Toc85434453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4" w:history="1">
        <w:r w:rsidR="00C37509" w:rsidRPr="00742AE2">
          <w:rPr>
            <w:rStyle w:val="Hyperlink"/>
            <w:noProof/>
          </w:rPr>
          <w:t>4.2</w:t>
        </w:r>
        <w:r w:rsidR="00C37509">
          <w:rPr>
            <w:rFonts w:asciiTheme="minorHAnsi" w:eastAsiaTheme="minorEastAsia" w:hAnsiTheme="minorHAnsi" w:cstheme="minorBidi"/>
            <w:iCs w:val="0"/>
            <w:noProof/>
            <w:sz w:val="22"/>
            <w:lang w:val="en-ZA"/>
          </w:rPr>
          <w:tab/>
        </w:r>
        <w:r w:rsidR="00C37509" w:rsidRPr="00742AE2">
          <w:rPr>
            <w:rStyle w:val="Hyperlink"/>
            <w:noProof/>
          </w:rPr>
          <w:t>Bidder Information</w:t>
        </w:r>
        <w:r w:rsidR="00C37509">
          <w:rPr>
            <w:noProof/>
            <w:webHidden/>
          </w:rPr>
          <w:tab/>
        </w:r>
        <w:r w:rsidR="00C37509">
          <w:rPr>
            <w:noProof/>
            <w:webHidden/>
          </w:rPr>
          <w:fldChar w:fldCharType="begin"/>
        </w:r>
        <w:r w:rsidR="00C37509">
          <w:rPr>
            <w:noProof/>
            <w:webHidden/>
          </w:rPr>
          <w:instrText xml:space="preserve"> PAGEREF _Toc85434454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5" w:history="1">
        <w:r w:rsidR="00C37509" w:rsidRPr="00742AE2">
          <w:rPr>
            <w:rStyle w:val="Hyperlink"/>
            <w:noProof/>
          </w:rPr>
          <w:t>4.3</w:t>
        </w:r>
        <w:r w:rsidR="00C37509">
          <w:rPr>
            <w:rFonts w:asciiTheme="minorHAnsi" w:eastAsiaTheme="minorEastAsia" w:hAnsiTheme="minorHAnsi" w:cstheme="minorBidi"/>
            <w:iCs w:val="0"/>
            <w:noProof/>
            <w:sz w:val="22"/>
            <w:lang w:val="en-ZA"/>
          </w:rPr>
          <w:tab/>
        </w:r>
        <w:r w:rsidR="00C37509" w:rsidRPr="00742AE2">
          <w:rPr>
            <w:rStyle w:val="Hyperlink"/>
            <w:noProof/>
          </w:rPr>
          <w:t>Consortium</w:t>
        </w:r>
        <w:r w:rsidR="00C37509">
          <w:rPr>
            <w:noProof/>
            <w:webHidden/>
          </w:rPr>
          <w:tab/>
        </w:r>
        <w:r w:rsidR="00C37509">
          <w:rPr>
            <w:noProof/>
            <w:webHidden/>
          </w:rPr>
          <w:fldChar w:fldCharType="begin"/>
        </w:r>
        <w:r w:rsidR="00C37509">
          <w:rPr>
            <w:noProof/>
            <w:webHidden/>
          </w:rPr>
          <w:instrText xml:space="preserve"> PAGEREF _Toc85434455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6" w:history="1">
        <w:r w:rsidR="00C37509" w:rsidRPr="00742AE2">
          <w:rPr>
            <w:rStyle w:val="Hyperlink"/>
            <w:noProof/>
          </w:rPr>
          <w:t>4.4</w:t>
        </w:r>
        <w:r w:rsidR="00C37509">
          <w:rPr>
            <w:rFonts w:asciiTheme="minorHAnsi" w:eastAsiaTheme="minorEastAsia" w:hAnsiTheme="minorHAnsi" w:cstheme="minorBidi"/>
            <w:iCs w:val="0"/>
            <w:noProof/>
            <w:sz w:val="22"/>
            <w:lang w:val="en-ZA"/>
          </w:rPr>
          <w:tab/>
        </w:r>
        <w:r w:rsidR="00C37509" w:rsidRPr="00742AE2">
          <w:rPr>
            <w:rStyle w:val="Hyperlink"/>
            <w:noProof/>
          </w:rPr>
          <w:t>Sub-contracting</w:t>
        </w:r>
        <w:r w:rsidR="00C37509">
          <w:rPr>
            <w:noProof/>
            <w:webHidden/>
          </w:rPr>
          <w:tab/>
        </w:r>
        <w:r w:rsidR="00C37509">
          <w:rPr>
            <w:noProof/>
            <w:webHidden/>
          </w:rPr>
          <w:fldChar w:fldCharType="begin"/>
        </w:r>
        <w:r w:rsidR="00C37509">
          <w:rPr>
            <w:noProof/>
            <w:webHidden/>
          </w:rPr>
          <w:instrText xml:space="preserve"> PAGEREF _Toc85434456 \h </w:instrText>
        </w:r>
        <w:r w:rsidR="00C37509">
          <w:rPr>
            <w:noProof/>
            <w:webHidden/>
          </w:rPr>
        </w:r>
        <w:r w:rsidR="00C37509">
          <w:rPr>
            <w:noProof/>
            <w:webHidden/>
          </w:rPr>
          <w:fldChar w:fldCharType="separate"/>
        </w:r>
        <w:r w:rsidR="00C37509">
          <w:rPr>
            <w:noProof/>
            <w:webHidden/>
          </w:rPr>
          <w:t>7</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7" w:history="1">
        <w:r w:rsidR="00C37509" w:rsidRPr="00742AE2">
          <w:rPr>
            <w:rStyle w:val="Hyperlink"/>
            <w:noProof/>
          </w:rPr>
          <w:t>4.5</w:t>
        </w:r>
        <w:r w:rsidR="00C37509">
          <w:rPr>
            <w:rFonts w:asciiTheme="minorHAnsi" w:eastAsiaTheme="minorEastAsia" w:hAnsiTheme="minorHAnsi" w:cstheme="minorBidi"/>
            <w:iCs w:val="0"/>
            <w:noProof/>
            <w:sz w:val="22"/>
            <w:lang w:val="en-ZA"/>
          </w:rPr>
          <w:tab/>
        </w:r>
        <w:r w:rsidR="00C37509" w:rsidRPr="00742AE2">
          <w:rPr>
            <w:rStyle w:val="Hyperlink"/>
            <w:noProof/>
          </w:rPr>
          <w:t>Necsa’s Bidding Rights</w:t>
        </w:r>
        <w:r w:rsidR="00C37509">
          <w:rPr>
            <w:noProof/>
            <w:webHidden/>
          </w:rPr>
          <w:tab/>
        </w:r>
        <w:r w:rsidR="00C37509">
          <w:rPr>
            <w:noProof/>
            <w:webHidden/>
          </w:rPr>
          <w:fldChar w:fldCharType="begin"/>
        </w:r>
        <w:r w:rsidR="00C37509">
          <w:rPr>
            <w:noProof/>
            <w:webHidden/>
          </w:rPr>
          <w:instrText xml:space="preserve"> PAGEREF _Toc85434457 \h </w:instrText>
        </w:r>
        <w:r w:rsidR="00C37509">
          <w:rPr>
            <w:noProof/>
            <w:webHidden/>
          </w:rPr>
        </w:r>
        <w:r w:rsidR="00C37509">
          <w:rPr>
            <w:noProof/>
            <w:webHidden/>
          </w:rPr>
          <w:fldChar w:fldCharType="separate"/>
        </w:r>
        <w:r w:rsidR="00C37509">
          <w:rPr>
            <w:noProof/>
            <w:webHidden/>
          </w:rPr>
          <w:t>8</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8" w:history="1">
        <w:r w:rsidR="00C37509" w:rsidRPr="00742AE2">
          <w:rPr>
            <w:rStyle w:val="Hyperlink"/>
            <w:noProof/>
          </w:rPr>
          <w:t>4.6</w:t>
        </w:r>
        <w:r w:rsidR="00C37509">
          <w:rPr>
            <w:rFonts w:asciiTheme="minorHAnsi" w:eastAsiaTheme="minorEastAsia" w:hAnsiTheme="minorHAnsi" w:cstheme="minorBidi"/>
            <w:iCs w:val="0"/>
            <w:noProof/>
            <w:sz w:val="22"/>
            <w:lang w:val="en-ZA"/>
          </w:rPr>
          <w:tab/>
        </w:r>
        <w:r w:rsidR="00C37509" w:rsidRPr="00742AE2">
          <w:rPr>
            <w:rStyle w:val="Hyperlink"/>
            <w:noProof/>
          </w:rPr>
          <w:t>Bidding Process</w:t>
        </w:r>
        <w:r w:rsidR="00C37509">
          <w:rPr>
            <w:noProof/>
            <w:webHidden/>
          </w:rPr>
          <w:tab/>
        </w:r>
        <w:r w:rsidR="00C37509">
          <w:rPr>
            <w:noProof/>
            <w:webHidden/>
          </w:rPr>
          <w:fldChar w:fldCharType="begin"/>
        </w:r>
        <w:r w:rsidR="00C37509">
          <w:rPr>
            <w:noProof/>
            <w:webHidden/>
          </w:rPr>
          <w:instrText xml:space="preserve"> PAGEREF _Toc85434458 \h </w:instrText>
        </w:r>
        <w:r w:rsidR="00C37509">
          <w:rPr>
            <w:noProof/>
            <w:webHidden/>
          </w:rPr>
        </w:r>
        <w:r w:rsidR="00C37509">
          <w:rPr>
            <w:noProof/>
            <w:webHidden/>
          </w:rPr>
          <w:fldChar w:fldCharType="separate"/>
        </w:r>
        <w:r w:rsidR="00C37509">
          <w:rPr>
            <w:noProof/>
            <w:webHidden/>
          </w:rPr>
          <w:t>8</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59" w:history="1">
        <w:r w:rsidR="00C37509" w:rsidRPr="00742AE2">
          <w:rPr>
            <w:rStyle w:val="Hyperlink"/>
            <w:noProof/>
          </w:rPr>
          <w:t>4.7</w:t>
        </w:r>
        <w:r w:rsidR="00C37509">
          <w:rPr>
            <w:rFonts w:asciiTheme="minorHAnsi" w:eastAsiaTheme="minorEastAsia" w:hAnsiTheme="minorHAnsi" w:cstheme="minorBidi"/>
            <w:iCs w:val="0"/>
            <w:noProof/>
            <w:sz w:val="22"/>
            <w:lang w:val="en-ZA"/>
          </w:rPr>
          <w:tab/>
        </w:r>
        <w:r w:rsidR="00C37509" w:rsidRPr="00742AE2">
          <w:rPr>
            <w:rStyle w:val="Hyperlink"/>
            <w:noProof/>
          </w:rPr>
          <w:t>Bid Submission Requirements</w:t>
        </w:r>
        <w:r w:rsidR="00C37509">
          <w:rPr>
            <w:noProof/>
            <w:webHidden/>
          </w:rPr>
          <w:tab/>
        </w:r>
        <w:r w:rsidR="00C37509">
          <w:rPr>
            <w:noProof/>
            <w:webHidden/>
          </w:rPr>
          <w:fldChar w:fldCharType="begin"/>
        </w:r>
        <w:r w:rsidR="00C37509">
          <w:rPr>
            <w:noProof/>
            <w:webHidden/>
          </w:rPr>
          <w:instrText xml:space="preserve"> PAGEREF _Toc85434459 \h </w:instrText>
        </w:r>
        <w:r w:rsidR="00C37509">
          <w:rPr>
            <w:noProof/>
            <w:webHidden/>
          </w:rPr>
        </w:r>
        <w:r w:rsidR="00C37509">
          <w:rPr>
            <w:noProof/>
            <w:webHidden/>
          </w:rPr>
          <w:fldChar w:fldCharType="separate"/>
        </w:r>
        <w:r w:rsidR="00C37509">
          <w:rPr>
            <w:noProof/>
            <w:webHidden/>
          </w:rPr>
          <w:t>9</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60" w:history="1">
        <w:r w:rsidR="00C37509" w:rsidRPr="00742AE2">
          <w:rPr>
            <w:rStyle w:val="Hyperlink"/>
            <w:rFonts w:ascii="Arial Bold" w:hAnsi="Arial Bold"/>
            <w:noProof/>
          </w:rPr>
          <w:t>5.</w:t>
        </w:r>
        <w:r w:rsidR="00C37509">
          <w:rPr>
            <w:rFonts w:asciiTheme="minorHAnsi" w:eastAsiaTheme="minorEastAsia" w:hAnsiTheme="minorHAnsi" w:cstheme="minorBidi"/>
            <w:b w:val="0"/>
            <w:iCs w:val="0"/>
            <w:noProof/>
            <w:sz w:val="22"/>
            <w:lang w:val="en-ZA"/>
          </w:rPr>
          <w:tab/>
        </w:r>
        <w:r w:rsidR="00C37509" w:rsidRPr="00742AE2">
          <w:rPr>
            <w:rStyle w:val="Hyperlink"/>
            <w:noProof/>
          </w:rPr>
          <w:t>Eligibility Requirements</w:t>
        </w:r>
        <w:r w:rsidR="00C37509">
          <w:rPr>
            <w:noProof/>
            <w:webHidden/>
          </w:rPr>
          <w:tab/>
        </w:r>
        <w:r w:rsidR="00C37509">
          <w:rPr>
            <w:noProof/>
            <w:webHidden/>
          </w:rPr>
          <w:fldChar w:fldCharType="begin"/>
        </w:r>
        <w:r w:rsidR="00C37509">
          <w:rPr>
            <w:noProof/>
            <w:webHidden/>
          </w:rPr>
          <w:instrText xml:space="preserve"> PAGEREF _Toc85434460 \h </w:instrText>
        </w:r>
        <w:r w:rsidR="00C37509">
          <w:rPr>
            <w:noProof/>
            <w:webHidden/>
          </w:rPr>
        </w:r>
        <w:r w:rsidR="00C37509">
          <w:rPr>
            <w:noProof/>
            <w:webHidden/>
          </w:rPr>
          <w:fldChar w:fldCharType="separate"/>
        </w:r>
        <w:r w:rsidR="00C37509">
          <w:rPr>
            <w:noProof/>
            <w:webHidden/>
          </w:rPr>
          <w:t>9</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1" w:history="1">
        <w:r w:rsidR="00C37509" w:rsidRPr="00742AE2">
          <w:rPr>
            <w:rStyle w:val="Hyperlink"/>
            <w:noProof/>
          </w:rPr>
          <w:t>5.1</w:t>
        </w:r>
        <w:r w:rsidR="00C37509">
          <w:rPr>
            <w:rFonts w:asciiTheme="minorHAnsi" w:eastAsiaTheme="minorEastAsia" w:hAnsiTheme="minorHAnsi" w:cstheme="minorBidi"/>
            <w:iCs w:val="0"/>
            <w:noProof/>
            <w:sz w:val="22"/>
            <w:lang w:val="en-ZA"/>
          </w:rPr>
          <w:tab/>
        </w:r>
        <w:r w:rsidR="00C37509" w:rsidRPr="00742AE2">
          <w:rPr>
            <w:rStyle w:val="Hyperlink"/>
            <w:noProof/>
          </w:rPr>
          <w:t>Pre-qualification Criteria</w:t>
        </w:r>
        <w:r w:rsidR="00C37509">
          <w:rPr>
            <w:noProof/>
            <w:webHidden/>
          </w:rPr>
          <w:tab/>
        </w:r>
        <w:r w:rsidR="00C37509">
          <w:rPr>
            <w:noProof/>
            <w:webHidden/>
          </w:rPr>
          <w:fldChar w:fldCharType="begin"/>
        </w:r>
        <w:r w:rsidR="00C37509">
          <w:rPr>
            <w:noProof/>
            <w:webHidden/>
          </w:rPr>
          <w:instrText xml:space="preserve"> PAGEREF _Toc85434461 \h </w:instrText>
        </w:r>
        <w:r w:rsidR="00C37509">
          <w:rPr>
            <w:noProof/>
            <w:webHidden/>
          </w:rPr>
        </w:r>
        <w:r w:rsidR="00C37509">
          <w:rPr>
            <w:noProof/>
            <w:webHidden/>
          </w:rPr>
          <w:fldChar w:fldCharType="separate"/>
        </w:r>
        <w:r w:rsidR="00C37509">
          <w:rPr>
            <w:noProof/>
            <w:webHidden/>
          </w:rPr>
          <w:t>9</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2" w:history="1">
        <w:r w:rsidR="00C37509" w:rsidRPr="00742AE2">
          <w:rPr>
            <w:rStyle w:val="Hyperlink"/>
            <w:noProof/>
          </w:rPr>
          <w:t>5.2</w:t>
        </w:r>
        <w:r w:rsidR="00C37509">
          <w:rPr>
            <w:rFonts w:asciiTheme="minorHAnsi" w:eastAsiaTheme="minorEastAsia" w:hAnsiTheme="minorHAnsi" w:cstheme="minorBidi"/>
            <w:iCs w:val="0"/>
            <w:noProof/>
            <w:sz w:val="22"/>
            <w:lang w:val="en-ZA"/>
          </w:rPr>
          <w:tab/>
        </w:r>
        <w:r w:rsidR="00C37509" w:rsidRPr="00742AE2">
          <w:rPr>
            <w:rStyle w:val="Hyperlink"/>
            <w:noProof/>
          </w:rPr>
          <w:t>Technical / Functional Evaluation Criteria</w:t>
        </w:r>
        <w:r w:rsidR="00C37509">
          <w:rPr>
            <w:noProof/>
            <w:webHidden/>
          </w:rPr>
          <w:tab/>
        </w:r>
        <w:r w:rsidR="00C37509">
          <w:rPr>
            <w:noProof/>
            <w:webHidden/>
          </w:rPr>
          <w:fldChar w:fldCharType="begin"/>
        </w:r>
        <w:r w:rsidR="00C37509">
          <w:rPr>
            <w:noProof/>
            <w:webHidden/>
          </w:rPr>
          <w:instrText xml:space="preserve"> PAGEREF _Toc85434462 \h </w:instrText>
        </w:r>
        <w:r w:rsidR="00C37509">
          <w:rPr>
            <w:noProof/>
            <w:webHidden/>
          </w:rPr>
        </w:r>
        <w:r w:rsidR="00C37509">
          <w:rPr>
            <w:noProof/>
            <w:webHidden/>
          </w:rPr>
          <w:fldChar w:fldCharType="separate"/>
        </w:r>
        <w:r w:rsidR="00C37509">
          <w:rPr>
            <w:noProof/>
            <w:webHidden/>
          </w:rPr>
          <w:t>9</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3" w:history="1">
        <w:r w:rsidR="00C37509" w:rsidRPr="00742AE2">
          <w:rPr>
            <w:rStyle w:val="Hyperlink"/>
            <w:noProof/>
          </w:rPr>
          <w:t>5.3</w:t>
        </w:r>
        <w:r w:rsidR="00C37509">
          <w:rPr>
            <w:rFonts w:asciiTheme="minorHAnsi" w:eastAsiaTheme="minorEastAsia" w:hAnsiTheme="minorHAnsi" w:cstheme="minorBidi"/>
            <w:iCs w:val="0"/>
            <w:noProof/>
            <w:sz w:val="22"/>
            <w:lang w:val="en-ZA"/>
          </w:rPr>
          <w:tab/>
        </w:r>
        <w:r w:rsidR="00C37509" w:rsidRPr="00742AE2">
          <w:rPr>
            <w:rStyle w:val="Hyperlink"/>
            <w:noProof/>
          </w:rPr>
          <w:t>Tenders to be evaluated on functionality (B-BBEE and Price Evaluation Criteria)</w:t>
        </w:r>
        <w:r w:rsidR="00C37509">
          <w:rPr>
            <w:noProof/>
            <w:webHidden/>
          </w:rPr>
          <w:tab/>
        </w:r>
        <w:r w:rsidR="00C37509">
          <w:rPr>
            <w:noProof/>
            <w:webHidden/>
          </w:rPr>
          <w:fldChar w:fldCharType="begin"/>
        </w:r>
        <w:r w:rsidR="00C37509">
          <w:rPr>
            <w:noProof/>
            <w:webHidden/>
          </w:rPr>
          <w:instrText xml:space="preserve"> PAGEREF _Toc85434463 \h </w:instrText>
        </w:r>
        <w:r w:rsidR="00C37509">
          <w:rPr>
            <w:noProof/>
            <w:webHidden/>
          </w:rPr>
        </w:r>
        <w:r w:rsidR="00C37509">
          <w:rPr>
            <w:noProof/>
            <w:webHidden/>
          </w:rPr>
          <w:fldChar w:fldCharType="separate"/>
        </w:r>
        <w:r w:rsidR="00C37509">
          <w:rPr>
            <w:noProof/>
            <w:webHidden/>
          </w:rPr>
          <w:t>10</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4" w:history="1">
        <w:r w:rsidR="00C37509" w:rsidRPr="00742AE2">
          <w:rPr>
            <w:rStyle w:val="Hyperlink"/>
            <w:noProof/>
          </w:rPr>
          <w:t>5.4</w:t>
        </w:r>
        <w:r w:rsidR="00C37509">
          <w:rPr>
            <w:rFonts w:asciiTheme="minorHAnsi" w:eastAsiaTheme="minorEastAsia" w:hAnsiTheme="minorHAnsi" w:cstheme="minorBidi"/>
            <w:iCs w:val="0"/>
            <w:noProof/>
            <w:sz w:val="22"/>
            <w:lang w:val="en-ZA"/>
          </w:rPr>
          <w:tab/>
        </w:r>
        <w:r w:rsidR="00C37509" w:rsidRPr="00742AE2">
          <w:rPr>
            <w:rStyle w:val="Hyperlink"/>
            <w:noProof/>
          </w:rPr>
          <w:t>80/20 preference point system for acquisition of goods or services for Rand value equal to or above R30 000 and up to R50 million</w:t>
        </w:r>
        <w:r w:rsidR="00C37509">
          <w:rPr>
            <w:noProof/>
            <w:webHidden/>
          </w:rPr>
          <w:tab/>
        </w:r>
        <w:r w:rsidR="00C37509">
          <w:rPr>
            <w:noProof/>
            <w:webHidden/>
          </w:rPr>
          <w:fldChar w:fldCharType="begin"/>
        </w:r>
        <w:r w:rsidR="00C37509">
          <w:rPr>
            <w:noProof/>
            <w:webHidden/>
          </w:rPr>
          <w:instrText xml:space="preserve"> PAGEREF _Toc85434464 \h </w:instrText>
        </w:r>
        <w:r w:rsidR="00C37509">
          <w:rPr>
            <w:noProof/>
            <w:webHidden/>
          </w:rPr>
        </w:r>
        <w:r w:rsidR="00C37509">
          <w:rPr>
            <w:noProof/>
            <w:webHidden/>
          </w:rPr>
          <w:fldChar w:fldCharType="separate"/>
        </w:r>
        <w:r w:rsidR="00C37509">
          <w:rPr>
            <w:noProof/>
            <w:webHidden/>
          </w:rPr>
          <w:t>11</w:t>
        </w:r>
        <w:r w:rsidR="00C37509">
          <w:rPr>
            <w:noProof/>
            <w:webHidden/>
          </w:rPr>
          <w:fldChar w:fldCharType="end"/>
        </w:r>
      </w:hyperlink>
    </w:p>
    <w:p w:rsidR="00C37509" w:rsidRDefault="006A740A">
      <w:pPr>
        <w:pStyle w:val="TOC1"/>
        <w:tabs>
          <w:tab w:val="right" w:leader="dot" w:pos="9627"/>
        </w:tabs>
        <w:rPr>
          <w:rFonts w:asciiTheme="minorHAnsi" w:eastAsiaTheme="minorEastAsia" w:hAnsiTheme="minorHAnsi" w:cstheme="minorBidi"/>
          <w:b w:val="0"/>
          <w:iCs w:val="0"/>
          <w:noProof/>
          <w:sz w:val="22"/>
          <w:lang w:val="en-ZA"/>
        </w:rPr>
      </w:pPr>
      <w:hyperlink w:anchor="_Toc85434465" w:history="1">
        <w:r w:rsidR="00C37509" w:rsidRPr="00742AE2">
          <w:rPr>
            <w:rStyle w:val="Hyperlink"/>
            <w:noProof/>
          </w:rPr>
          <w:t>SECTION 3</w:t>
        </w:r>
        <w:r w:rsidR="00C37509">
          <w:rPr>
            <w:noProof/>
            <w:webHidden/>
          </w:rPr>
          <w:tab/>
        </w:r>
        <w:r w:rsidR="00C37509">
          <w:rPr>
            <w:noProof/>
            <w:webHidden/>
          </w:rPr>
          <w:fldChar w:fldCharType="begin"/>
        </w:r>
        <w:r w:rsidR="00C37509">
          <w:rPr>
            <w:noProof/>
            <w:webHidden/>
          </w:rPr>
          <w:instrText xml:space="preserve"> PAGEREF _Toc85434465 \h </w:instrText>
        </w:r>
        <w:r w:rsidR="00C37509">
          <w:rPr>
            <w:noProof/>
            <w:webHidden/>
          </w:rPr>
        </w:r>
        <w:r w:rsidR="00C37509">
          <w:rPr>
            <w:noProof/>
            <w:webHidden/>
          </w:rPr>
          <w:fldChar w:fldCharType="separate"/>
        </w:r>
        <w:r w:rsidR="00C37509">
          <w:rPr>
            <w:noProof/>
            <w:webHidden/>
          </w:rPr>
          <w:t>14</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66" w:history="1">
        <w:r w:rsidR="00C37509" w:rsidRPr="00742AE2">
          <w:rPr>
            <w:rStyle w:val="Hyperlink"/>
            <w:rFonts w:ascii="Arial Bold" w:hAnsi="Arial Bold"/>
            <w:noProof/>
          </w:rPr>
          <w:t>6.</w:t>
        </w:r>
        <w:r w:rsidR="00C37509">
          <w:rPr>
            <w:rFonts w:asciiTheme="minorHAnsi" w:eastAsiaTheme="minorEastAsia" w:hAnsiTheme="minorHAnsi" w:cstheme="minorBidi"/>
            <w:b w:val="0"/>
            <w:iCs w:val="0"/>
            <w:noProof/>
            <w:sz w:val="22"/>
            <w:lang w:val="en-ZA"/>
          </w:rPr>
          <w:tab/>
        </w:r>
        <w:r w:rsidR="00C37509" w:rsidRPr="00742AE2">
          <w:rPr>
            <w:rStyle w:val="Hyperlink"/>
            <w:noProof/>
          </w:rPr>
          <w:t>Returnable documents Checklist</w:t>
        </w:r>
        <w:r w:rsidR="00C37509">
          <w:rPr>
            <w:noProof/>
            <w:webHidden/>
          </w:rPr>
          <w:tab/>
        </w:r>
        <w:r w:rsidR="00C37509">
          <w:rPr>
            <w:noProof/>
            <w:webHidden/>
          </w:rPr>
          <w:fldChar w:fldCharType="begin"/>
        </w:r>
        <w:r w:rsidR="00C37509">
          <w:rPr>
            <w:noProof/>
            <w:webHidden/>
          </w:rPr>
          <w:instrText xml:space="preserve"> PAGEREF _Toc85434466 \h </w:instrText>
        </w:r>
        <w:r w:rsidR="00C37509">
          <w:rPr>
            <w:noProof/>
            <w:webHidden/>
          </w:rPr>
        </w:r>
        <w:r w:rsidR="00C37509">
          <w:rPr>
            <w:noProof/>
            <w:webHidden/>
          </w:rPr>
          <w:fldChar w:fldCharType="separate"/>
        </w:r>
        <w:r w:rsidR="00C37509">
          <w:rPr>
            <w:noProof/>
            <w:webHidden/>
          </w:rPr>
          <w:t>14</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7" w:history="1">
        <w:r w:rsidR="00C37509" w:rsidRPr="00742AE2">
          <w:rPr>
            <w:rStyle w:val="Hyperlink"/>
            <w:noProof/>
          </w:rPr>
          <w:t>6.1</w:t>
        </w:r>
        <w:r w:rsidR="00C37509">
          <w:rPr>
            <w:rFonts w:asciiTheme="minorHAnsi" w:eastAsiaTheme="minorEastAsia" w:hAnsiTheme="minorHAnsi" w:cstheme="minorBidi"/>
            <w:iCs w:val="0"/>
            <w:noProof/>
            <w:sz w:val="22"/>
            <w:lang w:val="en-ZA"/>
          </w:rPr>
          <w:tab/>
        </w:r>
        <w:r w:rsidR="00C37509" w:rsidRPr="00742AE2">
          <w:rPr>
            <w:rStyle w:val="Hyperlink"/>
            <w:noProof/>
          </w:rPr>
          <w:t>Mandatory Documents</w:t>
        </w:r>
        <w:r w:rsidR="00C37509">
          <w:rPr>
            <w:noProof/>
            <w:webHidden/>
          </w:rPr>
          <w:tab/>
        </w:r>
        <w:r w:rsidR="00C37509">
          <w:rPr>
            <w:noProof/>
            <w:webHidden/>
          </w:rPr>
          <w:fldChar w:fldCharType="begin"/>
        </w:r>
        <w:r w:rsidR="00C37509">
          <w:rPr>
            <w:noProof/>
            <w:webHidden/>
          </w:rPr>
          <w:instrText xml:space="preserve"> PAGEREF _Toc85434467 \h </w:instrText>
        </w:r>
        <w:r w:rsidR="00C37509">
          <w:rPr>
            <w:noProof/>
            <w:webHidden/>
          </w:rPr>
        </w:r>
        <w:r w:rsidR="00C37509">
          <w:rPr>
            <w:noProof/>
            <w:webHidden/>
          </w:rPr>
          <w:fldChar w:fldCharType="separate"/>
        </w:r>
        <w:r w:rsidR="00C37509">
          <w:rPr>
            <w:noProof/>
            <w:webHidden/>
          </w:rPr>
          <w:t>14</w:t>
        </w:r>
        <w:r w:rsidR="00C37509">
          <w:rPr>
            <w:noProof/>
            <w:webHidden/>
          </w:rPr>
          <w:fldChar w:fldCharType="end"/>
        </w:r>
      </w:hyperlink>
    </w:p>
    <w:p w:rsidR="00C37509" w:rsidRDefault="006A740A">
      <w:pPr>
        <w:pStyle w:val="TOC3"/>
        <w:tabs>
          <w:tab w:val="right" w:leader="dot" w:pos="9627"/>
        </w:tabs>
        <w:rPr>
          <w:rFonts w:asciiTheme="minorHAnsi" w:eastAsiaTheme="minorEastAsia" w:hAnsiTheme="minorHAnsi" w:cstheme="minorBidi"/>
          <w:iCs w:val="0"/>
          <w:noProof/>
          <w:sz w:val="22"/>
          <w:lang w:val="en-ZA"/>
        </w:rPr>
      </w:pPr>
      <w:hyperlink w:anchor="_Toc85434468" w:history="1">
        <w:r w:rsidR="00C37509" w:rsidRPr="00742AE2">
          <w:rPr>
            <w:rStyle w:val="Hyperlink"/>
            <w:noProof/>
          </w:rPr>
          <w:t>6.2</w:t>
        </w:r>
        <w:r w:rsidR="00C37509">
          <w:rPr>
            <w:rFonts w:asciiTheme="minorHAnsi" w:eastAsiaTheme="minorEastAsia" w:hAnsiTheme="minorHAnsi" w:cstheme="minorBidi"/>
            <w:iCs w:val="0"/>
            <w:noProof/>
            <w:sz w:val="22"/>
            <w:lang w:val="en-ZA"/>
          </w:rPr>
          <w:tab/>
        </w:r>
        <w:r w:rsidR="00C37509" w:rsidRPr="00742AE2">
          <w:rPr>
            <w:rStyle w:val="Hyperlink"/>
            <w:noProof/>
          </w:rPr>
          <w:t>Compliance Documents</w:t>
        </w:r>
        <w:r w:rsidR="00C37509">
          <w:rPr>
            <w:noProof/>
            <w:webHidden/>
          </w:rPr>
          <w:tab/>
        </w:r>
        <w:r w:rsidR="00C37509">
          <w:rPr>
            <w:noProof/>
            <w:webHidden/>
          </w:rPr>
          <w:fldChar w:fldCharType="begin"/>
        </w:r>
        <w:r w:rsidR="00C37509">
          <w:rPr>
            <w:noProof/>
            <w:webHidden/>
          </w:rPr>
          <w:instrText xml:space="preserve"> PAGEREF _Toc85434468 \h </w:instrText>
        </w:r>
        <w:r w:rsidR="00C37509">
          <w:rPr>
            <w:noProof/>
            <w:webHidden/>
          </w:rPr>
        </w:r>
        <w:r w:rsidR="00C37509">
          <w:rPr>
            <w:noProof/>
            <w:webHidden/>
          </w:rPr>
          <w:fldChar w:fldCharType="separate"/>
        </w:r>
        <w:r w:rsidR="00C37509">
          <w:rPr>
            <w:noProof/>
            <w:webHidden/>
          </w:rPr>
          <w:t>14</w:t>
        </w:r>
        <w:r w:rsidR="00C37509">
          <w:rPr>
            <w:noProof/>
            <w:webHidden/>
          </w:rPr>
          <w:fldChar w:fldCharType="end"/>
        </w:r>
      </w:hyperlink>
    </w:p>
    <w:p w:rsidR="00C37509" w:rsidRDefault="006A740A">
      <w:pPr>
        <w:pStyle w:val="TOC2"/>
        <w:tabs>
          <w:tab w:val="right" w:leader="dot" w:pos="9627"/>
        </w:tabs>
        <w:rPr>
          <w:rFonts w:asciiTheme="minorHAnsi" w:eastAsiaTheme="minorEastAsia" w:hAnsiTheme="minorHAnsi" w:cstheme="minorBidi"/>
          <w:b w:val="0"/>
          <w:iCs w:val="0"/>
          <w:noProof/>
          <w:sz w:val="22"/>
          <w:lang w:val="en-ZA"/>
        </w:rPr>
      </w:pPr>
      <w:hyperlink w:anchor="_Toc85434469" w:history="1">
        <w:r w:rsidR="00C37509" w:rsidRPr="00742AE2">
          <w:rPr>
            <w:rStyle w:val="Hyperlink"/>
            <w:rFonts w:ascii="Arial Bold" w:hAnsi="Arial Bold"/>
            <w:noProof/>
          </w:rPr>
          <w:t>7.</w:t>
        </w:r>
        <w:r w:rsidR="00C37509">
          <w:rPr>
            <w:rFonts w:asciiTheme="minorHAnsi" w:eastAsiaTheme="minorEastAsia" w:hAnsiTheme="minorHAnsi" w:cstheme="minorBidi"/>
            <w:b w:val="0"/>
            <w:iCs w:val="0"/>
            <w:noProof/>
            <w:sz w:val="22"/>
            <w:lang w:val="en-ZA"/>
          </w:rPr>
          <w:tab/>
        </w:r>
        <w:r w:rsidR="00C37509" w:rsidRPr="00742AE2">
          <w:rPr>
            <w:rStyle w:val="Hyperlink"/>
            <w:noProof/>
          </w:rPr>
          <w:t>Bidder Information</w:t>
        </w:r>
        <w:r w:rsidR="00C37509">
          <w:rPr>
            <w:noProof/>
            <w:webHidden/>
          </w:rPr>
          <w:tab/>
        </w:r>
        <w:r w:rsidR="00C37509">
          <w:rPr>
            <w:noProof/>
            <w:webHidden/>
          </w:rPr>
          <w:fldChar w:fldCharType="begin"/>
        </w:r>
        <w:r w:rsidR="00C37509">
          <w:rPr>
            <w:noProof/>
            <w:webHidden/>
          </w:rPr>
          <w:instrText xml:space="preserve"> PAGEREF _Toc85434469 \h </w:instrText>
        </w:r>
        <w:r w:rsidR="00C37509">
          <w:rPr>
            <w:noProof/>
            <w:webHidden/>
          </w:rPr>
        </w:r>
        <w:r w:rsidR="00C37509">
          <w:rPr>
            <w:noProof/>
            <w:webHidden/>
          </w:rPr>
          <w:fldChar w:fldCharType="separate"/>
        </w:r>
        <w:r w:rsidR="00C37509">
          <w:rPr>
            <w:noProof/>
            <w:webHidden/>
          </w:rPr>
          <w:t>15</w:t>
        </w:r>
        <w:r w:rsidR="00C37509">
          <w:rPr>
            <w:noProof/>
            <w:webHidden/>
          </w:rPr>
          <w:fldChar w:fldCharType="end"/>
        </w:r>
      </w:hyperlink>
    </w:p>
    <w:p w:rsidR="00213098" w:rsidRPr="000A4366" w:rsidRDefault="00BB0E4C">
      <w:pPr>
        <w:widowControl/>
        <w:spacing w:before="0" w:after="200"/>
        <w:outlineLvl w:val="9"/>
      </w:pPr>
      <w:r w:rsidRPr="000A4366">
        <w:rPr>
          <w:rFonts w:ascii="Arial Bold" w:hAnsi="Arial Bold"/>
          <w:sz w:val="28"/>
        </w:rPr>
        <w:fldChar w:fldCharType="end"/>
      </w:r>
    </w:p>
    <w:p w:rsidR="003D5ADD" w:rsidRPr="000A4366" w:rsidRDefault="003D5ADD">
      <w:pPr>
        <w:widowControl/>
        <w:spacing w:before="0" w:after="200"/>
        <w:outlineLvl w:val="9"/>
        <w:rPr>
          <w:noProof/>
          <w:lang w:val="en-ZA"/>
        </w:rPr>
      </w:pPr>
      <w:r w:rsidRPr="000A4366">
        <w:br w:type="page"/>
      </w:r>
    </w:p>
    <w:p w:rsidR="00D6488C" w:rsidRPr="000A4366" w:rsidRDefault="00D6488C" w:rsidP="00D6488C">
      <w:pPr>
        <w:pStyle w:val="Index1"/>
        <w:rPr>
          <w:color w:val="auto"/>
        </w:rPr>
      </w:pPr>
      <w:bookmarkStart w:id="1" w:name="_Toc85434434"/>
      <w:bookmarkEnd w:id="1"/>
    </w:p>
    <w:p w:rsidR="00484FDB" w:rsidRPr="000A4366" w:rsidRDefault="00484FDB" w:rsidP="00F96EE7">
      <w:pPr>
        <w:pStyle w:val="Index2"/>
      </w:pPr>
      <w:bookmarkStart w:id="2" w:name="_Toc85434435"/>
      <w:r w:rsidRPr="000A4366">
        <w:t>Introduction</w:t>
      </w:r>
      <w:bookmarkEnd w:id="2"/>
    </w:p>
    <w:p w:rsidR="009D79A3" w:rsidRPr="000A4366" w:rsidRDefault="009D79A3" w:rsidP="00F96EE7">
      <w:pPr>
        <w:pStyle w:val="Index3"/>
      </w:pPr>
      <w:bookmarkStart w:id="3" w:name="_Toc85434436"/>
      <w:r w:rsidRPr="000A4366">
        <w:t>Company Overview</w:t>
      </w:r>
      <w:bookmarkEnd w:id="3"/>
    </w:p>
    <w:p w:rsidR="00E87E22" w:rsidRPr="000A4366" w:rsidRDefault="00E87E22" w:rsidP="00E87E22">
      <w:pPr>
        <w:pStyle w:val="1Paragraph"/>
      </w:pPr>
      <w:r w:rsidRPr="000A4366">
        <w:t>The South African Nuclear Energy Corporation Limited (</w:t>
      </w:r>
      <w:proofErr w:type="spellStart"/>
      <w:r w:rsidR="00290ADA" w:rsidRPr="000A4366">
        <w:t>Necsa</w:t>
      </w:r>
      <w:proofErr w:type="spellEnd"/>
      <w:r w:rsidRPr="000A4366">
        <w:t xml:space="preserve">) is a state-owned public company (SOC), registered in terms of the Companies Act, (Act No. 61 of 1973), registration number 2000/003735/06. </w:t>
      </w:r>
    </w:p>
    <w:p w:rsidR="00E87E22" w:rsidRPr="000A4366" w:rsidRDefault="00E87E22" w:rsidP="00E87E22">
      <w:pPr>
        <w:pStyle w:val="1Paragraph"/>
      </w:pPr>
      <w:r w:rsidRPr="000A4366">
        <w:t xml:space="preserve">The </w:t>
      </w:r>
      <w:proofErr w:type="spellStart"/>
      <w:r w:rsidR="00290ADA" w:rsidRPr="000A4366">
        <w:t>Necsa</w:t>
      </w:r>
      <w:proofErr w:type="spellEnd"/>
      <w:r w:rsidRPr="000A4366">
        <w:t xml:space="preserve">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w:t>
      </w:r>
      <w:r w:rsidR="0016152A" w:rsidRPr="000A4366">
        <w:t>exchange</w:t>
      </w:r>
      <w:r w:rsidRPr="000A4366">
        <w:t xml:space="preserve"> for South Africa and are among the best in their field in their respective world markets.</w:t>
      </w:r>
    </w:p>
    <w:p w:rsidR="00E87E22" w:rsidRPr="000A4366" w:rsidRDefault="00290ADA" w:rsidP="00E87E22">
      <w:pPr>
        <w:pStyle w:val="1Paragraph"/>
      </w:pPr>
      <w:proofErr w:type="spellStart"/>
      <w:r w:rsidRPr="000A4366">
        <w:t>Necsa</w:t>
      </w:r>
      <w:r w:rsidR="00E87E22" w:rsidRPr="000A4366">
        <w:t>’s</w:t>
      </w:r>
      <w:proofErr w:type="spellEnd"/>
      <w:r w:rsidR="00E87E22" w:rsidRPr="000A4366">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Pr="000A4366" w:rsidRDefault="00290ADA" w:rsidP="00E87E22">
      <w:pPr>
        <w:pStyle w:val="1Paragraph"/>
      </w:pPr>
      <w:proofErr w:type="spellStart"/>
      <w:r w:rsidRPr="000A4366">
        <w:t>Necsa</w:t>
      </w:r>
      <w:proofErr w:type="spellEnd"/>
      <w:r w:rsidR="00E87E22" w:rsidRPr="000A4366">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F51B54" w:rsidRPr="00F51B54" w:rsidRDefault="00F51B54" w:rsidP="00F51B54">
      <w:pPr>
        <w:pStyle w:val="Index3"/>
      </w:pPr>
      <w:bookmarkStart w:id="4" w:name="_Toc85434437"/>
      <w:r w:rsidRPr="00F51B54">
        <w:t>Purpose</w:t>
      </w:r>
      <w:bookmarkEnd w:id="4"/>
    </w:p>
    <w:p w:rsidR="00F2669A" w:rsidRDefault="007609BF" w:rsidP="007609BF">
      <w:pPr>
        <w:pStyle w:val="1Paragraph"/>
        <w:rPr>
          <w:lang w:eastAsia="en-US"/>
        </w:rPr>
      </w:pPr>
      <w:r w:rsidRPr="00D93AAA">
        <w:t>Th</w:t>
      </w:r>
      <w:r>
        <w:t>is</w:t>
      </w:r>
      <w:r w:rsidRPr="00D93AAA">
        <w:t xml:space="preserve"> Invitation to Bid (ITB) aims to identify suitable and capable Professional Service Provider (PSP) to </w:t>
      </w:r>
      <w:r w:rsidRPr="00D93AAA">
        <w:rPr>
          <w:lang w:eastAsia="en-US"/>
        </w:rPr>
        <w:t xml:space="preserve">undertake </w:t>
      </w:r>
      <w:r>
        <w:rPr>
          <w:lang w:eastAsia="en-US"/>
        </w:rPr>
        <w:t xml:space="preserve">an independent review </w:t>
      </w:r>
      <w:r w:rsidR="00AD5A47">
        <w:rPr>
          <w:lang w:eastAsia="en-US"/>
        </w:rPr>
        <w:t>of</w:t>
      </w:r>
      <w:r>
        <w:rPr>
          <w:lang w:eastAsia="en-US"/>
        </w:rPr>
        <w:t xml:space="preserve"> the Due Diligence Report on the Pebble Bed Modular Reactor (PBMR) Company </w:t>
      </w:r>
      <w:r w:rsidR="00401A2E">
        <w:rPr>
          <w:lang w:eastAsia="en-US"/>
        </w:rPr>
        <w:t>transfer</w:t>
      </w:r>
      <w:r>
        <w:rPr>
          <w:lang w:eastAsia="en-US"/>
        </w:rPr>
        <w:t xml:space="preserve"> from Eskom to </w:t>
      </w:r>
      <w:proofErr w:type="spellStart"/>
      <w:r>
        <w:rPr>
          <w:lang w:eastAsia="en-US"/>
        </w:rPr>
        <w:t>Necsa</w:t>
      </w:r>
      <w:proofErr w:type="spellEnd"/>
      <w:r>
        <w:rPr>
          <w:lang w:eastAsia="en-US"/>
        </w:rPr>
        <w:t xml:space="preserve">. </w:t>
      </w:r>
    </w:p>
    <w:p w:rsidR="007609BF" w:rsidRPr="00D93AAA" w:rsidRDefault="007609BF" w:rsidP="007609BF">
      <w:pPr>
        <w:pStyle w:val="1Paragraph"/>
      </w:pPr>
      <w:r w:rsidRPr="00D93AAA">
        <w:t>This document outlines the scope of service, requirements and minimum qualifications, selection process and documentation necessary to submit a statement of qualifications in response to this request.</w:t>
      </w:r>
    </w:p>
    <w:p w:rsidR="007609BF" w:rsidRDefault="007609BF" w:rsidP="00F51B54">
      <w:pPr>
        <w:pStyle w:val="1Paragraph"/>
      </w:pPr>
    </w:p>
    <w:p w:rsidR="00F51B54" w:rsidRDefault="00F51B54" w:rsidP="00F51B54">
      <w:pPr>
        <w:pStyle w:val="Index3"/>
      </w:pPr>
      <w:bookmarkStart w:id="5" w:name="_Toc85434438"/>
      <w:r w:rsidRPr="00F51B54">
        <w:t>Background</w:t>
      </w:r>
      <w:bookmarkEnd w:id="5"/>
    </w:p>
    <w:p w:rsidR="00F51B54" w:rsidRDefault="00F51B54" w:rsidP="00F51B54">
      <w:pPr>
        <w:pStyle w:val="1Paragraph"/>
      </w:pPr>
      <w:r>
        <w:t>PBMR is a wholly-owned subsidiary of Eskom Enterprise SOC Ltd which was established in 1999 with the intention to develop and market small-scale, high temperature reactors both locally and internationally. The PBMR is a helium-cooled, High Temperature Reactor (HTR). The technology has the potential to economically generate electricity and create high value co-generation products such as hydrogen for the fuel of the future, desalinated water, and industrial or residential process heat. This does not only set it apart from all other (previous and large) nuclear reactors, but also from the next generation of energy sources.</w:t>
      </w:r>
    </w:p>
    <w:p w:rsidR="00F51B54" w:rsidRDefault="00F51B54" w:rsidP="00F51B54">
      <w:pPr>
        <w:pStyle w:val="1Paragraph"/>
      </w:pPr>
      <w:r>
        <w:t>Although the PB</w:t>
      </w:r>
      <w:r w:rsidR="00BD1649">
        <w:t>M</w:t>
      </w:r>
      <w:r>
        <w:t xml:space="preserve">R project was classified as a strategic national project due to its strategic significance to South Africa and its potential in international markets, as a prospective provider of safe, clean energy, it was put under care and maintenance in 2010 as per cabinet decision. At the beginning of 2020, the Department of Mineral Resources and Energy (DMRE), as well as the Department of Public Enterprise (DPE), instructed </w:t>
      </w:r>
      <w:proofErr w:type="spellStart"/>
      <w:r>
        <w:t>Necsa</w:t>
      </w:r>
      <w:proofErr w:type="spellEnd"/>
      <w:r>
        <w:t xml:space="preserve"> and Eskom respectively to transfer PBMR to </w:t>
      </w:r>
      <w:proofErr w:type="spellStart"/>
      <w:r>
        <w:t>Necsa</w:t>
      </w:r>
      <w:proofErr w:type="spellEnd"/>
      <w:r>
        <w:t xml:space="preserve">, which is mandated under the Nuclear </w:t>
      </w:r>
      <w:r>
        <w:lastRenderedPageBreak/>
        <w:t xml:space="preserve">Energy Act 46 of 1999 to undertake and promote research and development in the field of nuclear energy and radiation sciences and technology. </w:t>
      </w:r>
    </w:p>
    <w:p w:rsidR="00F51B54" w:rsidRDefault="00F51B54" w:rsidP="00F51B54">
      <w:pPr>
        <w:pStyle w:val="1Paragraph"/>
      </w:pPr>
    </w:p>
    <w:p w:rsidR="00F51B54" w:rsidRDefault="00F51B54" w:rsidP="00F51B54">
      <w:pPr>
        <w:pStyle w:val="1Paragraph"/>
      </w:pPr>
      <w:proofErr w:type="spellStart"/>
      <w:r>
        <w:t>Necsa</w:t>
      </w:r>
      <w:proofErr w:type="spellEnd"/>
      <w:r>
        <w:t xml:space="preserve"> has expressed an interest in the </w:t>
      </w:r>
      <w:r w:rsidR="00826ADB">
        <w:t>transfer</w:t>
      </w:r>
      <w:r w:rsidR="002A6115">
        <w:t xml:space="preserve"> </w:t>
      </w:r>
      <w:r>
        <w:t xml:space="preserve">of </w:t>
      </w:r>
      <w:r w:rsidR="002A6115">
        <w:t xml:space="preserve">the </w:t>
      </w:r>
      <w:r>
        <w:t xml:space="preserve">PBMR and, in order to determine its offer to Eskom in this respect, is desirous to determine the fair value of the business of PBMR, as well as liabilities associated with the transaction. </w:t>
      </w:r>
      <w:r w:rsidR="0062720A">
        <w:t xml:space="preserve">To this extent </w:t>
      </w:r>
      <w:proofErr w:type="spellStart"/>
      <w:r w:rsidR="0062720A">
        <w:t>Necsa</w:t>
      </w:r>
      <w:proofErr w:type="spellEnd"/>
      <w:r w:rsidR="0062720A">
        <w:t xml:space="preserve"> has conducted its own due diligence for the transaction and determined the following:</w:t>
      </w:r>
    </w:p>
    <w:p w:rsidR="00A13D23" w:rsidRDefault="00A13D23" w:rsidP="002A6115">
      <w:pPr>
        <w:pStyle w:val="1Paragraph"/>
        <w:numPr>
          <w:ilvl w:val="0"/>
          <w:numId w:val="31"/>
        </w:numPr>
      </w:pPr>
      <w:r>
        <w:t>Confirm</w:t>
      </w:r>
      <w:r w:rsidR="00F2669A">
        <w:t>ed</w:t>
      </w:r>
      <w:r>
        <w:t xml:space="preserve"> and assess</w:t>
      </w:r>
      <w:r w:rsidR="00F2669A">
        <w:t>ed</w:t>
      </w:r>
      <w:r>
        <w:t xml:space="preserve"> audited </w:t>
      </w:r>
      <w:proofErr w:type="gramStart"/>
      <w:r>
        <w:t xml:space="preserve">financial </w:t>
      </w:r>
      <w:r w:rsidR="0062720A">
        <w:t xml:space="preserve"> </w:t>
      </w:r>
      <w:r>
        <w:t>statements</w:t>
      </w:r>
      <w:proofErr w:type="gramEnd"/>
      <w:r>
        <w:t xml:space="preserve"> for </w:t>
      </w:r>
      <w:r w:rsidR="0062720A">
        <w:t xml:space="preserve">the </w:t>
      </w:r>
      <w:r w:rsidR="00F2669A">
        <w:t xml:space="preserve">PBMR </w:t>
      </w:r>
      <w:r w:rsidR="0062720A">
        <w:t>company</w:t>
      </w:r>
      <w:r w:rsidR="007E091F">
        <w:t>;</w:t>
      </w:r>
      <w:r w:rsidR="0062720A">
        <w:t xml:space="preserve"> </w:t>
      </w:r>
    </w:p>
    <w:p w:rsidR="0062720A" w:rsidRDefault="0062720A" w:rsidP="002A6115">
      <w:pPr>
        <w:pStyle w:val="1Paragraph"/>
        <w:numPr>
          <w:ilvl w:val="0"/>
          <w:numId w:val="31"/>
        </w:numPr>
      </w:pPr>
      <w:r>
        <w:t>The value of the Intellectual Property</w:t>
      </w:r>
      <w:r w:rsidR="00CD1863">
        <w:t xml:space="preserve"> (IP)</w:t>
      </w:r>
      <w:r>
        <w:t xml:space="preserve"> residing within the PBMR based on potential income streams identified;</w:t>
      </w:r>
    </w:p>
    <w:p w:rsidR="00E00069" w:rsidRDefault="00CD1863" w:rsidP="002A6115">
      <w:pPr>
        <w:pStyle w:val="1Paragraph"/>
        <w:numPr>
          <w:ilvl w:val="0"/>
          <w:numId w:val="31"/>
        </w:numPr>
      </w:pPr>
      <w:r>
        <w:t>The i</w:t>
      </w:r>
      <w:r w:rsidR="00E00069">
        <w:t>dentification of risks, including financial, market, legal, I</w:t>
      </w:r>
      <w:r>
        <w:t xml:space="preserve">nformation </w:t>
      </w:r>
      <w:r w:rsidR="00E00069">
        <w:t>T</w:t>
      </w:r>
      <w:r>
        <w:t>echnology (IT)</w:t>
      </w:r>
      <w:r w:rsidR="00E00069">
        <w:t xml:space="preserve">, </w:t>
      </w:r>
      <w:r>
        <w:t>(Human Resource (</w:t>
      </w:r>
      <w:r w:rsidR="00E00069">
        <w:t>HR</w:t>
      </w:r>
      <w:r>
        <w:t>)</w:t>
      </w:r>
      <w:r w:rsidR="00E00069">
        <w:t xml:space="preserve"> and regulatory risks; as well as potential liabilities, that should be taken into consideration in respect of the transfer of the business from Eskom to </w:t>
      </w:r>
      <w:proofErr w:type="spellStart"/>
      <w:r w:rsidR="00E00069">
        <w:t>Necsa</w:t>
      </w:r>
      <w:proofErr w:type="spellEnd"/>
      <w:r w:rsidR="00E00069">
        <w:t>. This includes, but not limited to, National Nuclear Regulator</w:t>
      </w:r>
      <w:r>
        <w:t xml:space="preserve"> (NNR)</w:t>
      </w:r>
      <w:r w:rsidR="00E00069">
        <w:t xml:space="preserve"> licensing fees, costs related to care and maintenance of PBMR as well as costs related to the license agreements and </w:t>
      </w:r>
    </w:p>
    <w:p w:rsidR="00E00069" w:rsidRDefault="00E00069" w:rsidP="002A6115">
      <w:pPr>
        <w:pStyle w:val="1Paragraph"/>
        <w:numPr>
          <w:ilvl w:val="0"/>
          <w:numId w:val="31"/>
        </w:numPr>
      </w:pPr>
      <w:r>
        <w:t xml:space="preserve">The </w:t>
      </w:r>
      <w:r w:rsidR="00CD1863">
        <w:t xml:space="preserve">optimal option for </w:t>
      </w:r>
      <w:proofErr w:type="spellStart"/>
      <w:r w:rsidR="00CD1863">
        <w:t>Necsa</w:t>
      </w:r>
      <w:proofErr w:type="spellEnd"/>
      <w:r w:rsidR="00CD1863">
        <w:t xml:space="preserve"> to acquire control of PBMR Company.</w:t>
      </w:r>
    </w:p>
    <w:p w:rsidR="00E00069" w:rsidRDefault="00E00069" w:rsidP="002A6115">
      <w:pPr>
        <w:pStyle w:val="1Paragraph"/>
        <w:ind w:left="1211"/>
      </w:pPr>
    </w:p>
    <w:p w:rsidR="00E00069" w:rsidRPr="00F51B54" w:rsidRDefault="00E00069" w:rsidP="00E00069">
      <w:pPr>
        <w:pStyle w:val="1Paragraph"/>
      </w:pPr>
      <w:proofErr w:type="spellStart"/>
      <w:r>
        <w:t>Necsa</w:t>
      </w:r>
      <w:proofErr w:type="spellEnd"/>
      <w:r>
        <w:t xml:space="preserve"> hereby seeks to identify and appoint a </w:t>
      </w:r>
      <w:r w:rsidRPr="00D93AAA">
        <w:t xml:space="preserve">suitable and capable PSP to </w:t>
      </w:r>
      <w:r w:rsidRPr="00D93AAA">
        <w:rPr>
          <w:lang w:eastAsia="en-US"/>
        </w:rPr>
        <w:t xml:space="preserve">undertake </w:t>
      </w:r>
      <w:r>
        <w:rPr>
          <w:lang w:eastAsia="en-US"/>
        </w:rPr>
        <w:t xml:space="preserve">an independent review on PBMR </w:t>
      </w:r>
      <w:r w:rsidR="00826ADB">
        <w:rPr>
          <w:lang w:eastAsia="en-US"/>
        </w:rPr>
        <w:t>Transfer</w:t>
      </w:r>
      <w:r>
        <w:rPr>
          <w:lang w:eastAsia="en-US"/>
        </w:rPr>
        <w:t xml:space="preserve"> </w:t>
      </w:r>
      <w:r w:rsidR="00CD1863">
        <w:rPr>
          <w:lang w:eastAsia="en-US"/>
        </w:rPr>
        <w:t xml:space="preserve">Consolidated </w:t>
      </w:r>
      <w:r>
        <w:rPr>
          <w:lang w:eastAsia="en-US"/>
        </w:rPr>
        <w:t>Due Diligence Report.</w:t>
      </w:r>
      <w:r>
        <w:t xml:space="preserve"> </w:t>
      </w:r>
    </w:p>
    <w:p w:rsidR="00F51B54" w:rsidRDefault="00F51B54" w:rsidP="00F51B54">
      <w:pPr>
        <w:tabs>
          <w:tab w:val="left" w:pos="567"/>
          <w:tab w:val="left" w:pos="1134"/>
          <w:tab w:val="left" w:pos="1701"/>
        </w:tabs>
        <w:spacing w:line="360" w:lineRule="auto"/>
        <w:ind w:left="567" w:hanging="567"/>
        <w:jc w:val="both"/>
      </w:pPr>
    </w:p>
    <w:p w:rsidR="00F51B54" w:rsidRPr="00F51B54" w:rsidRDefault="00F51B54" w:rsidP="00F51B54">
      <w:pPr>
        <w:pStyle w:val="Index2"/>
      </w:pPr>
      <w:bookmarkStart w:id="6" w:name="_Toc85434439"/>
      <w:r w:rsidRPr="00F51B54">
        <w:t>Scope of Services</w:t>
      </w:r>
      <w:bookmarkEnd w:id="6"/>
      <w:r w:rsidRPr="00F51B54">
        <w:t xml:space="preserve"> </w:t>
      </w:r>
    </w:p>
    <w:p w:rsidR="00F51B54" w:rsidRDefault="00F51B54" w:rsidP="00F2669A">
      <w:pPr>
        <w:pStyle w:val="1Paragraph"/>
      </w:pPr>
      <w:proofErr w:type="spellStart"/>
      <w:r>
        <w:t>Nec</w:t>
      </w:r>
      <w:r w:rsidR="00A13D23">
        <w:t>s</w:t>
      </w:r>
      <w:r>
        <w:t>a</w:t>
      </w:r>
      <w:proofErr w:type="spellEnd"/>
      <w:r>
        <w:t xml:space="preserve"> requires the services of a service provider to conduct a </w:t>
      </w:r>
      <w:r w:rsidR="00F2669A">
        <w:t xml:space="preserve">review of the </w:t>
      </w:r>
      <w:r w:rsidR="00EE56F7">
        <w:t xml:space="preserve">PBMR </w:t>
      </w:r>
      <w:r w:rsidR="00826ADB">
        <w:t>Transfer</w:t>
      </w:r>
      <w:r w:rsidR="00EE56F7">
        <w:t xml:space="preserve"> Consolidated D</w:t>
      </w:r>
      <w:r w:rsidR="00F2669A">
        <w:t xml:space="preserve">ue </w:t>
      </w:r>
      <w:r w:rsidR="00EE56F7">
        <w:t>D</w:t>
      </w:r>
      <w:r w:rsidR="00F2669A">
        <w:t xml:space="preserve">iligence </w:t>
      </w:r>
      <w:r w:rsidR="00EE56F7">
        <w:t>R</w:t>
      </w:r>
      <w:r w:rsidR="00F2669A">
        <w:t xml:space="preserve">eport and conclusions made in accordance with the adopted methodology. </w:t>
      </w:r>
    </w:p>
    <w:p w:rsidR="00F51B54" w:rsidRDefault="00F2669A" w:rsidP="002A6115">
      <w:pPr>
        <w:tabs>
          <w:tab w:val="left" w:pos="567"/>
          <w:tab w:val="left" w:pos="1134"/>
          <w:tab w:val="left" w:pos="1701"/>
        </w:tabs>
        <w:spacing w:line="360" w:lineRule="auto"/>
        <w:ind w:left="851"/>
        <w:jc w:val="both"/>
      </w:pPr>
      <w:r>
        <w:t xml:space="preserve">The methodology used for the due diligence </w:t>
      </w:r>
      <w:r w:rsidR="0097210C">
        <w:t xml:space="preserve">report </w:t>
      </w:r>
      <w:r>
        <w:t xml:space="preserve">is annexed to the </w:t>
      </w:r>
      <w:r w:rsidR="0097210C">
        <w:t>ITB</w:t>
      </w:r>
      <w:r>
        <w:t xml:space="preserve"> as </w:t>
      </w:r>
      <w:r w:rsidRPr="002A6115">
        <w:rPr>
          <w:b/>
        </w:rPr>
        <w:t>Annexure A</w:t>
      </w:r>
      <w:r>
        <w:t>.</w:t>
      </w:r>
    </w:p>
    <w:p w:rsidR="005D5D35" w:rsidRDefault="00763702" w:rsidP="00763702">
      <w:pPr>
        <w:pStyle w:val="1Paragraph"/>
        <w:rPr>
          <w:spacing w:val="-6"/>
        </w:rPr>
      </w:pPr>
      <w:r w:rsidRPr="004F3286">
        <w:t xml:space="preserve">The </w:t>
      </w:r>
      <w:r w:rsidR="00AD0079">
        <w:t>PSP</w:t>
      </w:r>
      <w:r w:rsidRPr="004F3286">
        <w:t xml:space="preserve"> is expected to deliver the work through two (2) phases with recommendations</w:t>
      </w:r>
      <w:r w:rsidRPr="004F3286">
        <w:rPr>
          <w:spacing w:val="-13"/>
        </w:rPr>
        <w:t xml:space="preserve"> </w:t>
      </w:r>
      <w:r w:rsidRPr="004F3286">
        <w:t>for</w:t>
      </w:r>
      <w:r w:rsidRPr="004F3286">
        <w:rPr>
          <w:spacing w:val="-11"/>
        </w:rPr>
        <w:t xml:space="preserve"> </w:t>
      </w:r>
      <w:r w:rsidRPr="004F3286">
        <w:t>each</w:t>
      </w:r>
      <w:r w:rsidRPr="004F3286">
        <w:rPr>
          <w:spacing w:val="-9"/>
        </w:rPr>
        <w:t xml:space="preserve"> </w:t>
      </w:r>
      <w:r w:rsidRPr="004F3286">
        <w:t>phase</w:t>
      </w:r>
      <w:r w:rsidR="005D5D35">
        <w:t>:</w:t>
      </w:r>
      <w:r w:rsidRPr="004F3286">
        <w:rPr>
          <w:spacing w:val="-6"/>
        </w:rPr>
        <w:t xml:space="preserve"> </w:t>
      </w:r>
    </w:p>
    <w:p w:rsidR="005D5D35" w:rsidRPr="00DE6E65" w:rsidRDefault="005D5D35" w:rsidP="00763702">
      <w:pPr>
        <w:pStyle w:val="1Paragraph"/>
        <w:rPr>
          <w:b/>
          <w:spacing w:val="-6"/>
        </w:rPr>
      </w:pPr>
      <w:r w:rsidRPr="00DE6E65">
        <w:rPr>
          <w:b/>
          <w:spacing w:val="-6"/>
        </w:rPr>
        <w:t>Phase 1</w:t>
      </w:r>
    </w:p>
    <w:p w:rsidR="005D5D35" w:rsidRDefault="00763702" w:rsidP="00763702">
      <w:pPr>
        <w:pStyle w:val="1Paragraph"/>
      </w:pPr>
      <w:r w:rsidRPr="004F3286">
        <w:t>The</w:t>
      </w:r>
      <w:r w:rsidRPr="004F3286">
        <w:rPr>
          <w:spacing w:val="-11"/>
        </w:rPr>
        <w:t xml:space="preserve"> </w:t>
      </w:r>
      <w:r w:rsidRPr="004F3286">
        <w:t>first</w:t>
      </w:r>
      <w:r w:rsidRPr="004F3286">
        <w:rPr>
          <w:spacing w:val="-11"/>
        </w:rPr>
        <w:t xml:space="preserve"> </w:t>
      </w:r>
      <w:r w:rsidRPr="004F3286">
        <w:t>phase</w:t>
      </w:r>
      <w:r w:rsidRPr="004F3286">
        <w:rPr>
          <w:spacing w:val="-8"/>
        </w:rPr>
        <w:t xml:space="preserve"> </w:t>
      </w:r>
      <w:r w:rsidRPr="004F3286">
        <w:t>of</w:t>
      </w:r>
      <w:r w:rsidRPr="004F3286">
        <w:rPr>
          <w:spacing w:val="-9"/>
        </w:rPr>
        <w:t xml:space="preserve"> </w:t>
      </w:r>
      <w:r>
        <w:t>t</w:t>
      </w:r>
      <w:r w:rsidR="0014350A">
        <w:t>wo</w:t>
      </w:r>
      <w:r>
        <w:t xml:space="preserve"> </w:t>
      </w:r>
      <w:r w:rsidRPr="004F3286">
        <w:t>(</w:t>
      </w:r>
      <w:r w:rsidR="0014350A">
        <w:t>2</w:t>
      </w:r>
      <w:r w:rsidRPr="004F3286">
        <w:t>)</w:t>
      </w:r>
      <w:r w:rsidRPr="004F3286">
        <w:rPr>
          <w:spacing w:val="-10"/>
        </w:rPr>
        <w:t xml:space="preserve"> </w:t>
      </w:r>
      <w:r w:rsidRPr="004F3286">
        <w:t>weeks</w:t>
      </w:r>
      <w:r w:rsidR="00970B35">
        <w:t xml:space="preserve"> the PSP</w:t>
      </w:r>
      <w:r w:rsidRPr="004F3286">
        <w:rPr>
          <w:spacing w:val="-9"/>
        </w:rPr>
        <w:t xml:space="preserve"> </w:t>
      </w:r>
      <w:r w:rsidRPr="004F3286">
        <w:t>is</w:t>
      </w:r>
      <w:r w:rsidRPr="004F3286">
        <w:rPr>
          <w:spacing w:val="-10"/>
        </w:rPr>
        <w:t xml:space="preserve"> </w:t>
      </w:r>
      <w:r w:rsidRPr="004F3286">
        <w:t>expected</w:t>
      </w:r>
      <w:r w:rsidRPr="004F3286">
        <w:rPr>
          <w:spacing w:val="-8"/>
        </w:rPr>
        <w:t xml:space="preserve"> </w:t>
      </w:r>
      <w:r w:rsidRPr="004F3286">
        <w:t xml:space="preserve">to review the </w:t>
      </w:r>
      <w:r>
        <w:t xml:space="preserve">PBMR Transfer Consolidated Due Diligence Report </w:t>
      </w:r>
      <w:r w:rsidRPr="004F3286">
        <w:t xml:space="preserve">and provide findings and </w:t>
      </w:r>
      <w:r>
        <w:t>recommendations</w:t>
      </w:r>
      <w:r w:rsidRPr="004F3286">
        <w:t xml:space="preserve"> for its improvement.</w:t>
      </w:r>
    </w:p>
    <w:p w:rsidR="005D5D35" w:rsidRDefault="005D5D35" w:rsidP="00763702">
      <w:pPr>
        <w:pStyle w:val="1Paragraph"/>
      </w:pPr>
    </w:p>
    <w:p w:rsidR="005D5D35" w:rsidRPr="00DE6E65" w:rsidRDefault="005D5D35" w:rsidP="00763702">
      <w:pPr>
        <w:pStyle w:val="1Paragraph"/>
        <w:rPr>
          <w:b/>
        </w:rPr>
      </w:pPr>
      <w:r w:rsidRPr="00DE6E65">
        <w:rPr>
          <w:b/>
        </w:rPr>
        <w:t>Phase 2</w:t>
      </w:r>
    </w:p>
    <w:p w:rsidR="00763702" w:rsidRPr="004F3286" w:rsidRDefault="005D5D35" w:rsidP="00763702">
      <w:pPr>
        <w:pStyle w:val="1Paragraph"/>
      </w:pPr>
      <w:proofErr w:type="spellStart"/>
      <w:r>
        <w:rPr>
          <w:spacing w:val="40"/>
        </w:rPr>
        <w:t>Necsa</w:t>
      </w:r>
      <w:proofErr w:type="spellEnd"/>
      <w:r>
        <w:rPr>
          <w:spacing w:val="40"/>
        </w:rPr>
        <w:t xml:space="preserve"> will </w:t>
      </w:r>
      <w:r w:rsidRPr="004F3286">
        <w:t>address</w:t>
      </w:r>
      <w:r w:rsidRPr="004F3286">
        <w:rPr>
          <w:spacing w:val="72"/>
        </w:rPr>
        <w:t xml:space="preserve"> </w:t>
      </w:r>
      <w:r w:rsidRPr="004F3286">
        <w:t>the</w:t>
      </w:r>
      <w:r w:rsidRPr="004F3286">
        <w:rPr>
          <w:spacing w:val="68"/>
        </w:rPr>
        <w:t xml:space="preserve"> </w:t>
      </w:r>
      <w:r w:rsidRPr="004F3286">
        <w:t>findings</w:t>
      </w:r>
      <w:r>
        <w:t xml:space="preserve"> and implement recommendations</w:t>
      </w:r>
      <w:r w:rsidRPr="004F3286">
        <w:rPr>
          <w:spacing w:val="75"/>
        </w:rPr>
        <w:t xml:space="preserve"> </w:t>
      </w:r>
      <w:r>
        <w:rPr>
          <w:spacing w:val="75"/>
        </w:rPr>
        <w:t xml:space="preserve">of the PSP </w:t>
      </w:r>
      <w:r w:rsidRPr="004F3286">
        <w:t>over</w:t>
      </w:r>
      <w:r w:rsidRPr="004F3286">
        <w:rPr>
          <w:spacing w:val="71"/>
        </w:rPr>
        <w:t xml:space="preserve"> </w:t>
      </w:r>
      <w:r w:rsidRPr="004F3286">
        <w:t>a</w:t>
      </w:r>
      <w:r w:rsidRPr="004F3286">
        <w:rPr>
          <w:spacing w:val="72"/>
        </w:rPr>
        <w:t xml:space="preserve"> </w:t>
      </w:r>
      <w:r w:rsidRPr="004F3286">
        <w:t>period</w:t>
      </w:r>
      <w:r w:rsidRPr="004F3286">
        <w:rPr>
          <w:spacing w:val="71"/>
        </w:rPr>
        <w:t xml:space="preserve"> </w:t>
      </w:r>
      <w:r w:rsidRPr="004F3286">
        <w:rPr>
          <w:spacing w:val="-5"/>
        </w:rPr>
        <w:t>of</w:t>
      </w:r>
      <w:r>
        <w:rPr>
          <w:spacing w:val="-5"/>
        </w:rPr>
        <w:t xml:space="preserve"> </w:t>
      </w:r>
      <w:r w:rsidRPr="004F3286">
        <w:t xml:space="preserve">approximately </w:t>
      </w:r>
      <w:r>
        <w:t>two (2)</w:t>
      </w:r>
      <w:r w:rsidRPr="004F3286">
        <w:t xml:space="preserve"> </w:t>
      </w:r>
      <w:r>
        <w:t>weeks</w:t>
      </w:r>
      <w:r w:rsidRPr="004F3286">
        <w:t>.</w:t>
      </w:r>
      <w:r w:rsidR="00763702" w:rsidRPr="004F3286">
        <w:t xml:space="preserve"> Th</w:t>
      </w:r>
      <w:r>
        <w:t xml:space="preserve">e Report </w:t>
      </w:r>
      <w:r w:rsidR="00763702" w:rsidRPr="004F3286">
        <w:t xml:space="preserve">will then be submitted to the </w:t>
      </w:r>
      <w:r w:rsidR="00AD0079">
        <w:t>PSP</w:t>
      </w:r>
      <w:r w:rsidR="00763702" w:rsidRPr="004F3286">
        <w:t xml:space="preserve"> for a final review. Given that the necessary background has been established, a time of </w:t>
      </w:r>
      <w:r w:rsidR="00763702">
        <w:t>four</w:t>
      </w:r>
      <w:r w:rsidR="00763702" w:rsidRPr="004F3286">
        <w:t xml:space="preserve"> weeks (</w:t>
      </w:r>
      <w:r w:rsidR="00763702">
        <w:t>4</w:t>
      </w:r>
      <w:r w:rsidR="00763702" w:rsidRPr="004F3286">
        <w:t>) will be allocated for the final review</w:t>
      </w:r>
      <w:r w:rsidR="00763702">
        <w:t>.</w:t>
      </w:r>
    </w:p>
    <w:p w:rsidR="005D5D35" w:rsidRDefault="005D5D35" w:rsidP="00AD0079">
      <w:pPr>
        <w:pStyle w:val="1Paragraph"/>
      </w:pPr>
    </w:p>
    <w:p w:rsidR="00AD0079" w:rsidRPr="004F3286" w:rsidRDefault="00AD0079" w:rsidP="00AD0079">
      <w:pPr>
        <w:pStyle w:val="1Paragraph"/>
      </w:pPr>
      <w:r w:rsidRPr="004F3286">
        <w:t>The</w:t>
      </w:r>
      <w:r w:rsidRPr="004F3286">
        <w:rPr>
          <w:spacing w:val="-12"/>
        </w:rPr>
        <w:t xml:space="preserve"> </w:t>
      </w:r>
      <w:r>
        <w:t>PSP</w:t>
      </w:r>
      <w:r w:rsidRPr="004F3286">
        <w:rPr>
          <w:spacing w:val="-13"/>
        </w:rPr>
        <w:t xml:space="preserve"> </w:t>
      </w:r>
      <w:r w:rsidRPr="004F3286">
        <w:t>shall</w:t>
      </w:r>
      <w:r w:rsidRPr="004F3286">
        <w:rPr>
          <w:spacing w:val="-14"/>
        </w:rPr>
        <w:t xml:space="preserve"> </w:t>
      </w:r>
      <w:r w:rsidRPr="004F3286">
        <w:t>issue</w:t>
      </w:r>
      <w:r w:rsidRPr="004F3286">
        <w:rPr>
          <w:spacing w:val="-14"/>
        </w:rPr>
        <w:t xml:space="preserve"> </w:t>
      </w:r>
      <w:r w:rsidRPr="004F3286">
        <w:t>a</w:t>
      </w:r>
      <w:r w:rsidRPr="004F3286">
        <w:rPr>
          <w:spacing w:val="-12"/>
        </w:rPr>
        <w:t xml:space="preserve"> </w:t>
      </w:r>
      <w:r w:rsidRPr="004F3286">
        <w:t>report</w:t>
      </w:r>
      <w:r w:rsidRPr="004F3286">
        <w:rPr>
          <w:spacing w:val="-15"/>
        </w:rPr>
        <w:t xml:space="preserve"> </w:t>
      </w:r>
      <w:r w:rsidRPr="004F3286">
        <w:t>at</w:t>
      </w:r>
      <w:r w:rsidRPr="004F3286">
        <w:rPr>
          <w:spacing w:val="-12"/>
        </w:rPr>
        <w:t xml:space="preserve"> </w:t>
      </w:r>
      <w:r w:rsidRPr="004F3286">
        <w:t>the</w:t>
      </w:r>
      <w:r w:rsidRPr="004F3286">
        <w:rPr>
          <w:spacing w:val="-12"/>
        </w:rPr>
        <w:t xml:space="preserve"> </w:t>
      </w:r>
      <w:r w:rsidRPr="004F3286">
        <w:t>conclusion</w:t>
      </w:r>
      <w:r w:rsidRPr="004F3286">
        <w:rPr>
          <w:spacing w:val="-14"/>
        </w:rPr>
        <w:t xml:space="preserve"> </w:t>
      </w:r>
      <w:r w:rsidRPr="004F3286">
        <w:t>of</w:t>
      </w:r>
      <w:r w:rsidRPr="004F3286">
        <w:rPr>
          <w:spacing w:val="-12"/>
        </w:rPr>
        <w:t xml:space="preserve"> </w:t>
      </w:r>
      <w:r w:rsidRPr="004F3286">
        <w:t>the</w:t>
      </w:r>
      <w:r w:rsidRPr="004F3286">
        <w:rPr>
          <w:spacing w:val="-14"/>
        </w:rPr>
        <w:t xml:space="preserve"> </w:t>
      </w:r>
      <w:r>
        <w:t>PBMR Transfer Consolidated Due Diligence Report Review</w:t>
      </w:r>
      <w:r w:rsidRPr="004F3286">
        <w:t xml:space="preserve">, which indicates the </w:t>
      </w:r>
      <w:r>
        <w:t>PSP’s</w:t>
      </w:r>
      <w:r w:rsidRPr="004F3286">
        <w:t xml:space="preserve"> assessment</w:t>
      </w:r>
      <w:r>
        <w:t xml:space="preserve"> of the Report</w:t>
      </w:r>
      <w:r w:rsidRPr="004F3286">
        <w:t xml:space="preserve"> </w:t>
      </w:r>
      <w:r>
        <w:t>and provide</w:t>
      </w:r>
      <w:r w:rsidRPr="004F3286">
        <w:t xml:space="preserve"> recommendations on areas where further work may be undertaken to improve </w:t>
      </w:r>
      <w:r>
        <w:t>the Report further.</w:t>
      </w:r>
    </w:p>
    <w:p w:rsidR="00AD0079" w:rsidRDefault="00AD0079" w:rsidP="00DE6E65">
      <w:pPr>
        <w:tabs>
          <w:tab w:val="left" w:pos="567"/>
          <w:tab w:val="left" w:pos="1134"/>
          <w:tab w:val="left" w:pos="1701"/>
        </w:tabs>
        <w:spacing w:line="360" w:lineRule="auto"/>
        <w:jc w:val="both"/>
      </w:pPr>
    </w:p>
    <w:p w:rsidR="00F96EE7" w:rsidRPr="000A4366" w:rsidRDefault="00F96EE7" w:rsidP="00DE6E65">
      <w:pPr>
        <w:pStyle w:val="Default"/>
        <w:spacing w:line="276" w:lineRule="auto"/>
        <w:jc w:val="both"/>
        <w:rPr>
          <w:rStyle w:val="Hyperlink"/>
          <w:color w:val="auto"/>
          <w:sz w:val="22"/>
          <w:szCs w:val="22"/>
        </w:rPr>
      </w:pPr>
    </w:p>
    <w:p w:rsidR="00F12532" w:rsidRDefault="00947567" w:rsidP="00F51B54">
      <w:pPr>
        <w:pStyle w:val="Index2"/>
        <w:numPr>
          <w:ilvl w:val="1"/>
          <w:numId w:val="12"/>
        </w:numPr>
      </w:pPr>
      <w:bookmarkStart w:id="7" w:name="_Toc85434440"/>
      <w:r w:rsidRPr="000A4366">
        <w:t>Specification</w:t>
      </w:r>
      <w:r w:rsidR="00905AE4" w:rsidRPr="000A4366">
        <w:t xml:space="preserve"> / Technical Requirement</w:t>
      </w:r>
      <w:bookmarkEnd w:id="7"/>
    </w:p>
    <w:p w:rsidR="00ED05FB" w:rsidRDefault="00ED05FB" w:rsidP="009A0927">
      <w:pPr>
        <w:rPr>
          <w:b/>
        </w:rPr>
      </w:pPr>
    </w:p>
    <w:p w:rsidR="009A0927" w:rsidRDefault="00ED05FB" w:rsidP="002A6115">
      <w:pPr>
        <w:ind w:left="709" w:firstLine="11"/>
      </w:pPr>
      <w:r w:rsidRPr="00EA2284">
        <w:t xml:space="preserve">To this extent, </w:t>
      </w:r>
      <w:proofErr w:type="spellStart"/>
      <w:r w:rsidRPr="00EA2284">
        <w:t>Necsa</w:t>
      </w:r>
      <w:proofErr w:type="spellEnd"/>
      <w:r w:rsidRPr="00EA2284">
        <w:t xml:space="preserve"> requires the services of an external company for an independent </w:t>
      </w:r>
      <w:r w:rsidR="00AD5A47">
        <w:t>review</w:t>
      </w:r>
      <w:r w:rsidR="00AD5A47" w:rsidRPr="00EA2284">
        <w:t xml:space="preserve"> </w:t>
      </w:r>
      <w:r w:rsidRPr="00EA2284">
        <w:t xml:space="preserve">of </w:t>
      </w:r>
      <w:r w:rsidR="00AD5A47">
        <w:t xml:space="preserve">the </w:t>
      </w:r>
      <w:r w:rsidRPr="00EA2284">
        <w:t>PBMR</w:t>
      </w:r>
      <w:r w:rsidR="00AD5A47">
        <w:t xml:space="preserve"> </w:t>
      </w:r>
      <w:r w:rsidR="00826ADB">
        <w:t>Transfer</w:t>
      </w:r>
      <w:r w:rsidR="00AD5A47">
        <w:t xml:space="preserve"> Consolidated Due Diligence Report</w:t>
      </w:r>
      <w:r w:rsidR="00EA2284">
        <w:t xml:space="preserve"> </w:t>
      </w:r>
      <w:r w:rsidR="00352AD3">
        <w:t xml:space="preserve">and conclusions made </w:t>
      </w:r>
      <w:r w:rsidR="00EA2284">
        <w:t>on these aspects</w:t>
      </w:r>
      <w:r w:rsidRPr="00EA2284">
        <w:t>:</w:t>
      </w:r>
    </w:p>
    <w:p w:rsidR="00F2669A" w:rsidRDefault="00352AD3" w:rsidP="002A6115">
      <w:pPr>
        <w:pStyle w:val="ListParagraph"/>
        <w:numPr>
          <w:ilvl w:val="0"/>
          <w:numId w:val="33"/>
        </w:numPr>
      </w:pPr>
      <w:r>
        <w:t>Technical (</w:t>
      </w:r>
      <w:r w:rsidR="00F2669A">
        <w:t xml:space="preserve">IP, </w:t>
      </w:r>
      <w:r w:rsidR="00F92025">
        <w:t>Technology</w:t>
      </w:r>
      <w:r w:rsidR="00F2669A">
        <w:t xml:space="preserve">, </w:t>
      </w:r>
      <w:r w:rsidR="00F92025">
        <w:t>Operational and Technical</w:t>
      </w:r>
      <w:r w:rsidR="00D512FE">
        <w:t xml:space="preserve"> Considerations)</w:t>
      </w:r>
    </w:p>
    <w:p w:rsidR="00F92025" w:rsidRDefault="00F92025" w:rsidP="002A6115">
      <w:pPr>
        <w:pStyle w:val="ListParagraph"/>
        <w:numPr>
          <w:ilvl w:val="0"/>
          <w:numId w:val="33"/>
        </w:numPr>
      </w:pPr>
      <w:r>
        <w:t>Legal and Regulatory Compliance</w:t>
      </w:r>
    </w:p>
    <w:p w:rsidR="00F92025" w:rsidRDefault="00F92025" w:rsidP="002A6115">
      <w:pPr>
        <w:pStyle w:val="ListParagraph"/>
        <w:numPr>
          <w:ilvl w:val="0"/>
          <w:numId w:val="33"/>
        </w:numPr>
      </w:pPr>
      <w:r>
        <w:t>Financial Considerations</w:t>
      </w:r>
    </w:p>
    <w:p w:rsidR="00F92025" w:rsidRDefault="00F92025" w:rsidP="002A6115">
      <w:pPr>
        <w:pStyle w:val="ListParagraph"/>
        <w:numPr>
          <w:ilvl w:val="0"/>
          <w:numId w:val="33"/>
        </w:numPr>
      </w:pPr>
      <w:r>
        <w:t>IT (Data Security and Privacy)</w:t>
      </w:r>
    </w:p>
    <w:p w:rsidR="00F92025" w:rsidRDefault="00F92025" w:rsidP="002A6115">
      <w:pPr>
        <w:pStyle w:val="ListParagraph"/>
        <w:numPr>
          <w:ilvl w:val="0"/>
          <w:numId w:val="33"/>
        </w:numPr>
      </w:pPr>
      <w:r>
        <w:t>Organizational and Human Resources</w:t>
      </w:r>
    </w:p>
    <w:p w:rsidR="00BC499C" w:rsidRPr="00EA2284" w:rsidRDefault="00F2669A" w:rsidP="002A6115">
      <w:pPr>
        <w:ind w:left="720"/>
      </w:pPr>
      <w:r>
        <w:t xml:space="preserve">The </w:t>
      </w:r>
      <w:r w:rsidR="00D512FE">
        <w:t xml:space="preserve">PBMR </w:t>
      </w:r>
      <w:r w:rsidR="00826ADB">
        <w:t>Transfer</w:t>
      </w:r>
      <w:r w:rsidR="00D512FE">
        <w:t xml:space="preserve"> Consolidated </w:t>
      </w:r>
      <w:r>
        <w:t>Due D</w:t>
      </w:r>
      <w:r w:rsidR="00D512FE">
        <w:t>i</w:t>
      </w:r>
      <w:r>
        <w:t>lige</w:t>
      </w:r>
      <w:r w:rsidR="00D512FE">
        <w:t>n</w:t>
      </w:r>
      <w:r>
        <w:t xml:space="preserve">ce </w:t>
      </w:r>
      <w:r w:rsidR="00D512FE">
        <w:t>R</w:t>
      </w:r>
      <w:r>
        <w:t xml:space="preserve">eport </w:t>
      </w:r>
      <w:r w:rsidR="00D512FE">
        <w:t>O</w:t>
      </w:r>
      <w:r>
        <w:t xml:space="preserve">utline is provided as </w:t>
      </w:r>
      <w:r w:rsidRPr="002A6115">
        <w:rPr>
          <w:b/>
        </w:rPr>
        <w:t>Annexure B</w:t>
      </w:r>
      <w:r w:rsidR="00D512FE">
        <w:t>.</w:t>
      </w:r>
    </w:p>
    <w:p w:rsidR="00DE03CA" w:rsidRDefault="00DE03CA" w:rsidP="00DE03CA">
      <w:pPr>
        <w:ind w:left="720"/>
      </w:pPr>
      <w:r>
        <w:t xml:space="preserve">Based on the aforementioned specific focus areas, the PSP should evaluate the risks identified, propose further mitigations and recommend an action plan thereof. </w:t>
      </w:r>
    </w:p>
    <w:p w:rsidR="002A304D" w:rsidRDefault="00DE03CA" w:rsidP="00DE03CA">
      <w:pPr>
        <w:ind w:left="720"/>
      </w:pPr>
      <w:r>
        <w:t>Particular attention should also be given to the License/Sales agreements referred to in the Due Diligence Report.</w:t>
      </w:r>
    </w:p>
    <w:p w:rsidR="00DE03CA" w:rsidRDefault="00DE03CA" w:rsidP="00DE03CA">
      <w:pPr>
        <w:ind w:left="720"/>
      </w:pPr>
    </w:p>
    <w:p w:rsidR="0002680D" w:rsidRPr="000A4366" w:rsidRDefault="0002680D" w:rsidP="00F96EE7">
      <w:pPr>
        <w:pStyle w:val="Index3"/>
      </w:pPr>
      <w:bookmarkStart w:id="8" w:name="_Toc85434442"/>
      <w:r w:rsidRPr="000A4366">
        <w:t>Project Plan and Schedule</w:t>
      </w:r>
      <w:bookmarkEnd w:id="8"/>
    </w:p>
    <w:p w:rsidR="00032E12" w:rsidRPr="000A4366" w:rsidRDefault="00032E12" w:rsidP="002269A4">
      <w:pPr>
        <w:pStyle w:val="Index4"/>
        <w:rPr>
          <w:color w:val="auto"/>
        </w:rPr>
      </w:pPr>
      <w:r w:rsidRPr="000A4366">
        <w:rPr>
          <w:color w:val="auto"/>
        </w:rPr>
        <w:t xml:space="preserve">The bidder is required to provide a project plan and schedule based on estimated delivery periods. </w:t>
      </w:r>
    </w:p>
    <w:p w:rsidR="0002680D" w:rsidRPr="000A4366" w:rsidRDefault="00032E12" w:rsidP="002269A4">
      <w:pPr>
        <w:pStyle w:val="Index4"/>
        <w:rPr>
          <w:color w:val="auto"/>
        </w:rPr>
      </w:pPr>
      <w:r w:rsidRPr="000A4366">
        <w:rPr>
          <w:color w:val="auto"/>
        </w:rPr>
        <w:t>The final delivery date, start and end dates or duration will be negotiated and fixed once the contract is awarded.</w:t>
      </w:r>
    </w:p>
    <w:p w:rsidR="00384954" w:rsidRPr="000A4366" w:rsidRDefault="00384954" w:rsidP="002269A4">
      <w:pPr>
        <w:pStyle w:val="Index4"/>
        <w:numPr>
          <w:ilvl w:val="0"/>
          <w:numId w:val="0"/>
        </w:numPr>
        <w:ind w:left="851"/>
        <w:rPr>
          <w:color w:val="auto"/>
        </w:rPr>
      </w:pPr>
    </w:p>
    <w:p w:rsidR="009D79A3" w:rsidRPr="000A4366" w:rsidRDefault="00213098" w:rsidP="00F96EE7">
      <w:pPr>
        <w:pStyle w:val="Index3"/>
      </w:pPr>
      <w:bookmarkStart w:id="9" w:name="_Toc85434443"/>
      <w:r w:rsidRPr="000A4366">
        <w:t xml:space="preserve">Applicable </w:t>
      </w:r>
      <w:proofErr w:type="spellStart"/>
      <w:r w:rsidR="00290ADA" w:rsidRPr="000A4366">
        <w:t>Necsa</w:t>
      </w:r>
      <w:proofErr w:type="spellEnd"/>
      <w:r w:rsidRPr="000A4366">
        <w:t xml:space="preserve"> Policies</w:t>
      </w:r>
      <w:bookmarkEnd w:id="9"/>
    </w:p>
    <w:p w:rsidR="00213098" w:rsidRPr="000A4366" w:rsidRDefault="006B719C" w:rsidP="002269A4">
      <w:pPr>
        <w:pStyle w:val="Index4"/>
        <w:rPr>
          <w:color w:val="auto"/>
        </w:rPr>
      </w:pPr>
      <w:r w:rsidRPr="000A4366">
        <w:rPr>
          <w:color w:val="auto"/>
        </w:rPr>
        <w:t xml:space="preserve">The following </w:t>
      </w:r>
      <w:proofErr w:type="spellStart"/>
      <w:r w:rsidR="00290ADA" w:rsidRPr="000A4366">
        <w:rPr>
          <w:color w:val="auto"/>
        </w:rPr>
        <w:t>Necsa</w:t>
      </w:r>
      <w:proofErr w:type="spellEnd"/>
      <w:r w:rsidRPr="000A4366">
        <w:rPr>
          <w:color w:val="auto"/>
        </w:rP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0A4366" w:rsidRPr="000A4366" w:rsidTr="00D43C55">
        <w:tc>
          <w:tcPr>
            <w:tcW w:w="1640" w:type="pct"/>
            <w:vAlign w:val="center"/>
          </w:tcPr>
          <w:p w:rsidR="00D43C55" w:rsidRPr="000A4366" w:rsidRDefault="00D43C55" w:rsidP="00D43C55">
            <w:pPr>
              <w:pStyle w:val="1Paragraph"/>
              <w:ind w:left="0"/>
              <w:jc w:val="left"/>
            </w:pPr>
            <w:r w:rsidRPr="000A4366">
              <w:t>SHEQ-INS-0100</w:t>
            </w:r>
          </w:p>
        </w:tc>
        <w:tc>
          <w:tcPr>
            <w:tcW w:w="3360" w:type="pct"/>
            <w:vAlign w:val="center"/>
          </w:tcPr>
          <w:p w:rsidR="00D43C55" w:rsidRPr="000A4366" w:rsidRDefault="00290ADA" w:rsidP="00D43C55">
            <w:pPr>
              <w:pStyle w:val="1Paragraph"/>
              <w:ind w:left="0"/>
            </w:pPr>
            <w:proofErr w:type="spellStart"/>
            <w:r w:rsidRPr="000A4366">
              <w:t>Necsa</w:t>
            </w:r>
            <w:proofErr w:type="spellEnd"/>
            <w:r w:rsidR="00D43C55" w:rsidRPr="000A4366">
              <w:t xml:space="preserve"> General Safety, Health and Environmental Policy.</w:t>
            </w:r>
          </w:p>
        </w:tc>
      </w:tr>
      <w:tr w:rsidR="000A4366" w:rsidRPr="000A4366" w:rsidTr="00D43C55">
        <w:tc>
          <w:tcPr>
            <w:tcW w:w="1640" w:type="pct"/>
            <w:vAlign w:val="center"/>
          </w:tcPr>
          <w:p w:rsidR="00D43C55" w:rsidRPr="000A4366" w:rsidRDefault="00D43C55" w:rsidP="00D43C55">
            <w:pPr>
              <w:pStyle w:val="1Paragraph"/>
              <w:ind w:left="0"/>
              <w:jc w:val="left"/>
            </w:pPr>
            <w:r w:rsidRPr="000A4366">
              <w:t>SHEQ-INS-0102</w:t>
            </w:r>
          </w:p>
        </w:tc>
        <w:tc>
          <w:tcPr>
            <w:tcW w:w="3360" w:type="pct"/>
            <w:vAlign w:val="center"/>
          </w:tcPr>
          <w:p w:rsidR="00D43C55" w:rsidRPr="000A4366" w:rsidRDefault="00290ADA" w:rsidP="00D43C55">
            <w:pPr>
              <w:pStyle w:val="1Paragraph"/>
              <w:ind w:left="0"/>
            </w:pPr>
            <w:proofErr w:type="spellStart"/>
            <w:r w:rsidRPr="000A4366">
              <w:t>Necsa</w:t>
            </w:r>
            <w:proofErr w:type="spellEnd"/>
            <w:r w:rsidR="00D43C55" w:rsidRPr="000A4366">
              <w:t xml:space="preserve"> Alcohol and Drug Policy.</w:t>
            </w:r>
          </w:p>
        </w:tc>
      </w:tr>
      <w:tr w:rsidR="00D43C55" w:rsidRPr="000A4366" w:rsidTr="00D43C55">
        <w:tc>
          <w:tcPr>
            <w:tcW w:w="1640" w:type="pct"/>
            <w:vAlign w:val="center"/>
          </w:tcPr>
          <w:p w:rsidR="00D43C55" w:rsidRPr="000A4366" w:rsidRDefault="00D43C55" w:rsidP="00D43C55">
            <w:pPr>
              <w:pStyle w:val="1Paragraph"/>
              <w:ind w:left="0"/>
              <w:jc w:val="left"/>
            </w:pPr>
            <w:r w:rsidRPr="000A4366">
              <w:t>FBD-SCM-2017-PRO-0001</w:t>
            </w:r>
          </w:p>
        </w:tc>
        <w:tc>
          <w:tcPr>
            <w:tcW w:w="3360" w:type="pct"/>
            <w:vAlign w:val="center"/>
          </w:tcPr>
          <w:p w:rsidR="00D43C55" w:rsidRPr="000A4366" w:rsidRDefault="00D43C55" w:rsidP="00D43C55">
            <w:pPr>
              <w:pStyle w:val="1Paragraph"/>
              <w:ind w:left="0"/>
            </w:pPr>
            <w:r w:rsidRPr="000A4366">
              <w:t xml:space="preserve">Procedure for </w:t>
            </w:r>
            <w:proofErr w:type="spellStart"/>
            <w:r w:rsidR="00290ADA" w:rsidRPr="000A4366">
              <w:t>Necsa</w:t>
            </w:r>
            <w:r w:rsidRPr="000A4366">
              <w:t>’s</w:t>
            </w:r>
            <w:proofErr w:type="spellEnd"/>
            <w:r w:rsidRPr="000A4366">
              <w:t xml:space="preserve"> Supply Chain Management Process.</w:t>
            </w:r>
          </w:p>
        </w:tc>
      </w:tr>
    </w:tbl>
    <w:p w:rsidR="003D49BF" w:rsidRPr="000A4366" w:rsidRDefault="003D49BF" w:rsidP="00290964">
      <w:pPr>
        <w:pStyle w:val="Index3"/>
        <w:numPr>
          <w:ilvl w:val="0"/>
          <w:numId w:val="0"/>
        </w:numPr>
      </w:pPr>
    </w:p>
    <w:p w:rsidR="00290ADA" w:rsidRPr="000A4366" w:rsidRDefault="006B719C" w:rsidP="00F96EE7">
      <w:pPr>
        <w:pStyle w:val="Index2"/>
      </w:pPr>
      <w:bookmarkStart w:id="10" w:name="_Toc85434444"/>
      <w:r w:rsidRPr="000A4366">
        <w:t xml:space="preserve">Applicable </w:t>
      </w:r>
      <w:r w:rsidR="00290ADA" w:rsidRPr="000A4366">
        <w:t>Necsa</w:t>
      </w:r>
      <w:r w:rsidRPr="000A4366">
        <w:t xml:space="preserve"> Procedures</w:t>
      </w:r>
      <w:bookmarkEnd w:id="10"/>
    </w:p>
    <w:p w:rsidR="006B719C" w:rsidRPr="000A4366" w:rsidRDefault="006B719C" w:rsidP="00F96EE7">
      <w:pPr>
        <w:pStyle w:val="Index3"/>
      </w:pPr>
      <w:bookmarkStart w:id="11" w:name="_Toc85434445"/>
      <w:r w:rsidRPr="000A4366">
        <w:t xml:space="preserve">Requirements to Access </w:t>
      </w:r>
      <w:proofErr w:type="spellStart"/>
      <w:r w:rsidR="00290ADA" w:rsidRPr="000A4366">
        <w:t>Necsa</w:t>
      </w:r>
      <w:proofErr w:type="spellEnd"/>
      <w:r w:rsidRPr="000A4366">
        <w:t xml:space="preserve"> Site</w:t>
      </w:r>
      <w:bookmarkEnd w:id="11"/>
    </w:p>
    <w:p w:rsidR="00AE1249" w:rsidRPr="000A4366" w:rsidRDefault="00AE1249" w:rsidP="002269A4">
      <w:pPr>
        <w:pStyle w:val="Index4"/>
        <w:rPr>
          <w:color w:val="auto"/>
        </w:rPr>
      </w:pPr>
      <w:r w:rsidRPr="000A4366">
        <w:rPr>
          <w:color w:val="auto"/>
        </w:rPr>
        <w:t xml:space="preserve">As </w:t>
      </w:r>
      <w:proofErr w:type="spellStart"/>
      <w:r w:rsidR="00290ADA" w:rsidRPr="000A4366">
        <w:rPr>
          <w:color w:val="auto"/>
        </w:rPr>
        <w:t>Necsa</w:t>
      </w:r>
      <w:proofErr w:type="spellEnd"/>
      <w:r w:rsidRPr="000A4366">
        <w:rPr>
          <w:color w:val="auto"/>
        </w:rPr>
        <w:t xml:space="preserve"> site is a National Key Point access for tenderers are restricted to enter the site and the building where the briefing session will be held only.</w:t>
      </w:r>
    </w:p>
    <w:p w:rsidR="00AE1249" w:rsidRPr="000A4366" w:rsidRDefault="00AE1249" w:rsidP="002269A4">
      <w:pPr>
        <w:pStyle w:val="Index4"/>
        <w:rPr>
          <w:color w:val="auto"/>
        </w:rPr>
      </w:pPr>
      <w:r w:rsidRPr="000A4366">
        <w:rPr>
          <w:color w:val="auto"/>
        </w:rPr>
        <w:t xml:space="preserve">Access to any other area will only be allowed when escorted by </w:t>
      </w:r>
      <w:proofErr w:type="spellStart"/>
      <w:r w:rsidR="00290ADA" w:rsidRPr="000A4366">
        <w:rPr>
          <w:color w:val="auto"/>
        </w:rPr>
        <w:t>Necsa</w:t>
      </w:r>
      <w:proofErr w:type="spellEnd"/>
      <w:r w:rsidRPr="000A4366">
        <w:rPr>
          <w:color w:val="auto"/>
        </w:rPr>
        <w:t xml:space="preserve"> staff that is conversant in the security and safety requirements and conditions of the specific area.</w:t>
      </w:r>
    </w:p>
    <w:p w:rsidR="00AE1249" w:rsidRPr="000A4366" w:rsidRDefault="00AE1249" w:rsidP="002269A4">
      <w:pPr>
        <w:pStyle w:val="Index4"/>
        <w:rPr>
          <w:color w:val="auto"/>
        </w:rPr>
      </w:pPr>
      <w:r w:rsidRPr="000A4366">
        <w:rPr>
          <w:color w:val="auto"/>
        </w:rPr>
        <w:t xml:space="preserve">The </w:t>
      </w:r>
      <w:proofErr w:type="spellStart"/>
      <w:r w:rsidR="00290ADA" w:rsidRPr="000A4366">
        <w:rPr>
          <w:color w:val="auto"/>
        </w:rPr>
        <w:t>Necsa</w:t>
      </w:r>
      <w:proofErr w:type="spellEnd"/>
      <w:r w:rsidRPr="000A4366">
        <w:rPr>
          <w:color w:val="auto"/>
        </w:rPr>
        <w:t xml:space="preserve"> Contact Person for this bid will </w:t>
      </w:r>
      <w:proofErr w:type="gramStart"/>
      <w:r w:rsidRPr="000A4366">
        <w:rPr>
          <w:color w:val="auto"/>
        </w:rPr>
        <w:t>make arrangements</w:t>
      </w:r>
      <w:proofErr w:type="gramEnd"/>
      <w:r w:rsidRPr="000A4366">
        <w:rPr>
          <w:color w:val="auto"/>
        </w:rPr>
        <w:t xml:space="preserve"> for site access for all bidders that submitted their expression of interest accompanied by the following information, which </w:t>
      </w:r>
      <w:r w:rsidRPr="000A4366">
        <w:rPr>
          <w:color w:val="auto"/>
        </w:rPr>
        <w:lastRenderedPageBreak/>
        <w:t>shall be verified on the provision of a South African Identification Document or Driver’s License:</w:t>
      </w:r>
    </w:p>
    <w:tbl>
      <w:tblPr>
        <w:tblStyle w:val="TableGrid"/>
        <w:tblW w:w="4561" w:type="pct"/>
        <w:tblInd w:w="846" w:type="dxa"/>
        <w:tblLook w:val="04A0" w:firstRow="1" w:lastRow="0" w:firstColumn="1" w:lastColumn="0" w:noHBand="0" w:noVBand="1"/>
      </w:tblPr>
      <w:tblGrid>
        <w:gridCol w:w="386"/>
        <w:gridCol w:w="8396"/>
      </w:tblGrid>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D43C55" w:rsidP="00D43C55">
            <w:pPr>
              <w:pStyle w:val="1Paragraph"/>
              <w:ind w:left="0"/>
            </w:pPr>
            <w:r w:rsidRPr="000A4366">
              <w:t>Full names and surname</w:t>
            </w:r>
          </w:p>
        </w:tc>
      </w:tr>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D43C55" w:rsidP="00D43C55">
            <w:pPr>
              <w:pStyle w:val="1Paragraph"/>
              <w:ind w:left="0"/>
            </w:pPr>
            <w:r w:rsidRPr="000A4366">
              <w:t>ID or passport number</w:t>
            </w:r>
          </w:p>
        </w:tc>
      </w:tr>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D43C55" w:rsidP="00D43C55">
            <w:pPr>
              <w:pStyle w:val="1Paragraph"/>
              <w:ind w:left="0"/>
            </w:pPr>
            <w:r w:rsidRPr="000A4366">
              <w:t>Mobile of work telephone number</w:t>
            </w:r>
          </w:p>
        </w:tc>
      </w:tr>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D43C55" w:rsidP="00D43C55">
            <w:pPr>
              <w:pStyle w:val="1Paragraph"/>
              <w:ind w:left="0"/>
            </w:pPr>
            <w:r w:rsidRPr="000A4366">
              <w:t>Employer name and phone number</w:t>
            </w:r>
          </w:p>
        </w:tc>
      </w:tr>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D43C55" w:rsidP="00D43C55">
            <w:pPr>
              <w:pStyle w:val="1Paragraph"/>
              <w:ind w:left="0"/>
            </w:pPr>
            <w:r w:rsidRPr="000A4366">
              <w:t>Vehicle registration number</w:t>
            </w:r>
          </w:p>
        </w:tc>
      </w:tr>
    </w:tbl>
    <w:p w:rsidR="00AE1249" w:rsidRPr="000A4366" w:rsidRDefault="00AE1249" w:rsidP="002269A4">
      <w:pPr>
        <w:pStyle w:val="Index4"/>
        <w:rPr>
          <w:color w:val="auto"/>
        </w:rPr>
      </w:pPr>
      <w:r w:rsidRPr="000A4366">
        <w:rPr>
          <w:color w:val="auto"/>
        </w:rPr>
        <w:t xml:space="preserve">In the case of foreign citizens, whether visitors to South Africa or residents in the country, a copy or scan of the passport must be submitted at least two (2) weeks before the date required to enter on the </w:t>
      </w:r>
      <w:proofErr w:type="spellStart"/>
      <w:r w:rsidR="00290ADA" w:rsidRPr="000A4366">
        <w:rPr>
          <w:color w:val="auto"/>
        </w:rPr>
        <w:t>Necsa</w:t>
      </w:r>
      <w:proofErr w:type="spellEnd"/>
      <w:r w:rsidRPr="000A4366">
        <w:rPr>
          <w:color w:val="auto"/>
        </w:rPr>
        <w:t xml:space="preserve"> site.</w:t>
      </w:r>
    </w:p>
    <w:p w:rsidR="00C15789" w:rsidRPr="000A4366" w:rsidRDefault="00AE1249" w:rsidP="002269A4">
      <w:pPr>
        <w:pStyle w:val="Index4"/>
        <w:rPr>
          <w:color w:val="auto"/>
        </w:rPr>
      </w:pPr>
      <w:r w:rsidRPr="000A4366">
        <w:rPr>
          <w:color w:val="auto"/>
        </w:rPr>
        <w:t>Nobody will be allowed to enter the site if they are not in possession of the above identification documents.</w:t>
      </w:r>
    </w:p>
    <w:p w:rsidR="006B719C" w:rsidRPr="000A4366" w:rsidRDefault="00931917" w:rsidP="00F96EE7">
      <w:pPr>
        <w:pStyle w:val="Index3"/>
      </w:pPr>
      <w:bookmarkStart w:id="12" w:name="_Toc85434446"/>
      <w:r w:rsidRPr="000A4366">
        <w:t>Emergencies, Incidents, Accidents</w:t>
      </w:r>
      <w:bookmarkEnd w:id="12"/>
    </w:p>
    <w:p w:rsidR="00931917" w:rsidRPr="000A4366" w:rsidRDefault="00290ADA" w:rsidP="002269A4">
      <w:pPr>
        <w:pStyle w:val="Index4"/>
        <w:rPr>
          <w:color w:val="auto"/>
        </w:rPr>
      </w:pPr>
      <w:proofErr w:type="spellStart"/>
      <w:r w:rsidRPr="000A4366">
        <w:rPr>
          <w:color w:val="auto"/>
        </w:rPr>
        <w:t>Necsa</w:t>
      </w:r>
      <w:proofErr w:type="spellEnd"/>
      <w:r w:rsidR="00931917" w:rsidRPr="000A4366">
        <w:rPr>
          <w:color w:val="auto"/>
        </w:rPr>
        <w:t xml:space="preserve"> maintains an Emergency Control Centre, a Fire Brigade and Paramedics with a fully equipped ambulance, an on-site Medical Clinic with doctors and nursing staff and several highly trained response personnel.</w:t>
      </w:r>
    </w:p>
    <w:p w:rsidR="00931917" w:rsidRPr="000A4366" w:rsidRDefault="00931917" w:rsidP="002269A4">
      <w:pPr>
        <w:pStyle w:val="Index4"/>
        <w:rPr>
          <w:color w:val="auto"/>
        </w:rPr>
      </w:pPr>
      <w:r w:rsidRPr="000A4366">
        <w:rPr>
          <w:color w:val="auto"/>
        </w:rPr>
        <w:t>The Emergency Control Centre and emergency response personnel are on call 24/7 and equipped to handle any emergencies foreseen.</w:t>
      </w:r>
    </w:p>
    <w:p w:rsidR="00931917" w:rsidRPr="000A4366" w:rsidRDefault="00931917" w:rsidP="002269A4">
      <w:pPr>
        <w:pStyle w:val="Index4"/>
        <w:rPr>
          <w:color w:val="auto"/>
        </w:rPr>
      </w:pPr>
      <w:r w:rsidRPr="000A4366">
        <w:rPr>
          <w:color w:val="auto"/>
        </w:rPr>
        <w:t>If any emergency situation, incident, acci</w:t>
      </w:r>
      <w:r w:rsidR="00F25FF6" w:rsidRPr="000A4366">
        <w:rPr>
          <w:color w:val="auto"/>
        </w:rPr>
        <w:t>dent or injury should occur the</w:t>
      </w:r>
      <w:r w:rsidRPr="000A4366">
        <w:rPr>
          <w:color w:val="auto"/>
        </w:rPr>
        <w:t xml:space="preserve"> Emergency Control Centre should be contacted at extension 3333 or 012 305 3333.</w:t>
      </w:r>
    </w:p>
    <w:p w:rsidR="00931917" w:rsidRPr="000A4366" w:rsidRDefault="00931917" w:rsidP="002269A4">
      <w:pPr>
        <w:pStyle w:val="Index4"/>
        <w:rPr>
          <w:color w:val="auto"/>
        </w:rPr>
      </w:pPr>
      <w:r w:rsidRPr="000A4366">
        <w:rPr>
          <w:color w:val="auto"/>
        </w:rPr>
        <w:t xml:space="preserve">Emergency exercises and site alarm tests are conducted from time to time to ensure full preparedness of all </w:t>
      </w:r>
      <w:proofErr w:type="spellStart"/>
      <w:r w:rsidR="00290ADA" w:rsidRPr="000A4366">
        <w:rPr>
          <w:color w:val="auto"/>
        </w:rPr>
        <w:t>Necsa</w:t>
      </w:r>
      <w:proofErr w:type="spellEnd"/>
      <w:r w:rsidRPr="000A4366">
        <w:rPr>
          <w:color w:val="auto"/>
        </w:rPr>
        <w:t xml:space="preserve"> staff. The site wide announcement will clearly state this is an exercise/test.</w:t>
      </w:r>
    </w:p>
    <w:p w:rsidR="00931917" w:rsidRPr="000A4366" w:rsidRDefault="00931917" w:rsidP="002269A4">
      <w:pPr>
        <w:pStyle w:val="Index4"/>
        <w:rPr>
          <w:color w:val="auto"/>
        </w:rPr>
      </w:pPr>
      <w:r w:rsidRPr="000A4366">
        <w:rPr>
          <w:color w:val="auto"/>
        </w:rPr>
        <w:t xml:space="preserve">Everyone, including visitors, </w:t>
      </w:r>
      <w:r w:rsidR="0016152A" w:rsidRPr="000A4366">
        <w:rPr>
          <w:color w:val="auto"/>
        </w:rPr>
        <w:t>is</w:t>
      </w:r>
      <w:r w:rsidRPr="000A4366">
        <w:rPr>
          <w:color w:val="auto"/>
        </w:rPr>
        <w:t xml:space="preserve"> required to follow emergency instructions. Your site host will explain the details during the compulsory briefing session.</w:t>
      </w:r>
    </w:p>
    <w:p w:rsidR="00931917" w:rsidRPr="000A4366" w:rsidRDefault="00290ADA" w:rsidP="00F96EE7">
      <w:pPr>
        <w:pStyle w:val="Index3"/>
      </w:pPr>
      <w:bookmarkStart w:id="13" w:name="_Toc85434447"/>
      <w:proofErr w:type="spellStart"/>
      <w:r w:rsidRPr="000A4366">
        <w:t>Necsa</w:t>
      </w:r>
      <w:proofErr w:type="spellEnd"/>
      <w:r w:rsidR="00931917" w:rsidRPr="000A4366">
        <w:t xml:space="preserve"> Health, Safety and Environmental Requirements</w:t>
      </w:r>
      <w:bookmarkEnd w:id="13"/>
    </w:p>
    <w:p w:rsidR="00931917" w:rsidRPr="000A4366" w:rsidRDefault="002F62A9" w:rsidP="00931917">
      <w:pPr>
        <w:pStyle w:val="1Paragraph"/>
      </w:pPr>
      <w:r w:rsidRPr="000A4366">
        <w:t xml:space="preserve">The contractor will be required to comply </w:t>
      </w:r>
      <w:r w:rsidR="0016152A" w:rsidRPr="000A4366">
        <w:t>with</w:t>
      </w:r>
      <w:r w:rsidRPr="000A4366">
        <w:t xml:space="preserve"> the provis</w:t>
      </w:r>
      <w:r w:rsidR="000B02CF" w:rsidRPr="000A4366">
        <w:t xml:space="preserve">ions of </w:t>
      </w:r>
      <w:r w:rsidR="00631448" w:rsidRPr="000A4366">
        <w:t xml:space="preserve">(SHEQ- </w:t>
      </w:r>
      <w:r w:rsidR="000B02CF" w:rsidRPr="000A4366">
        <w:t>INS-0800</w:t>
      </w:r>
      <w:r w:rsidR="00631448" w:rsidRPr="000A4366">
        <w:t>)</w:t>
      </w:r>
    </w:p>
    <w:p w:rsidR="00290ADA" w:rsidRPr="000A4366" w:rsidRDefault="00554C52" w:rsidP="002269A4">
      <w:pPr>
        <w:pStyle w:val="Index4"/>
        <w:rPr>
          <w:color w:val="auto"/>
        </w:rPr>
      </w:pPr>
      <w:r w:rsidRPr="000A4366">
        <w:rPr>
          <w:color w:val="auto"/>
        </w:rPr>
        <w:t>The bidder shall submit its company Health, Safety and Environmental (SHE) Policy with the bid. It shall reflect the intention to submit a SHE Plan in relation to the work that will be performed.</w:t>
      </w:r>
    </w:p>
    <w:p w:rsidR="00554C52" w:rsidRPr="000A4366" w:rsidRDefault="00290ADA" w:rsidP="00F96EE7">
      <w:pPr>
        <w:pStyle w:val="Index3"/>
      </w:pPr>
      <w:bookmarkStart w:id="14" w:name="_Toc85434448"/>
      <w:proofErr w:type="spellStart"/>
      <w:r w:rsidRPr="000A4366">
        <w:t>Necsa</w:t>
      </w:r>
      <w:proofErr w:type="spellEnd"/>
      <w:r w:rsidR="00554C52" w:rsidRPr="000A4366">
        <w:t xml:space="preserve"> Requirements for Quality</w:t>
      </w:r>
      <w:bookmarkEnd w:id="14"/>
    </w:p>
    <w:p w:rsidR="00554C52" w:rsidRPr="000A4366" w:rsidRDefault="00554C52" w:rsidP="002269A4">
      <w:pPr>
        <w:pStyle w:val="Index4"/>
        <w:rPr>
          <w:color w:val="auto"/>
        </w:rPr>
      </w:pPr>
      <w:r w:rsidRPr="000A4366">
        <w:rPr>
          <w:color w:val="auto"/>
        </w:rPr>
        <w:t>The bidder shall submit its company Quality Policy with its bid. It shall reflect the intention to submit a Quality Plan for ensuring all deliverables comply with the bid specifications.</w:t>
      </w:r>
    </w:p>
    <w:p w:rsidR="000B02CF" w:rsidRPr="000A4366" w:rsidRDefault="000B02CF" w:rsidP="002269A4">
      <w:pPr>
        <w:pStyle w:val="Index4"/>
        <w:numPr>
          <w:ilvl w:val="0"/>
          <w:numId w:val="0"/>
        </w:numPr>
        <w:ind w:left="851"/>
        <w:rPr>
          <w:color w:val="auto"/>
        </w:rPr>
      </w:pPr>
      <w:r w:rsidRPr="000A4366">
        <w:rPr>
          <w:color w:val="auto"/>
        </w:rPr>
        <w:t>Ensure that all attached documents are clearly marked and the tender proposal is submitted in a clear, logical and well-marked format together with index.</w:t>
      </w:r>
    </w:p>
    <w:p w:rsidR="003276C8" w:rsidRPr="000A4366" w:rsidRDefault="000B02CF" w:rsidP="002269A4">
      <w:pPr>
        <w:pStyle w:val="Index4"/>
        <w:numPr>
          <w:ilvl w:val="0"/>
          <w:numId w:val="0"/>
        </w:numPr>
        <w:ind w:left="851"/>
        <w:rPr>
          <w:color w:val="auto"/>
        </w:rPr>
      </w:pPr>
      <w:r w:rsidRPr="000A4366">
        <w:rPr>
          <w:color w:val="auto"/>
        </w:rPr>
        <w:t xml:space="preserve">An introductory covering letter using company official </w:t>
      </w:r>
      <w:r w:rsidR="0016152A" w:rsidRPr="000A4366">
        <w:rPr>
          <w:color w:val="auto"/>
        </w:rPr>
        <w:t>letterhead reflecting</w:t>
      </w:r>
      <w:r w:rsidRPr="000A4366">
        <w:rPr>
          <w:color w:val="auto"/>
        </w:rPr>
        <w:t xml:space="preserve"> the company’s name and address should accompany the tender proposal.</w:t>
      </w:r>
    </w:p>
    <w:p w:rsidR="00544FC3" w:rsidRPr="000A4366" w:rsidRDefault="00290ADA" w:rsidP="00F96EE7">
      <w:pPr>
        <w:pStyle w:val="Index3"/>
      </w:pPr>
      <w:bookmarkStart w:id="15" w:name="_Toc85434449"/>
      <w:proofErr w:type="spellStart"/>
      <w:r w:rsidRPr="000A4366">
        <w:t>Necsa</w:t>
      </w:r>
      <w:proofErr w:type="spellEnd"/>
      <w:r w:rsidR="00544FC3" w:rsidRPr="000A4366">
        <w:t xml:space="preserve"> Requirements for Project SHEQ</w:t>
      </w:r>
      <w:bookmarkEnd w:id="15"/>
    </w:p>
    <w:p w:rsidR="00544FC3" w:rsidRPr="000A4366" w:rsidRDefault="00290ADA" w:rsidP="002269A4">
      <w:pPr>
        <w:pStyle w:val="Index4"/>
        <w:rPr>
          <w:color w:val="auto"/>
        </w:rPr>
      </w:pPr>
      <w:proofErr w:type="spellStart"/>
      <w:r w:rsidRPr="000A4366">
        <w:rPr>
          <w:color w:val="auto"/>
        </w:rPr>
        <w:t>Necsa</w:t>
      </w:r>
      <w:r w:rsidR="00544FC3" w:rsidRPr="000A4366">
        <w:rPr>
          <w:color w:val="auto"/>
        </w:rPr>
        <w:t>’s</w:t>
      </w:r>
      <w:proofErr w:type="spellEnd"/>
      <w:r w:rsidR="00544FC3" w:rsidRPr="000A4366">
        <w:rPr>
          <w:color w:val="auto"/>
        </w:rPr>
        <w:t xml:space="preserve"> SHEQ Project Approval Process prescribes that all planned projects or project phases be assessed for compliance with </w:t>
      </w:r>
      <w:proofErr w:type="spellStart"/>
      <w:r w:rsidRPr="000A4366">
        <w:rPr>
          <w:color w:val="auto"/>
        </w:rPr>
        <w:t>Necsa</w:t>
      </w:r>
      <w:proofErr w:type="spellEnd"/>
      <w:r w:rsidR="00544FC3" w:rsidRPr="000A4366">
        <w:rPr>
          <w:color w:val="auto"/>
        </w:rPr>
        <w:t xml:space="preserve">/s </w:t>
      </w:r>
      <w:r w:rsidR="00631448" w:rsidRPr="000A4366">
        <w:rPr>
          <w:color w:val="auto"/>
        </w:rPr>
        <w:t>SHEQ requirements (SHEQ-INS-0800</w:t>
      </w:r>
      <w:r w:rsidR="00544FC3" w:rsidRPr="000A4366">
        <w:rPr>
          <w:color w:val="auto"/>
        </w:rPr>
        <w:t>).</w:t>
      </w:r>
    </w:p>
    <w:p w:rsidR="009171F1" w:rsidRPr="000A4366" w:rsidRDefault="009171F1" w:rsidP="00F96EE7">
      <w:pPr>
        <w:pStyle w:val="Index3"/>
      </w:pPr>
      <w:bookmarkStart w:id="16" w:name="_Toc85434450"/>
      <w:r w:rsidRPr="000A4366">
        <w:lastRenderedPageBreak/>
        <w:t>Confidentiality</w:t>
      </w:r>
      <w:bookmarkEnd w:id="16"/>
    </w:p>
    <w:p w:rsidR="00554C52" w:rsidRPr="000A4366" w:rsidRDefault="00554C52" w:rsidP="002269A4">
      <w:pPr>
        <w:pStyle w:val="Index4"/>
        <w:rPr>
          <w:color w:val="auto"/>
        </w:rPr>
      </w:pPr>
      <w:r w:rsidRPr="000A4366">
        <w:rPr>
          <w:color w:val="auto"/>
        </w:rPr>
        <w:t>Bidders shall handle the contents of this document as confidential and private and may not disclose it to a third party or publish in any way whatsoever.</w:t>
      </w:r>
    </w:p>
    <w:p w:rsidR="009171F1" w:rsidRPr="000A4366" w:rsidRDefault="009171F1" w:rsidP="002269A4">
      <w:pPr>
        <w:pStyle w:val="Index4"/>
        <w:rPr>
          <w:color w:val="auto"/>
        </w:rPr>
      </w:pPr>
      <w:r w:rsidRPr="000A4366">
        <w:rPr>
          <w:color w:val="auto"/>
        </w:rPr>
        <w:t xml:space="preserve">The signing of </w:t>
      </w:r>
      <w:proofErr w:type="spellStart"/>
      <w:r w:rsidR="00290ADA" w:rsidRPr="000A4366">
        <w:rPr>
          <w:color w:val="auto"/>
        </w:rPr>
        <w:t>Necsa</w:t>
      </w:r>
      <w:r w:rsidRPr="000A4366">
        <w:rPr>
          <w:color w:val="auto"/>
        </w:rPr>
        <w:t>’s</w:t>
      </w:r>
      <w:proofErr w:type="spellEnd"/>
      <w:r w:rsidRPr="000A4366">
        <w:rPr>
          <w:color w:val="auto"/>
        </w:rPr>
        <w:t xml:space="preserve"> Confidentiality agreement will only be required if information of a confidential nature </w:t>
      </w:r>
      <w:proofErr w:type="gramStart"/>
      <w:r w:rsidRPr="000A4366">
        <w:rPr>
          <w:color w:val="auto"/>
        </w:rPr>
        <w:t>are</w:t>
      </w:r>
      <w:proofErr w:type="gramEnd"/>
      <w:r w:rsidRPr="000A4366">
        <w:rPr>
          <w:color w:val="auto"/>
        </w:rPr>
        <w:t xml:space="preserve"> provided to the bidders.</w:t>
      </w:r>
    </w:p>
    <w:p w:rsidR="009171F1" w:rsidRPr="000A4366" w:rsidRDefault="009171F1" w:rsidP="002269A4">
      <w:pPr>
        <w:pStyle w:val="Index4"/>
        <w:rPr>
          <w:color w:val="auto"/>
        </w:rPr>
      </w:pPr>
      <w:r w:rsidRPr="000A4366">
        <w:rPr>
          <w:color w:val="auto"/>
        </w:rPr>
        <w:t>Normally this is only required on entering into the contract, which is not part of the bid specification.</w:t>
      </w:r>
    </w:p>
    <w:p w:rsidR="00D6488C" w:rsidRPr="000A4366" w:rsidRDefault="00D6488C">
      <w:pPr>
        <w:widowControl/>
        <w:spacing w:before="0" w:after="200"/>
        <w:outlineLvl w:val="9"/>
      </w:pPr>
      <w:r w:rsidRPr="000A4366">
        <w:br w:type="page"/>
      </w:r>
    </w:p>
    <w:p w:rsidR="009171F1" w:rsidRPr="000A4366" w:rsidRDefault="009171F1" w:rsidP="00D6488C">
      <w:pPr>
        <w:pStyle w:val="Index1"/>
        <w:rPr>
          <w:color w:val="auto"/>
        </w:rPr>
      </w:pPr>
      <w:bookmarkStart w:id="17" w:name="_Toc85434451"/>
      <w:bookmarkEnd w:id="17"/>
    </w:p>
    <w:p w:rsidR="00D6488C" w:rsidRPr="00F96EE7" w:rsidRDefault="00D6488C" w:rsidP="00F51B54">
      <w:pPr>
        <w:pStyle w:val="Index2"/>
        <w:numPr>
          <w:ilvl w:val="1"/>
          <w:numId w:val="7"/>
        </w:numPr>
        <w:rPr>
          <w:lang w:val="en-ZA"/>
        </w:rPr>
      </w:pPr>
      <w:bookmarkStart w:id="18" w:name="_Toc85434452"/>
      <w:r w:rsidRPr="00F96EE7">
        <w:rPr>
          <w:lang w:val="en-ZA"/>
        </w:rPr>
        <w:t>Instruction to Bidders</w:t>
      </w:r>
      <w:bookmarkEnd w:id="18"/>
    </w:p>
    <w:p w:rsidR="00A42E16" w:rsidRPr="000A4366" w:rsidRDefault="00A42E16" w:rsidP="00F96EE7">
      <w:pPr>
        <w:pStyle w:val="Index3"/>
      </w:pPr>
      <w:bookmarkStart w:id="19" w:name="_Toc85434453"/>
      <w:r w:rsidRPr="000A4366">
        <w:t>General</w:t>
      </w:r>
      <w:bookmarkEnd w:id="19"/>
    </w:p>
    <w:p w:rsidR="00A42E16" w:rsidRPr="000A4366" w:rsidRDefault="00A42E16" w:rsidP="002269A4">
      <w:pPr>
        <w:pStyle w:val="Index4"/>
        <w:rPr>
          <w:color w:val="auto"/>
        </w:rPr>
      </w:pPr>
      <w:r w:rsidRPr="000A4366">
        <w:rPr>
          <w:color w:val="auto"/>
        </w:rPr>
        <w:t xml:space="preserve">Bidders must familiarise themselves with and comply with the mandatory requirements and ensure their availability for site visits and presentations, as required, on the appropriate dates. </w:t>
      </w:r>
    </w:p>
    <w:p w:rsidR="00F80D24" w:rsidRPr="000A4366" w:rsidRDefault="00F80D24" w:rsidP="00F96EE7">
      <w:pPr>
        <w:pStyle w:val="Index3"/>
      </w:pPr>
      <w:bookmarkStart w:id="20" w:name="_Toc85434454"/>
      <w:r w:rsidRPr="000A4366">
        <w:t>Bidder Information</w:t>
      </w:r>
      <w:bookmarkEnd w:id="20"/>
    </w:p>
    <w:p w:rsidR="00F80D24" w:rsidRPr="000A4366" w:rsidRDefault="00F80D24" w:rsidP="002269A4">
      <w:pPr>
        <w:pStyle w:val="Index4"/>
        <w:rPr>
          <w:color w:val="auto"/>
        </w:rPr>
      </w:pPr>
      <w:r w:rsidRPr="000A4366">
        <w:rPr>
          <w:color w:val="auto"/>
        </w:rPr>
        <w:t xml:space="preserve">The required information on the bidder must be completed as stipulated in </w:t>
      </w:r>
      <w:r w:rsidR="00386287" w:rsidRPr="000A4366">
        <w:rPr>
          <w:color w:val="auto"/>
        </w:rPr>
        <w:t xml:space="preserve">Section 3, </w:t>
      </w:r>
      <w:r w:rsidR="00617670" w:rsidRPr="000A4366">
        <w:rPr>
          <w:color w:val="auto"/>
        </w:rPr>
        <w:t>Paragraph 7</w:t>
      </w:r>
      <w:r w:rsidRPr="000A4366">
        <w:rPr>
          <w:color w:val="auto"/>
        </w:rPr>
        <w:t>. Failure to do so may result in disqualification.</w:t>
      </w:r>
    </w:p>
    <w:p w:rsidR="005B1F78" w:rsidRPr="000A4366" w:rsidRDefault="005B1F78" w:rsidP="002269A4">
      <w:pPr>
        <w:pStyle w:val="Index4"/>
        <w:rPr>
          <w:color w:val="auto"/>
        </w:rPr>
      </w:pPr>
      <w:r w:rsidRPr="000A4366">
        <w:rPr>
          <w:color w:val="auto"/>
        </w:rPr>
        <w:t>Bidder to provide solvency statement signed by a qualified authority that the financial position of the bidder is sound and that the company will be able to mobilise the required resources for the execution of this contract.</w:t>
      </w:r>
    </w:p>
    <w:p w:rsidR="005B1F78" w:rsidRPr="000A4366" w:rsidRDefault="005B1F78" w:rsidP="002269A4">
      <w:pPr>
        <w:pStyle w:val="Index4"/>
        <w:rPr>
          <w:color w:val="auto"/>
        </w:rPr>
      </w:pPr>
      <w:r w:rsidRPr="000A4366">
        <w:rPr>
          <w:color w:val="auto"/>
        </w:rPr>
        <w:t xml:space="preserve">The successful bidder shall demonstrate to </w:t>
      </w:r>
      <w:proofErr w:type="spellStart"/>
      <w:r w:rsidR="00290ADA" w:rsidRPr="000A4366">
        <w:rPr>
          <w:color w:val="auto"/>
        </w:rPr>
        <w:t>Necsa</w:t>
      </w:r>
      <w:proofErr w:type="spellEnd"/>
      <w:r w:rsidRPr="000A4366">
        <w:rPr>
          <w:color w:val="auto"/>
        </w:rPr>
        <w:t xml:space="preserve"> that adequate pre-employment screening, including security screening, was performed on their employees/sub-contractors (staff).</w:t>
      </w:r>
    </w:p>
    <w:p w:rsidR="005B1F78" w:rsidRPr="000A4366" w:rsidRDefault="005B1F78" w:rsidP="002269A4">
      <w:pPr>
        <w:pStyle w:val="Index4"/>
        <w:rPr>
          <w:color w:val="auto"/>
        </w:rPr>
      </w:pPr>
      <w:r w:rsidRPr="000A4366">
        <w:rPr>
          <w:color w:val="auto"/>
        </w:rPr>
        <w:t>The pre-employment screening shall as a minimum be able to:</w:t>
      </w:r>
    </w:p>
    <w:p w:rsidR="005B1F78" w:rsidRPr="000A4366" w:rsidRDefault="005B1F78" w:rsidP="005B1F78">
      <w:pPr>
        <w:pStyle w:val="Index5"/>
      </w:pPr>
      <w:r w:rsidRPr="000A4366">
        <w:t>Authenticate that staff are who they claim to be;</w:t>
      </w:r>
    </w:p>
    <w:p w:rsidR="005B1F78" w:rsidRPr="000A4366" w:rsidRDefault="005B1F78" w:rsidP="005B1F78">
      <w:pPr>
        <w:pStyle w:val="Index5"/>
      </w:pPr>
      <w:r w:rsidRPr="000A4366">
        <w:t>Confirm that staff have a right to work in the RSA;</w:t>
      </w:r>
    </w:p>
    <w:p w:rsidR="005B1F78" w:rsidRPr="000A4366" w:rsidRDefault="005B1F78" w:rsidP="005B1F78">
      <w:pPr>
        <w:pStyle w:val="Index5"/>
      </w:pPr>
      <w:r w:rsidRPr="000A4366">
        <w:t>Obtain written declaration from staff of any criminal record; and</w:t>
      </w:r>
    </w:p>
    <w:p w:rsidR="005B1F78" w:rsidRPr="000A4366" w:rsidRDefault="005B1F78" w:rsidP="005B1F78">
      <w:pPr>
        <w:pStyle w:val="Index5"/>
      </w:pPr>
      <w:r w:rsidRPr="000A4366">
        <w:t xml:space="preserve">Confirm that </w:t>
      </w:r>
      <w:r w:rsidR="00D43C55" w:rsidRPr="000A4366">
        <w:t>staff possesses</w:t>
      </w:r>
      <w:r w:rsidRPr="000A4366">
        <w:t xml:space="preserve"> the relevant qualifications to undertake the duties effectively and safely.</w:t>
      </w:r>
    </w:p>
    <w:p w:rsidR="005B1F78" w:rsidRPr="000A4366" w:rsidRDefault="005B1F78" w:rsidP="002269A4">
      <w:pPr>
        <w:pStyle w:val="Index4"/>
        <w:rPr>
          <w:color w:val="auto"/>
        </w:rPr>
      </w:pPr>
      <w:r w:rsidRPr="000A4366">
        <w:rPr>
          <w:color w:val="auto"/>
        </w:rPr>
        <w:t>The successful bidder shall deploy competent staff, supervision and labour who are appropriately experienced and trained for the work they are to undertake.</w:t>
      </w:r>
    </w:p>
    <w:p w:rsidR="005B1F78" w:rsidRPr="000A4366" w:rsidRDefault="00290ADA" w:rsidP="002269A4">
      <w:pPr>
        <w:pStyle w:val="Index4"/>
        <w:rPr>
          <w:color w:val="auto"/>
        </w:rPr>
      </w:pPr>
      <w:proofErr w:type="spellStart"/>
      <w:r w:rsidRPr="000A4366">
        <w:rPr>
          <w:color w:val="auto"/>
        </w:rPr>
        <w:t>Necsa</w:t>
      </w:r>
      <w:proofErr w:type="spellEnd"/>
      <w:r w:rsidR="005B1F78" w:rsidRPr="000A4366">
        <w:rPr>
          <w:color w:val="auto"/>
        </w:rPr>
        <w:t xml:space="preserve"> and its representatives may seek formal assurance to this effect (including a formal audit) at any time during the contract period.</w:t>
      </w:r>
    </w:p>
    <w:p w:rsidR="00DA39DC" w:rsidRPr="000A4366" w:rsidRDefault="00DA39DC" w:rsidP="00F96EE7">
      <w:pPr>
        <w:pStyle w:val="Index3"/>
      </w:pPr>
      <w:bookmarkStart w:id="21" w:name="_Toc85434455"/>
      <w:r w:rsidRPr="000A4366">
        <w:t>Consortium</w:t>
      </w:r>
      <w:bookmarkEnd w:id="21"/>
    </w:p>
    <w:p w:rsidR="00DA39DC" w:rsidRPr="000A4366" w:rsidRDefault="00DA39DC" w:rsidP="002269A4">
      <w:pPr>
        <w:pStyle w:val="Index4"/>
        <w:rPr>
          <w:color w:val="auto"/>
        </w:rPr>
      </w:pPr>
      <w:r w:rsidRPr="000A4366">
        <w:rPr>
          <w:color w:val="auto"/>
        </w:rPr>
        <w:t>Bidders forming part of a Consortium must submit with their bid a copy of their Consortium agreement in a separate attachment. This must clearly indicate:</w:t>
      </w:r>
    </w:p>
    <w:p w:rsidR="00DA39DC" w:rsidRPr="000A4366" w:rsidRDefault="00DA39DC" w:rsidP="00DA39DC">
      <w:pPr>
        <w:pStyle w:val="Index5"/>
      </w:pPr>
      <w:r w:rsidRPr="000A4366">
        <w:t>The form of agreement;</w:t>
      </w:r>
    </w:p>
    <w:p w:rsidR="00DA39DC" w:rsidRPr="000A4366" w:rsidRDefault="00DA39DC" w:rsidP="00DA39DC">
      <w:pPr>
        <w:pStyle w:val="Index5"/>
      </w:pPr>
      <w:r w:rsidRPr="000A4366">
        <w:t>The respective roles and responsibilities of the members;</w:t>
      </w:r>
    </w:p>
    <w:p w:rsidR="00DA39DC" w:rsidRPr="000A4366" w:rsidRDefault="00DA39DC" w:rsidP="00DA39DC">
      <w:pPr>
        <w:pStyle w:val="Index5"/>
      </w:pPr>
      <w:r w:rsidRPr="000A4366">
        <w:t>The identity of the lead company which will have the overall project responsibility;</w:t>
      </w:r>
    </w:p>
    <w:p w:rsidR="00DA39DC" w:rsidRPr="000A4366" w:rsidRDefault="00DA39DC" w:rsidP="00DA39DC">
      <w:pPr>
        <w:pStyle w:val="Index5"/>
      </w:pPr>
      <w:r w:rsidRPr="000A4366">
        <w:t xml:space="preserve">The name and address of the officer acting as the single point of contact for all communications between </w:t>
      </w:r>
      <w:r w:rsidR="00290ADA" w:rsidRPr="000A4366">
        <w:t>NECSA</w:t>
      </w:r>
      <w:r w:rsidRPr="000A4366">
        <w:t xml:space="preserve"> and the tenderers. He shall be fully empowered to act on behalf of all members; and </w:t>
      </w:r>
    </w:p>
    <w:p w:rsidR="00DA39DC" w:rsidRPr="000A4366" w:rsidRDefault="00DA39DC" w:rsidP="00DA39DC">
      <w:pPr>
        <w:pStyle w:val="Index5"/>
      </w:pPr>
      <w:r w:rsidRPr="000A4366">
        <w:t xml:space="preserve">The member’s agreement to be jointly and severally liable to </w:t>
      </w:r>
      <w:r w:rsidR="00290ADA" w:rsidRPr="000A4366">
        <w:t>NECSA</w:t>
      </w:r>
      <w:r w:rsidRPr="000A4366">
        <w:t xml:space="preserve"> for the performance of the contract.</w:t>
      </w:r>
    </w:p>
    <w:p w:rsidR="00DA39DC" w:rsidRPr="000A4366" w:rsidRDefault="00DA39DC" w:rsidP="00F96EE7">
      <w:pPr>
        <w:pStyle w:val="Index3"/>
      </w:pPr>
      <w:bookmarkStart w:id="22" w:name="_Toc85434456"/>
      <w:r w:rsidRPr="000A4366">
        <w:t>Sub-contracting</w:t>
      </w:r>
      <w:bookmarkEnd w:id="22"/>
    </w:p>
    <w:p w:rsidR="00DA39DC" w:rsidRPr="000A4366" w:rsidRDefault="00DA39DC" w:rsidP="002269A4">
      <w:pPr>
        <w:pStyle w:val="Index4"/>
        <w:rPr>
          <w:color w:val="auto"/>
        </w:rPr>
      </w:pPr>
      <w:r w:rsidRPr="000A4366">
        <w:rPr>
          <w:color w:val="auto"/>
        </w:rPr>
        <w:t>Bidders must detail any work to be sub-contracted, and the proposed sub-contractor(s) to be used.</w:t>
      </w:r>
    </w:p>
    <w:p w:rsidR="00DA39DC" w:rsidRPr="000A4366" w:rsidRDefault="00290ADA" w:rsidP="002269A4">
      <w:pPr>
        <w:pStyle w:val="Index4"/>
        <w:rPr>
          <w:color w:val="auto"/>
        </w:rPr>
      </w:pPr>
      <w:proofErr w:type="spellStart"/>
      <w:r w:rsidRPr="000A4366">
        <w:rPr>
          <w:color w:val="auto"/>
        </w:rPr>
        <w:t>Necsa</w:t>
      </w:r>
      <w:proofErr w:type="spellEnd"/>
      <w:r w:rsidR="00DA39DC" w:rsidRPr="000A4366">
        <w:rPr>
          <w:color w:val="auto"/>
        </w:rPr>
        <w:t xml:space="preserve"> reserves the right to reject the use of any of the bidder’s proposed subcontractors and any subcontractor proposed during the contract term.</w:t>
      </w:r>
    </w:p>
    <w:p w:rsidR="00DA39DC" w:rsidRPr="000A4366" w:rsidRDefault="00DA39DC" w:rsidP="002269A4">
      <w:pPr>
        <w:pStyle w:val="Index4"/>
        <w:rPr>
          <w:color w:val="auto"/>
        </w:rPr>
      </w:pPr>
      <w:r w:rsidRPr="000A4366">
        <w:rPr>
          <w:color w:val="auto"/>
        </w:rPr>
        <w:lastRenderedPageBreak/>
        <w:t xml:space="preserve">Bidders are advised that </w:t>
      </w:r>
      <w:proofErr w:type="spellStart"/>
      <w:r w:rsidR="00290ADA" w:rsidRPr="000A4366">
        <w:rPr>
          <w:color w:val="auto"/>
        </w:rPr>
        <w:t>Necsa</w:t>
      </w:r>
      <w:proofErr w:type="spellEnd"/>
      <w:r w:rsidRPr="000A4366">
        <w:rPr>
          <w:color w:val="auto"/>
        </w:rPr>
        <w:t xml:space="preserve"> will not respond to any direct approach from potential sub-contractors for details in respect of any particular item in this bid.</w:t>
      </w:r>
    </w:p>
    <w:p w:rsidR="00A42E16" w:rsidRPr="000A4366" w:rsidRDefault="00290ADA" w:rsidP="00F96EE7">
      <w:pPr>
        <w:pStyle w:val="Index3"/>
      </w:pPr>
      <w:bookmarkStart w:id="23" w:name="_Toc85434457"/>
      <w:proofErr w:type="spellStart"/>
      <w:r w:rsidRPr="000A4366">
        <w:t>Necsa</w:t>
      </w:r>
      <w:r w:rsidR="00F80D24" w:rsidRPr="000A4366">
        <w:t>’s</w:t>
      </w:r>
      <w:proofErr w:type="spellEnd"/>
      <w:r w:rsidR="00F80D24" w:rsidRPr="000A4366">
        <w:t xml:space="preserve"> Bidding </w:t>
      </w:r>
      <w:r w:rsidR="003B5673" w:rsidRPr="000A4366">
        <w:t>Rights</w:t>
      </w:r>
      <w:bookmarkEnd w:id="23"/>
    </w:p>
    <w:p w:rsidR="00F80D24" w:rsidRPr="000A4366" w:rsidRDefault="00290ADA" w:rsidP="002269A4">
      <w:pPr>
        <w:pStyle w:val="Index4"/>
        <w:rPr>
          <w:color w:val="auto"/>
        </w:rPr>
      </w:pPr>
      <w:proofErr w:type="spellStart"/>
      <w:r w:rsidRPr="000A4366">
        <w:rPr>
          <w:color w:val="auto"/>
        </w:rPr>
        <w:t>Necsa</w:t>
      </w:r>
      <w:proofErr w:type="spellEnd"/>
      <w:r w:rsidR="00F80D24" w:rsidRPr="000A4366">
        <w:rPr>
          <w:color w:val="auto"/>
        </w:rPr>
        <w:t xml:space="preserve"> reserves the right to:</w:t>
      </w:r>
    </w:p>
    <w:p w:rsidR="00F80D24" w:rsidRPr="000A4366" w:rsidRDefault="00F80D24" w:rsidP="003B5673">
      <w:pPr>
        <w:pStyle w:val="Index5"/>
      </w:pPr>
      <w:r w:rsidRPr="000A4366">
        <w:t>Extend the closing date;</w:t>
      </w:r>
    </w:p>
    <w:p w:rsidR="00F80D24" w:rsidRPr="000A4366" w:rsidRDefault="00F80D24" w:rsidP="003B5673">
      <w:pPr>
        <w:pStyle w:val="Index5"/>
      </w:pPr>
      <w:r w:rsidRPr="000A4366">
        <w:t>Verify any information contained in a proposal;</w:t>
      </w:r>
    </w:p>
    <w:p w:rsidR="00F80D24" w:rsidRPr="000A4366" w:rsidRDefault="00F80D24" w:rsidP="003B5673">
      <w:pPr>
        <w:pStyle w:val="Index5"/>
      </w:pPr>
      <w:r w:rsidRPr="000A4366">
        <w:t>Request documentary proof regarding any bid issue;</w:t>
      </w:r>
    </w:p>
    <w:p w:rsidR="00F80D24" w:rsidRPr="000A4366" w:rsidRDefault="00F80D24" w:rsidP="003B5673">
      <w:pPr>
        <w:pStyle w:val="Index5"/>
      </w:pPr>
      <w:r w:rsidRPr="000A4366">
        <w:t>Give preference to locally manufactured goods or locally sourced services;</w:t>
      </w:r>
    </w:p>
    <w:p w:rsidR="00F80D24" w:rsidRPr="000A4366" w:rsidRDefault="00F80D24" w:rsidP="003B5673">
      <w:pPr>
        <w:pStyle w:val="Index5"/>
      </w:pPr>
      <w:r w:rsidRPr="000A4366">
        <w:t>Issue follow-up or supplementary questions during the response period or after receipt of tenders;</w:t>
      </w:r>
    </w:p>
    <w:p w:rsidR="00F80D24" w:rsidRPr="000A4366" w:rsidRDefault="00F80D24" w:rsidP="003B5673">
      <w:pPr>
        <w:pStyle w:val="Index5"/>
      </w:pPr>
      <w:r w:rsidRPr="000A4366">
        <w:t>Make known to all bidders any questions submitted by a bidder including commercial and technical clarifications, together with the answers given to any individual bidder, if it is considered to be relevant to the tender; and</w:t>
      </w:r>
    </w:p>
    <w:p w:rsidR="00F80D24" w:rsidRPr="000A4366" w:rsidRDefault="00F80D24" w:rsidP="003B5673">
      <w:pPr>
        <w:pStyle w:val="Index5"/>
      </w:pPr>
      <w:r w:rsidRPr="000A4366">
        <w:t>Cancel or withdraw this request for tender as a whole or in part.</w:t>
      </w:r>
    </w:p>
    <w:p w:rsidR="00F80D24" w:rsidRPr="000A4366" w:rsidRDefault="00F80D24" w:rsidP="002269A4">
      <w:pPr>
        <w:pStyle w:val="Index4"/>
        <w:rPr>
          <w:color w:val="auto"/>
        </w:rPr>
      </w:pPr>
      <w:r w:rsidRPr="000A4366">
        <w:rPr>
          <w:color w:val="auto"/>
        </w:rPr>
        <w:t xml:space="preserve">Evaluating Authorities’ part of the evaluation process </w:t>
      </w:r>
      <w:r w:rsidR="00290ADA" w:rsidRPr="000A4366">
        <w:rPr>
          <w:color w:val="auto"/>
        </w:rPr>
        <w:t>NECSA</w:t>
      </w:r>
      <w:r w:rsidRPr="000A4366">
        <w:rPr>
          <w:color w:val="auto"/>
        </w:rPr>
        <w:t xml:space="preserve"> may require bidders to arrange and/or participate in one or more of the following:</w:t>
      </w:r>
    </w:p>
    <w:p w:rsidR="00F80D24" w:rsidRPr="000A4366" w:rsidRDefault="00F80D24" w:rsidP="003B5673">
      <w:pPr>
        <w:pStyle w:val="Index5"/>
      </w:pPr>
      <w:r w:rsidRPr="000A4366">
        <w:t>Interviews with, or written references from, nominated reference;</w:t>
      </w:r>
    </w:p>
    <w:p w:rsidR="00F80D24" w:rsidRPr="000A4366" w:rsidRDefault="00F80D24" w:rsidP="003B5673">
      <w:pPr>
        <w:pStyle w:val="Index5"/>
      </w:pPr>
      <w:r w:rsidRPr="000A4366">
        <w:t>Reference site visits to the location(s) of nominated reference;</w:t>
      </w:r>
    </w:p>
    <w:p w:rsidR="00F80D24" w:rsidRPr="000A4366" w:rsidRDefault="00F80D24" w:rsidP="003B5673">
      <w:pPr>
        <w:pStyle w:val="Index5"/>
      </w:pPr>
      <w:r w:rsidRPr="000A4366">
        <w:t>Interviews with bidder personnel who would be involved in the contract execution (day-to-day operations of the site);</w:t>
      </w:r>
    </w:p>
    <w:p w:rsidR="00A42E16" w:rsidRPr="000A4366" w:rsidRDefault="00F80D24" w:rsidP="002269A4">
      <w:pPr>
        <w:pStyle w:val="Index4"/>
        <w:rPr>
          <w:color w:val="auto"/>
        </w:rPr>
      </w:pPr>
      <w:r w:rsidRPr="000A4366">
        <w:rPr>
          <w:color w:val="auto"/>
        </w:rPr>
        <w:t>Negotiations with the bidders.</w:t>
      </w:r>
    </w:p>
    <w:p w:rsidR="00F80D24" w:rsidRPr="000A4366" w:rsidRDefault="00F80D24" w:rsidP="00F96EE7">
      <w:pPr>
        <w:pStyle w:val="Index3"/>
      </w:pPr>
      <w:bookmarkStart w:id="24" w:name="_Toc85434458"/>
      <w:r w:rsidRPr="000A4366">
        <w:t>Bidding Process</w:t>
      </w:r>
      <w:bookmarkEnd w:id="24"/>
    </w:p>
    <w:p w:rsidR="003B5673" w:rsidRPr="000A4366" w:rsidRDefault="003B5673" w:rsidP="002269A4">
      <w:pPr>
        <w:pStyle w:val="Index4"/>
        <w:rPr>
          <w:color w:val="auto"/>
        </w:rPr>
      </w:pPr>
      <w:r w:rsidRPr="000A4366">
        <w:rPr>
          <w:color w:val="auto"/>
        </w:rPr>
        <w:t xml:space="preserve">Bidders must confirm their intention to respond by completing the </w:t>
      </w:r>
      <w:r w:rsidR="0071520B" w:rsidRPr="000A4366">
        <w:rPr>
          <w:color w:val="auto"/>
        </w:rPr>
        <w:t xml:space="preserve">attached </w:t>
      </w:r>
      <w:r w:rsidRPr="000A4366">
        <w:rPr>
          <w:color w:val="auto"/>
        </w:rPr>
        <w:t xml:space="preserve">form and returning it to the </w:t>
      </w:r>
      <w:proofErr w:type="spellStart"/>
      <w:r w:rsidR="00290ADA" w:rsidRPr="000A4366">
        <w:rPr>
          <w:color w:val="auto"/>
        </w:rPr>
        <w:t>Necsa</w:t>
      </w:r>
      <w:proofErr w:type="spellEnd"/>
      <w:r w:rsidRPr="000A4366">
        <w:rPr>
          <w:color w:val="auto"/>
        </w:rPr>
        <w:t xml:space="preserve"> Contact Person for this Bid via email provided.</w:t>
      </w:r>
    </w:p>
    <w:p w:rsidR="00F80D24" w:rsidRPr="000A4366" w:rsidRDefault="003B5673" w:rsidP="002269A4">
      <w:pPr>
        <w:pStyle w:val="Index4"/>
        <w:rPr>
          <w:color w:val="auto"/>
        </w:rPr>
      </w:pPr>
      <w:r w:rsidRPr="000A4366">
        <w:rPr>
          <w:color w:val="auto"/>
        </w:rPr>
        <w:t xml:space="preserve">Bidders must familiarise themselves with and comply with the procurement timetable and ensure their availability for the site visit and presentations, as required, on the appropriate dates. </w:t>
      </w:r>
      <w:proofErr w:type="spellStart"/>
      <w:r w:rsidR="00290ADA" w:rsidRPr="000A4366">
        <w:rPr>
          <w:color w:val="auto"/>
        </w:rPr>
        <w:t>Necsa</w:t>
      </w:r>
      <w:proofErr w:type="spellEnd"/>
      <w:r w:rsidRPr="000A4366">
        <w:rPr>
          <w:color w:val="auto"/>
        </w:rPr>
        <w:t xml:space="preserve"> is unlikely to be able to offer much flexibility to this timetable.</w:t>
      </w:r>
    </w:p>
    <w:p w:rsidR="003B5673" w:rsidRPr="000A4366" w:rsidRDefault="003B5673" w:rsidP="002269A4">
      <w:pPr>
        <w:pStyle w:val="Index4"/>
        <w:rPr>
          <w:color w:val="auto"/>
        </w:rPr>
      </w:pPr>
      <w:r w:rsidRPr="000A4366">
        <w:rPr>
          <w:color w:val="auto"/>
        </w:rPr>
        <w:t>Bidders are required to:</w:t>
      </w:r>
    </w:p>
    <w:p w:rsidR="003B5673" w:rsidRPr="000A4366" w:rsidRDefault="003B5673" w:rsidP="003B5673">
      <w:pPr>
        <w:pStyle w:val="Index5"/>
      </w:pPr>
      <w:r w:rsidRPr="000A4366">
        <w:t>Respond in the English language;</w:t>
      </w:r>
    </w:p>
    <w:p w:rsidR="003B5673" w:rsidRPr="000A4366" w:rsidRDefault="003B5673" w:rsidP="003B5673">
      <w:pPr>
        <w:pStyle w:val="Index5"/>
      </w:pPr>
      <w:r w:rsidRPr="000A4366">
        <w:t xml:space="preserve">A cover letter on the </w:t>
      </w:r>
      <w:proofErr w:type="gramStart"/>
      <w:r w:rsidRPr="000A4366">
        <w:t>bidders</w:t>
      </w:r>
      <w:proofErr w:type="gramEnd"/>
      <w:r w:rsidRPr="000A4366">
        <w:t xml:space="preserve"> company letterhead with clear reference to the bid of interest should accompany both the technical and pricing proposals;</w:t>
      </w:r>
    </w:p>
    <w:p w:rsidR="003B5673" w:rsidRPr="000A4366" w:rsidRDefault="003B5673" w:rsidP="003B5673">
      <w:pPr>
        <w:pStyle w:val="Index5"/>
      </w:pPr>
      <w:r w:rsidRPr="000A4366">
        <w:t xml:space="preserve">All copies of the tender response must have signatures on the Declaration of Compliance </w:t>
      </w:r>
      <w:r w:rsidR="00FA4A35" w:rsidRPr="000A4366">
        <w:t xml:space="preserve">to the </w:t>
      </w:r>
      <w:proofErr w:type="spellStart"/>
      <w:r w:rsidR="00290ADA" w:rsidRPr="000A4366">
        <w:t>Necsa</w:t>
      </w:r>
      <w:proofErr w:type="spellEnd"/>
      <w:r w:rsidR="00FA4A35" w:rsidRPr="000A4366">
        <w:t xml:space="preserve"> Contact Person;</w:t>
      </w:r>
    </w:p>
    <w:p w:rsidR="003B5673" w:rsidRPr="000A4366" w:rsidRDefault="003B5673" w:rsidP="003B5673">
      <w:pPr>
        <w:pStyle w:val="Index5"/>
      </w:pPr>
      <w:r w:rsidRPr="000A4366">
        <w:t>Ensure that all document attachments are clearly marked and bound in a clear, logical and well-marked format with a table on context ensuring ease of finding i</w:t>
      </w:r>
      <w:r w:rsidR="00FA4A35" w:rsidRPr="000A4366">
        <w:t>ndividual documents or sections; and</w:t>
      </w:r>
    </w:p>
    <w:p w:rsidR="00FA4A35" w:rsidRPr="000A4366" w:rsidRDefault="00FA4A35" w:rsidP="00FA4A35">
      <w:pPr>
        <w:pStyle w:val="Index5"/>
      </w:pPr>
      <w:r w:rsidRPr="000A4366">
        <w:t>The original document must be signed in black ink by an authorised person, agent or representative and each and every page of the bidding documents shall contain the initials of the same signatory.</w:t>
      </w:r>
    </w:p>
    <w:p w:rsidR="003B5673" w:rsidRPr="000A4366" w:rsidRDefault="003912DA" w:rsidP="002269A4">
      <w:pPr>
        <w:pStyle w:val="Index4"/>
        <w:rPr>
          <w:color w:val="auto"/>
        </w:rPr>
      </w:pPr>
      <w:r w:rsidRPr="000A4366">
        <w:rPr>
          <w:color w:val="auto"/>
        </w:rPr>
        <w:t xml:space="preserve">All costing and information must be typed and signed by the bidder, no </w:t>
      </w:r>
      <w:proofErr w:type="gramStart"/>
      <w:r w:rsidRPr="000A4366">
        <w:rPr>
          <w:color w:val="auto"/>
        </w:rPr>
        <w:t>hand written</w:t>
      </w:r>
      <w:proofErr w:type="gramEnd"/>
      <w:r w:rsidRPr="000A4366">
        <w:rPr>
          <w:color w:val="auto"/>
        </w:rPr>
        <w:t xml:space="preserve"> costing/pricing will be accepted.</w:t>
      </w:r>
    </w:p>
    <w:p w:rsidR="00FA4A35" w:rsidRPr="000A4366" w:rsidRDefault="00FA4A35" w:rsidP="002269A4">
      <w:pPr>
        <w:pStyle w:val="Index4"/>
        <w:rPr>
          <w:color w:val="auto"/>
        </w:rPr>
      </w:pPr>
      <w:r w:rsidRPr="000A4366">
        <w:rPr>
          <w:color w:val="auto"/>
        </w:rPr>
        <w:t xml:space="preserve">All bids in this regard shall be accepted if they have been placed in the tender box by the closing date stipulated. </w:t>
      </w:r>
      <w:r w:rsidR="00D43C55" w:rsidRPr="000A4366">
        <w:rPr>
          <w:b/>
          <w:color w:val="auto"/>
        </w:rPr>
        <w:t>Late bid submissions will not be considered</w:t>
      </w:r>
      <w:r w:rsidRPr="000A4366">
        <w:rPr>
          <w:b/>
          <w:color w:val="auto"/>
        </w:rPr>
        <w:t>.</w:t>
      </w:r>
    </w:p>
    <w:p w:rsidR="00FA4A35" w:rsidRPr="000A4366" w:rsidRDefault="00FA4A35" w:rsidP="00F96EE7">
      <w:pPr>
        <w:pStyle w:val="Index3"/>
      </w:pPr>
      <w:bookmarkStart w:id="25" w:name="_Toc85434459"/>
      <w:r w:rsidRPr="000A4366">
        <w:lastRenderedPageBreak/>
        <w:t>Bid Submission Requirements</w:t>
      </w:r>
      <w:bookmarkEnd w:id="25"/>
    </w:p>
    <w:p w:rsidR="00FA4A35" w:rsidRPr="000A4366" w:rsidRDefault="00FA4A35" w:rsidP="002269A4">
      <w:pPr>
        <w:pStyle w:val="Index4"/>
        <w:rPr>
          <w:color w:val="auto"/>
        </w:rPr>
      </w:pPr>
      <w:r w:rsidRPr="000A4366">
        <w:rPr>
          <w:color w:val="auto"/>
        </w:rPr>
        <w:t>Bidders must submit their responses and all supporting documents in properly labelled and sealed envelopes clearly as follows:</w:t>
      </w:r>
    </w:p>
    <w:p w:rsidR="00D43C55" w:rsidRPr="000A4366" w:rsidRDefault="00FA4A35" w:rsidP="00FA4A35">
      <w:pPr>
        <w:pStyle w:val="Index5"/>
      </w:pPr>
      <w:r w:rsidRPr="000A4366">
        <w:t>Technical Propos</w:t>
      </w:r>
      <w:r w:rsidR="00D43C55" w:rsidRPr="000A4366">
        <w:t>al – Envelope One must include:</w:t>
      </w:r>
    </w:p>
    <w:tbl>
      <w:tblPr>
        <w:tblStyle w:val="TableGrid"/>
        <w:tblW w:w="4561" w:type="pct"/>
        <w:tblInd w:w="846" w:type="dxa"/>
        <w:tblLook w:val="04A0" w:firstRow="1" w:lastRow="0" w:firstColumn="1" w:lastColumn="0" w:noHBand="0" w:noVBand="1"/>
      </w:tblPr>
      <w:tblGrid>
        <w:gridCol w:w="386"/>
        <w:gridCol w:w="8396"/>
      </w:tblGrid>
      <w:tr w:rsidR="000A4366" w:rsidRPr="000A4366" w:rsidTr="00D43C55">
        <w:tc>
          <w:tcPr>
            <w:tcW w:w="220" w:type="pct"/>
            <w:vAlign w:val="center"/>
          </w:tcPr>
          <w:p w:rsidR="00D43C55" w:rsidRPr="000A4366" w:rsidRDefault="00D43C55" w:rsidP="00D43C55">
            <w:pPr>
              <w:pStyle w:val="1Paragraph"/>
              <w:ind w:left="0"/>
              <w:jc w:val="left"/>
            </w:pPr>
          </w:p>
        </w:tc>
        <w:tc>
          <w:tcPr>
            <w:tcW w:w="4780" w:type="pct"/>
            <w:vAlign w:val="center"/>
          </w:tcPr>
          <w:p w:rsidR="00D43C55" w:rsidRPr="000A4366" w:rsidRDefault="00290ADA" w:rsidP="00D43C55">
            <w:pPr>
              <w:pStyle w:val="1Paragraph"/>
              <w:ind w:left="0"/>
            </w:pPr>
            <w:r w:rsidRPr="000A4366">
              <w:t>a set of two (2</w:t>
            </w:r>
            <w:r w:rsidR="00D43C55" w:rsidRPr="000A4366">
              <w:t>) hard copie</w:t>
            </w:r>
            <w:r w:rsidR="00290964">
              <w:t>s (one (1) original,</w:t>
            </w:r>
            <w:r w:rsidRPr="000A4366">
              <w:t xml:space="preserve"> one (1</w:t>
            </w:r>
            <w:r w:rsidR="00290964">
              <w:t>) copy</w:t>
            </w:r>
            <w:r w:rsidR="00D43C55" w:rsidRPr="000A4366">
              <w:t xml:space="preserve"> and one (1) electronic copy (on disk or memory stick).</w:t>
            </w:r>
          </w:p>
          <w:p w:rsidR="00D43C55" w:rsidRPr="000A4366" w:rsidRDefault="00D43C55" w:rsidP="00D43C55">
            <w:pPr>
              <w:pStyle w:val="1Paragraph"/>
              <w:ind w:left="0"/>
              <w:rPr>
                <w:b/>
              </w:rPr>
            </w:pPr>
            <w:r w:rsidRPr="000A4366">
              <w:rPr>
                <w:b/>
              </w:rPr>
              <w:t>No pricing information must be included in Envelope One.</w:t>
            </w:r>
          </w:p>
        </w:tc>
      </w:tr>
    </w:tbl>
    <w:p w:rsidR="00D43C55" w:rsidRPr="000A4366" w:rsidRDefault="00FA4A35" w:rsidP="00FA4A35">
      <w:pPr>
        <w:pStyle w:val="Index5"/>
      </w:pPr>
      <w:r w:rsidRPr="000A4366">
        <w:t>Pricing Proposal – Envelope Two mus</w:t>
      </w:r>
      <w:r w:rsidR="00D43C55" w:rsidRPr="000A4366">
        <w:t>t include:</w:t>
      </w:r>
    </w:p>
    <w:tbl>
      <w:tblPr>
        <w:tblStyle w:val="TableGrid"/>
        <w:tblW w:w="4561" w:type="pct"/>
        <w:tblInd w:w="846" w:type="dxa"/>
        <w:tblLook w:val="04A0" w:firstRow="1" w:lastRow="0" w:firstColumn="1" w:lastColumn="0" w:noHBand="0" w:noVBand="1"/>
      </w:tblPr>
      <w:tblGrid>
        <w:gridCol w:w="386"/>
        <w:gridCol w:w="8396"/>
      </w:tblGrid>
      <w:tr w:rsidR="000A4366" w:rsidRPr="000A4366" w:rsidTr="007D66F8">
        <w:tc>
          <w:tcPr>
            <w:tcW w:w="220" w:type="pct"/>
            <w:vAlign w:val="center"/>
          </w:tcPr>
          <w:p w:rsidR="004D7299" w:rsidRPr="000A4366" w:rsidRDefault="004D7299" w:rsidP="007D66F8">
            <w:pPr>
              <w:pStyle w:val="1Paragraph"/>
              <w:ind w:left="0"/>
              <w:jc w:val="left"/>
            </w:pPr>
          </w:p>
        </w:tc>
        <w:tc>
          <w:tcPr>
            <w:tcW w:w="4780" w:type="pct"/>
            <w:vAlign w:val="center"/>
          </w:tcPr>
          <w:p w:rsidR="004D7299" w:rsidRPr="000A4366" w:rsidRDefault="004D7299" w:rsidP="007D66F8">
            <w:pPr>
              <w:pStyle w:val="1Paragraph"/>
              <w:ind w:left="0"/>
            </w:pPr>
            <w:r w:rsidRPr="000A4366">
              <w:t>a set of two (2) h</w:t>
            </w:r>
            <w:r w:rsidR="00290964">
              <w:t>ard copies (one (1) original,</w:t>
            </w:r>
            <w:r w:rsidRPr="000A4366">
              <w:t xml:space="preserve"> one (1) copy) and one (1) electronic copy (on disk or memory stick).</w:t>
            </w:r>
          </w:p>
          <w:p w:rsidR="004D7299" w:rsidRPr="000A4366" w:rsidRDefault="004D7299" w:rsidP="007D66F8">
            <w:pPr>
              <w:pStyle w:val="1Paragraph"/>
              <w:ind w:left="0"/>
              <w:rPr>
                <w:b/>
              </w:rPr>
            </w:pPr>
            <w:r w:rsidRPr="000A4366">
              <w:rPr>
                <w:b/>
              </w:rPr>
              <w:t>All compulsory returnable documents must be included in Envelope Two.</w:t>
            </w:r>
          </w:p>
        </w:tc>
      </w:tr>
    </w:tbl>
    <w:p w:rsidR="00FA4A35" w:rsidRPr="000A4366" w:rsidRDefault="0047600F" w:rsidP="002269A4">
      <w:pPr>
        <w:pStyle w:val="Index4"/>
        <w:rPr>
          <w:color w:val="auto"/>
        </w:rPr>
      </w:pPr>
      <w:r w:rsidRPr="000A4366">
        <w:rPr>
          <w:color w:val="auto"/>
        </w:rPr>
        <w:t xml:space="preserve">No proposal shall be accepted by </w:t>
      </w:r>
      <w:proofErr w:type="spellStart"/>
      <w:r w:rsidR="00290ADA" w:rsidRPr="000A4366">
        <w:rPr>
          <w:color w:val="auto"/>
        </w:rPr>
        <w:t>Necsa</w:t>
      </w:r>
      <w:proofErr w:type="spellEnd"/>
      <w:r w:rsidRPr="000A4366">
        <w:rPr>
          <w:color w:val="auto"/>
        </w:rPr>
        <w:t xml:space="preserve"> if submitted in any manner other than as prescribed above.</w:t>
      </w:r>
    </w:p>
    <w:p w:rsidR="0047600F" w:rsidRPr="000A4366" w:rsidRDefault="0047600F" w:rsidP="00F96EE7">
      <w:pPr>
        <w:pStyle w:val="Index2"/>
      </w:pPr>
      <w:bookmarkStart w:id="26" w:name="_Toc85434460"/>
      <w:r w:rsidRPr="000A4366">
        <w:t>Eligibility Requirements</w:t>
      </w:r>
      <w:bookmarkEnd w:id="26"/>
    </w:p>
    <w:p w:rsidR="0047600F" w:rsidRPr="000A4366" w:rsidRDefault="0047600F" w:rsidP="00F96EE7">
      <w:pPr>
        <w:pStyle w:val="Index3"/>
      </w:pPr>
      <w:bookmarkStart w:id="27" w:name="_Toc85434461"/>
      <w:r w:rsidRPr="000A4366">
        <w:t>Pre-qualification Criteria</w:t>
      </w:r>
      <w:bookmarkEnd w:id="27"/>
    </w:p>
    <w:p w:rsidR="0047600F" w:rsidRDefault="006E040B" w:rsidP="0047600F">
      <w:pPr>
        <w:pStyle w:val="1Paragraph"/>
      </w:pPr>
      <w:r w:rsidRPr="000A4366">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4B2699" w:rsidRPr="00A8791F" w:rsidTr="00E6236C">
        <w:trPr>
          <w:tblHeader/>
        </w:trPr>
        <w:tc>
          <w:tcPr>
            <w:tcW w:w="335" w:type="pct"/>
            <w:shd w:val="clear" w:color="auto" w:fill="ECE8D3"/>
          </w:tcPr>
          <w:p w:rsidR="004B2699" w:rsidRPr="00A8791F" w:rsidRDefault="004B2699" w:rsidP="00E6236C">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4B2699" w:rsidRPr="00A8791F" w:rsidRDefault="004B2699" w:rsidP="00E6236C">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4B2699" w:rsidRPr="00A8791F" w:rsidRDefault="004B2699" w:rsidP="00E6236C">
            <w:pPr>
              <w:pStyle w:val="aDSPara"/>
              <w:spacing w:before="60" w:after="60"/>
              <w:ind w:left="0"/>
              <w:jc w:val="left"/>
              <w:rPr>
                <w:b/>
                <w:sz w:val="20"/>
                <w:szCs w:val="20"/>
              </w:rPr>
            </w:pPr>
            <w:r w:rsidRPr="00A8791F">
              <w:rPr>
                <w:b/>
                <w:sz w:val="20"/>
                <w:szCs w:val="20"/>
              </w:rPr>
              <w:t>Yes/No</w:t>
            </w:r>
          </w:p>
        </w:tc>
      </w:tr>
      <w:tr w:rsidR="004B2699" w:rsidRPr="00A8791F" w:rsidTr="00E6236C">
        <w:trPr>
          <w:trHeight w:val="291"/>
        </w:trPr>
        <w:tc>
          <w:tcPr>
            <w:tcW w:w="335" w:type="pct"/>
          </w:tcPr>
          <w:p w:rsidR="004B2699" w:rsidRPr="00A8791F" w:rsidRDefault="004B2699" w:rsidP="00E6236C">
            <w:pPr>
              <w:pStyle w:val="aDSPara"/>
              <w:spacing w:before="60" w:after="60"/>
              <w:ind w:left="0"/>
              <w:jc w:val="center"/>
              <w:rPr>
                <w:sz w:val="20"/>
                <w:szCs w:val="20"/>
              </w:rPr>
            </w:pPr>
            <w:r w:rsidRPr="00A8791F">
              <w:rPr>
                <w:sz w:val="20"/>
                <w:szCs w:val="20"/>
              </w:rPr>
              <w:t>1</w:t>
            </w:r>
          </w:p>
        </w:tc>
        <w:tc>
          <w:tcPr>
            <w:tcW w:w="4142" w:type="pct"/>
          </w:tcPr>
          <w:p w:rsidR="004B2699" w:rsidRPr="00A8791F" w:rsidRDefault="004B2699" w:rsidP="00E6236C">
            <w:pPr>
              <w:pStyle w:val="aDSPara"/>
              <w:spacing w:before="60" w:after="60"/>
              <w:ind w:left="0"/>
              <w:jc w:val="left"/>
              <w:rPr>
                <w:rFonts w:cs="Arial"/>
                <w:color w:val="000000"/>
                <w:sz w:val="20"/>
                <w:szCs w:val="20"/>
              </w:rPr>
            </w:pPr>
            <w:r w:rsidRPr="00A8791F">
              <w:rPr>
                <w:rFonts w:cs="Arial"/>
                <w:color w:val="000000"/>
                <w:sz w:val="20"/>
                <w:szCs w:val="20"/>
              </w:rPr>
              <w:t>Bidder company information</w:t>
            </w:r>
          </w:p>
        </w:tc>
        <w:tc>
          <w:tcPr>
            <w:tcW w:w="523" w:type="pct"/>
          </w:tcPr>
          <w:p w:rsidR="004B2699" w:rsidRPr="00A8791F" w:rsidRDefault="004B2699" w:rsidP="00E6236C">
            <w:pPr>
              <w:pStyle w:val="aDSPara"/>
              <w:spacing w:before="60" w:after="60"/>
              <w:ind w:left="0"/>
              <w:jc w:val="left"/>
              <w:rPr>
                <w:sz w:val="20"/>
                <w:szCs w:val="20"/>
              </w:rPr>
            </w:pPr>
          </w:p>
        </w:tc>
      </w:tr>
      <w:tr w:rsidR="004B2699" w:rsidRPr="00A8791F" w:rsidTr="00E6236C">
        <w:trPr>
          <w:trHeight w:val="291"/>
        </w:trPr>
        <w:tc>
          <w:tcPr>
            <w:tcW w:w="335" w:type="pct"/>
          </w:tcPr>
          <w:p w:rsidR="004B2699" w:rsidRPr="00A8791F" w:rsidRDefault="004B2699" w:rsidP="00E6236C">
            <w:pPr>
              <w:pStyle w:val="aDSPara"/>
              <w:spacing w:before="60" w:after="60"/>
              <w:ind w:left="0"/>
              <w:jc w:val="center"/>
              <w:rPr>
                <w:sz w:val="20"/>
                <w:szCs w:val="20"/>
              </w:rPr>
            </w:pPr>
            <w:r>
              <w:rPr>
                <w:sz w:val="20"/>
                <w:szCs w:val="20"/>
              </w:rPr>
              <w:t>2</w:t>
            </w:r>
          </w:p>
        </w:tc>
        <w:tc>
          <w:tcPr>
            <w:tcW w:w="4142" w:type="pct"/>
          </w:tcPr>
          <w:p w:rsidR="004B2699" w:rsidRPr="00A8791F" w:rsidRDefault="00DE03CA">
            <w:pPr>
              <w:pStyle w:val="aDSPara"/>
              <w:spacing w:before="60" w:after="60"/>
              <w:ind w:left="0"/>
              <w:jc w:val="left"/>
              <w:rPr>
                <w:rFonts w:cs="Arial"/>
                <w:color w:val="000000"/>
                <w:sz w:val="20"/>
                <w:szCs w:val="20"/>
              </w:rPr>
            </w:pPr>
            <w:r w:rsidRPr="00E5165A">
              <w:rPr>
                <w:rFonts w:cs="Arial"/>
                <w:iCs/>
                <w:sz w:val="20"/>
                <w:szCs w:val="20"/>
                <w:lang w:val="en-GB" w:eastAsia="en-ZA"/>
              </w:rPr>
              <w:t xml:space="preserve">Completed at least one transaction related to acquisition/transfer of a significant asset </w:t>
            </w:r>
          </w:p>
        </w:tc>
        <w:tc>
          <w:tcPr>
            <w:tcW w:w="523" w:type="pct"/>
          </w:tcPr>
          <w:p w:rsidR="004B2699" w:rsidRPr="00A8791F" w:rsidRDefault="004B2699" w:rsidP="00E6236C">
            <w:pPr>
              <w:pStyle w:val="aDSPara"/>
              <w:spacing w:before="60" w:after="60"/>
              <w:ind w:left="0"/>
              <w:jc w:val="left"/>
              <w:rPr>
                <w:sz w:val="20"/>
                <w:szCs w:val="20"/>
              </w:rPr>
            </w:pPr>
          </w:p>
        </w:tc>
      </w:tr>
    </w:tbl>
    <w:p w:rsidR="00E07922" w:rsidRPr="000A4366" w:rsidRDefault="00E07922" w:rsidP="00F96EE7">
      <w:pPr>
        <w:pStyle w:val="Index3"/>
        <w:numPr>
          <w:ilvl w:val="0"/>
          <w:numId w:val="0"/>
        </w:numPr>
      </w:pPr>
    </w:p>
    <w:p w:rsidR="006E040B" w:rsidRPr="000A4366" w:rsidRDefault="006E040B" w:rsidP="00F96EE7">
      <w:pPr>
        <w:pStyle w:val="Index3"/>
      </w:pPr>
      <w:bookmarkStart w:id="28" w:name="_Toc85434462"/>
      <w:r w:rsidRPr="000A4366">
        <w:t>Technical / Functional Evaluation Criteria</w:t>
      </w:r>
      <w:bookmarkEnd w:id="28"/>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440"/>
        <w:gridCol w:w="871"/>
        <w:gridCol w:w="818"/>
        <w:gridCol w:w="4629"/>
      </w:tblGrid>
      <w:tr w:rsidR="004B2699" w:rsidRPr="00A8791F" w:rsidTr="00E6236C">
        <w:trPr>
          <w:cantSplit/>
          <w:tblHeader/>
        </w:trPr>
        <w:tc>
          <w:tcPr>
            <w:tcW w:w="334" w:type="pct"/>
            <w:shd w:val="clear" w:color="auto" w:fill="ECE8D3"/>
          </w:tcPr>
          <w:p w:rsidR="004B2699" w:rsidRPr="00A8791F"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300" w:type="pct"/>
            <w:shd w:val="clear" w:color="auto" w:fill="ECE8D3"/>
          </w:tcPr>
          <w:p w:rsidR="004B2699" w:rsidRPr="00A8791F"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64" w:type="pct"/>
            <w:shd w:val="clear" w:color="auto" w:fill="ECE8D3"/>
          </w:tcPr>
          <w:p w:rsidR="004B2699" w:rsidRPr="00A8791F"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36" w:type="pct"/>
            <w:shd w:val="clear" w:color="auto" w:fill="ECE8D3"/>
          </w:tcPr>
          <w:p w:rsidR="004B2699" w:rsidRPr="00A8791F"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466" w:type="pct"/>
            <w:shd w:val="clear" w:color="auto" w:fill="ECE8D3"/>
          </w:tcPr>
          <w:p w:rsidR="004B2699" w:rsidRPr="00A8791F"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4B2699" w:rsidRPr="00A8791F" w:rsidTr="00E6236C">
        <w:trPr>
          <w:cantSplit/>
          <w:trHeight w:val="180"/>
        </w:trPr>
        <w:tc>
          <w:tcPr>
            <w:tcW w:w="334" w:type="pct"/>
            <w:vMerge w:val="restart"/>
            <w:shd w:val="clear" w:color="auto" w:fill="auto"/>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1</w:t>
            </w:r>
          </w:p>
        </w:tc>
        <w:tc>
          <w:tcPr>
            <w:tcW w:w="1300" w:type="pct"/>
            <w:vMerge w:val="restart"/>
            <w:shd w:val="clear" w:color="auto" w:fill="auto"/>
          </w:tcPr>
          <w:p w:rsidR="004B2699" w:rsidRPr="00B158B8" w:rsidRDefault="004B2699" w:rsidP="00E6236C">
            <w:pPr>
              <w:pStyle w:val="aDSPara"/>
              <w:spacing w:before="60" w:after="60"/>
              <w:ind w:left="0"/>
              <w:jc w:val="left"/>
              <w:rPr>
                <w:rFonts w:eastAsiaTheme="minorEastAsia" w:cs="Arial"/>
                <w:b/>
                <w:color w:val="000000"/>
                <w:w w:val="102"/>
                <w:sz w:val="18"/>
                <w:szCs w:val="18"/>
                <w:lang w:val="en-US"/>
              </w:rPr>
            </w:pPr>
            <w:r w:rsidRPr="00B158B8">
              <w:rPr>
                <w:rFonts w:eastAsiaTheme="minorEastAsia" w:cs="Arial"/>
                <w:b/>
                <w:color w:val="000000"/>
                <w:w w:val="102"/>
                <w:sz w:val="18"/>
                <w:szCs w:val="18"/>
                <w:lang w:val="en-US"/>
              </w:rPr>
              <w:t>Delivery Time</w:t>
            </w:r>
          </w:p>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r w:rsidRPr="00B158B8">
              <w:rPr>
                <w:rFonts w:eastAsiaTheme="minorEastAsia"/>
                <w:iCs/>
                <w:color w:val="000000"/>
                <w:w w:val="102"/>
                <w:sz w:val="18"/>
                <w:szCs w:val="18"/>
                <w:lang w:val="en-US"/>
              </w:rPr>
              <w:t>Indicative timeline for conducting the work is reasonable and meets the delivery expectations</w:t>
            </w:r>
            <w:r>
              <w:rPr>
                <w:rFonts w:eastAsiaTheme="minorEastAsia"/>
                <w:iCs/>
                <w:color w:val="000000"/>
                <w:w w:val="102"/>
                <w:sz w:val="18"/>
                <w:szCs w:val="18"/>
                <w:lang w:val="en-US"/>
              </w:rPr>
              <w:t xml:space="preserve"> i</w:t>
            </w:r>
            <w:r w:rsidRPr="00B158B8">
              <w:rPr>
                <w:rFonts w:eastAsiaTheme="minorEastAsia"/>
                <w:iCs/>
                <w:color w:val="000000"/>
                <w:w w:val="102"/>
                <w:sz w:val="18"/>
                <w:szCs w:val="18"/>
                <w:lang w:val="en-US"/>
              </w:rPr>
              <w:t xml:space="preserve">.e. completion </w:t>
            </w:r>
            <w:r>
              <w:rPr>
                <w:rFonts w:eastAsiaTheme="minorEastAsia"/>
                <w:iCs/>
                <w:color w:val="000000"/>
                <w:w w:val="102"/>
                <w:sz w:val="18"/>
                <w:szCs w:val="18"/>
                <w:lang w:val="en-US"/>
              </w:rPr>
              <w:t>within one month of appointment</w:t>
            </w:r>
            <w:r w:rsidRPr="00B158B8">
              <w:rPr>
                <w:rFonts w:eastAsiaTheme="minorEastAsia"/>
                <w:iCs/>
                <w:color w:val="000000"/>
                <w:w w:val="102"/>
                <w:sz w:val="18"/>
                <w:szCs w:val="18"/>
                <w:lang w:val="en-US"/>
              </w:rPr>
              <w:t>.</w:t>
            </w:r>
          </w:p>
        </w:tc>
        <w:tc>
          <w:tcPr>
            <w:tcW w:w="464" w:type="pct"/>
            <w:vMerge w:val="restart"/>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r>
              <w:rPr>
                <w:rFonts w:eastAsiaTheme="minorEastAsia" w:cs="Arial"/>
                <w:color w:val="000000"/>
                <w:w w:val="102"/>
                <w:sz w:val="18"/>
                <w:szCs w:val="18"/>
                <w:lang w:val="en-US"/>
              </w:rPr>
              <w:t>10</w:t>
            </w:r>
          </w:p>
        </w:tc>
        <w:tc>
          <w:tcPr>
            <w:tcW w:w="436" w:type="pct"/>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r>
              <w:rPr>
                <w:rFonts w:eastAsiaTheme="minorEastAsia" w:cs="Arial"/>
                <w:color w:val="000000"/>
                <w:w w:val="102"/>
                <w:sz w:val="18"/>
                <w:szCs w:val="18"/>
                <w:lang w:val="en-US"/>
              </w:rPr>
              <w:t>10</w:t>
            </w:r>
          </w:p>
        </w:tc>
        <w:tc>
          <w:tcPr>
            <w:tcW w:w="2466" w:type="pct"/>
            <w:shd w:val="clear" w:color="auto" w:fill="auto"/>
          </w:tcPr>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r>
              <w:rPr>
                <w:rFonts w:eastAsiaTheme="minorEastAsia" w:cs="Arial"/>
                <w:color w:val="000000"/>
                <w:w w:val="102"/>
                <w:sz w:val="18"/>
                <w:szCs w:val="18"/>
                <w:lang w:val="en-US"/>
              </w:rPr>
              <w:t xml:space="preserve">Delivery within 6 weeks </w:t>
            </w:r>
          </w:p>
        </w:tc>
      </w:tr>
      <w:tr w:rsidR="004B2699" w:rsidRPr="00A8791F" w:rsidTr="00E6236C">
        <w:trPr>
          <w:cantSplit/>
          <w:trHeight w:val="180"/>
        </w:trPr>
        <w:tc>
          <w:tcPr>
            <w:tcW w:w="334" w:type="pct"/>
            <w:vMerge/>
            <w:shd w:val="clear" w:color="auto" w:fill="auto"/>
          </w:tcPr>
          <w:p w:rsidR="004B2699" w:rsidRPr="00A8791F" w:rsidRDefault="004B2699" w:rsidP="00E6236C">
            <w:pPr>
              <w:pStyle w:val="aDSPara"/>
              <w:spacing w:before="60" w:after="60"/>
              <w:ind w:left="0"/>
              <w:jc w:val="center"/>
              <w:rPr>
                <w:rFonts w:eastAsia="MS Mincho" w:cs="Arial"/>
                <w:sz w:val="18"/>
                <w:szCs w:val="18"/>
              </w:rPr>
            </w:pPr>
          </w:p>
        </w:tc>
        <w:tc>
          <w:tcPr>
            <w:tcW w:w="1300" w:type="pct"/>
            <w:vMerge/>
            <w:shd w:val="clear" w:color="auto" w:fill="auto"/>
          </w:tcPr>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p>
        </w:tc>
        <w:tc>
          <w:tcPr>
            <w:tcW w:w="464" w:type="pct"/>
            <w:vMerge/>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p>
        </w:tc>
        <w:tc>
          <w:tcPr>
            <w:tcW w:w="436" w:type="pct"/>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r>
              <w:rPr>
                <w:rFonts w:eastAsiaTheme="minorEastAsia" w:cs="Arial"/>
                <w:color w:val="000000"/>
                <w:w w:val="102"/>
                <w:sz w:val="18"/>
                <w:szCs w:val="18"/>
                <w:lang w:val="en-US"/>
              </w:rPr>
              <w:t>5</w:t>
            </w:r>
          </w:p>
        </w:tc>
        <w:tc>
          <w:tcPr>
            <w:tcW w:w="2466" w:type="pct"/>
            <w:shd w:val="clear" w:color="auto" w:fill="auto"/>
          </w:tcPr>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r>
              <w:rPr>
                <w:rFonts w:eastAsiaTheme="minorEastAsia" w:cs="Arial"/>
                <w:color w:val="000000"/>
                <w:w w:val="102"/>
                <w:sz w:val="18"/>
                <w:szCs w:val="18"/>
                <w:lang w:val="en-US"/>
              </w:rPr>
              <w:t xml:space="preserve">Between 6 and 8 weeks  </w:t>
            </w:r>
          </w:p>
        </w:tc>
      </w:tr>
      <w:tr w:rsidR="004B2699" w:rsidRPr="00A8791F" w:rsidTr="00E6236C">
        <w:trPr>
          <w:cantSplit/>
          <w:trHeight w:hRule="exact" w:val="1473"/>
        </w:trPr>
        <w:tc>
          <w:tcPr>
            <w:tcW w:w="334" w:type="pct"/>
            <w:vMerge/>
            <w:shd w:val="clear" w:color="auto" w:fill="auto"/>
          </w:tcPr>
          <w:p w:rsidR="004B2699" w:rsidRPr="00A8791F" w:rsidRDefault="004B2699" w:rsidP="00E6236C">
            <w:pPr>
              <w:pStyle w:val="aDSPara"/>
              <w:spacing w:before="60" w:after="60"/>
              <w:ind w:left="0"/>
              <w:jc w:val="center"/>
              <w:rPr>
                <w:rFonts w:eastAsia="MS Mincho" w:cs="Arial"/>
                <w:sz w:val="18"/>
                <w:szCs w:val="18"/>
              </w:rPr>
            </w:pPr>
          </w:p>
        </w:tc>
        <w:tc>
          <w:tcPr>
            <w:tcW w:w="1300" w:type="pct"/>
            <w:vMerge/>
            <w:shd w:val="clear" w:color="auto" w:fill="auto"/>
          </w:tcPr>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p>
        </w:tc>
        <w:tc>
          <w:tcPr>
            <w:tcW w:w="464" w:type="pct"/>
            <w:vMerge/>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p>
        </w:tc>
        <w:tc>
          <w:tcPr>
            <w:tcW w:w="436" w:type="pct"/>
            <w:shd w:val="clear" w:color="auto" w:fill="auto"/>
            <w:vAlign w:val="center"/>
          </w:tcPr>
          <w:p w:rsidR="004B2699" w:rsidRPr="00B158B8" w:rsidRDefault="004B2699" w:rsidP="00E6236C">
            <w:pPr>
              <w:pStyle w:val="aDSPara"/>
              <w:spacing w:before="60" w:after="60"/>
              <w:ind w:left="0"/>
              <w:jc w:val="center"/>
              <w:rPr>
                <w:rFonts w:eastAsiaTheme="minorEastAsia" w:cs="Arial"/>
                <w:color w:val="000000"/>
                <w:w w:val="102"/>
                <w:sz w:val="18"/>
                <w:szCs w:val="18"/>
                <w:lang w:val="en-US"/>
              </w:rPr>
            </w:pPr>
            <w:r>
              <w:rPr>
                <w:rFonts w:eastAsiaTheme="minorEastAsia" w:cs="Arial"/>
                <w:color w:val="000000"/>
                <w:w w:val="102"/>
                <w:sz w:val="18"/>
                <w:szCs w:val="18"/>
                <w:lang w:val="en-US"/>
              </w:rPr>
              <w:t>1</w:t>
            </w:r>
          </w:p>
        </w:tc>
        <w:tc>
          <w:tcPr>
            <w:tcW w:w="2466" w:type="pct"/>
            <w:shd w:val="clear" w:color="auto" w:fill="auto"/>
          </w:tcPr>
          <w:p w:rsidR="004B2699" w:rsidRPr="00B158B8" w:rsidRDefault="004B2699" w:rsidP="00E6236C">
            <w:pPr>
              <w:pStyle w:val="aDSPara"/>
              <w:spacing w:before="60" w:after="60"/>
              <w:ind w:left="0"/>
              <w:jc w:val="left"/>
              <w:rPr>
                <w:rFonts w:eastAsiaTheme="minorEastAsia" w:cs="Arial"/>
                <w:color w:val="000000"/>
                <w:w w:val="102"/>
                <w:sz w:val="18"/>
                <w:szCs w:val="18"/>
                <w:lang w:val="en-US"/>
              </w:rPr>
            </w:pPr>
            <w:r w:rsidRPr="00B158B8">
              <w:rPr>
                <w:rFonts w:eastAsiaTheme="minorEastAsia" w:cs="Arial"/>
                <w:color w:val="000000"/>
                <w:w w:val="102"/>
                <w:sz w:val="18"/>
                <w:szCs w:val="18"/>
                <w:lang w:val="en-US"/>
              </w:rPr>
              <w:t>D</w:t>
            </w:r>
            <w:r>
              <w:rPr>
                <w:rFonts w:eastAsiaTheme="minorEastAsia" w:cs="Arial"/>
                <w:color w:val="000000"/>
                <w:w w:val="102"/>
                <w:sz w:val="18"/>
                <w:szCs w:val="18"/>
                <w:lang w:val="en-US"/>
              </w:rPr>
              <w:t>elivery longer than 8 weeks</w:t>
            </w:r>
          </w:p>
        </w:tc>
      </w:tr>
      <w:tr w:rsidR="004B2699" w:rsidRPr="00A8791F" w:rsidTr="00E6236C">
        <w:trPr>
          <w:cantSplit/>
          <w:trHeight w:hRule="exact" w:val="2088"/>
        </w:trPr>
        <w:tc>
          <w:tcPr>
            <w:tcW w:w="334" w:type="pct"/>
            <w:vMerge w:val="restart"/>
            <w:shd w:val="clear" w:color="auto" w:fill="auto"/>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2</w:t>
            </w:r>
          </w:p>
        </w:tc>
        <w:tc>
          <w:tcPr>
            <w:tcW w:w="1300" w:type="pct"/>
            <w:vMerge w:val="restart"/>
            <w:shd w:val="clear" w:color="auto" w:fill="auto"/>
          </w:tcPr>
          <w:p w:rsidR="004B2699" w:rsidRDefault="004B2699" w:rsidP="00E6236C">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Track Record</w:t>
            </w:r>
          </w:p>
          <w:p w:rsidR="004B2699" w:rsidRDefault="004B2699" w:rsidP="00E6236C">
            <w:pPr>
              <w:rPr>
                <w:rFonts w:eastAsiaTheme="minorEastAsia"/>
                <w:iCs w:val="0"/>
                <w:color w:val="000000"/>
                <w:w w:val="102"/>
                <w:sz w:val="18"/>
                <w:szCs w:val="18"/>
                <w:lang w:val="en-US" w:eastAsia="en-US"/>
              </w:rPr>
            </w:pPr>
            <w:r w:rsidRPr="00B158B8">
              <w:rPr>
                <w:rFonts w:eastAsiaTheme="minorEastAsia"/>
                <w:iCs w:val="0"/>
                <w:color w:val="000000"/>
                <w:w w:val="102"/>
                <w:sz w:val="18"/>
                <w:szCs w:val="18"/>
                <w:lang w:val="en-US" w:eastAsia="en-US"/>
              </w:rPr>
              <w:t>Capacity, capability</w:t>
            </w:r>
            <w:r>
              <w:rPr>
                <w:rFonts w:eastAsiaTheme="minorEastAsia"/>
                <w:iCs w:val="0"/>
                <w:color w:val="000000"/>
                <w:w w:val="102"/>
                <w:sz w:val="18"/>
                <w:szCs w:val="18"/>
                <w:lang w:val="en-US" w:eastAsia="en-US"/>
              </w:rPr>
              <w:t>,</w:t>
            </w:r>
            <w:r w:rsidRPr="00B158B8">
              <w:rPr>
                <w:rFonts w:eastAsiaTheme="minorEastAsia"/>
                <w:iCs w:val="0"/>
                <w:color w:val="000000"/>
                <w:w w:val="102"/>
                <w:sz w:val="18"/>
                <w:szCs w:val="18"/>
                <w:lang w:val="en-US" w:eastAsia="en-US"/>
              </w:rPr>
              <w:t xml:space="preserve"> and experience of </w:t>
            </w:r>
            <w:r>
              <w:rPr>
                <w:rFonts w:eastAsiaTheme="minorEastAsia"/>
                <w:iCs w:val="0"/>
                <w:color w:val="000000"/>
                <w:w w:val="102"/>
                <w:sz w:val="18"/>
                <w:szCs w:val="18"/>
                <w:lang w:val="en-US" w:eastAsia="en-US"/>
              </w:rPr>
              <w:t xml:space="preserve">the </w:t>
            </w:r>
            <w:r w:rsidRPr="00B158B8">
              <w:rPr>
                <w:rFonts w:eastAsiaTheme="minorEastAsia"/>
                <w:iCs w:val="0"/>
                <w:color w:val="000000"/>
                <w:w w:val="102"/>
                <w:sz w:val="18"/>
                <w:szCs w:val="18"/>
                <w:lang w:val="en-US" w:eastAsia="en-US"/>
              </w:rPr>
              <w:t xml:space="preserve">organization(s) as demonstrated by </w:t>
            </w:r>
            <w:r>
              <w:rPr>
                <w:rFonts w:eastAsiaTheme="minorEastAsia"/>
                <w:iCs w:val="0"/>
                <w:color w:val="000000"/>
                <w:w w:val="102"/>
                <w:sz w:val="18"/>
                <w:szCs w:val="18"/>
                <w:lang w:val="en-US" w:eastAsia="en-US"/>
              </w:rPr>
              <w:t xml:space="preserve">the </w:t>
            </w:r>
            <w:r w:rsidRPr="00B158B8">
              <w:rPr>
                <w:rFonts w:eastAsiaTheme="minorEastAsia"/>
                <w:iCs w:val="0"/>
                <w:color w:val="000000"/>
                <w:w w:val="102"/>
                <w:sz w:val="18"/>
                <w:szCs w:val="18"/>
                <w:lang w:val="en-US" w:eastAsia="en-US"/>
              </w:rPr>
              <w:t xml:space="preserve">description of </w:t>
            </w:r>
            <w:r>
              <w:rPr>
                <w:rFonts w:eastAsiaTheme="minorEastAsia"/>
                <w:iCs w:val="0"/>
                <w:color w:val="000000"/>
                <w:w w:val="102"/>
                <w:sz w:val="18"/>
                <w:szCs w:val="18"/>
                <w:lang w:val="en-US" w:eastAsia="en-US"/>
              </w:rPr>
              <w:t xml:space="preserve">the </w:t>
            </w:r>
            <w:r w:rsidRPr="00B158B8">
              <w:rPr>
                <w:rFonts w:eastAsiaTheme="minorEastAsia"/>
                <w:iCs w:val="0"/>
                <w:color w:val="000000"/>
                <w:w w:val="102"/>
                <w:sz w:val="18"/>
                <w:szCs w:val="18"/>
                <w:lang w:val="en-US" w:eastAsia="en-US"/>
              </w:rPr>
              <w:t xml:space="preserve">company profile, company history including years in business, description of </w:t>
            </w:r>
            <w:r>
              <w:rPr>
                <w:rFonts w:eastAsiaTheme="minorEastAsia"/>
                <w:iCs w:val="0"/>
                <w:color w:val="000000"/>
                <w:w w:val="102"/>
                <w:sz w:val="18"/>
                <w:szCs w:val="18"/>
                <w:lang w:val="en-US" w:eastAsia="en-US"/>
              </w:rPr>
              <w:t xml:space="preserve">the </w:t>
            </w:r>
            <w:r w:rsidRPr="00B158B8">
              <w:rPr>
                <w:rFonts w:eastAsiaTheme="minorEastAsia"/>
                <w:iCs w:val="0"/>
                <w:color w:val="000000"/>
                <w:w w:val="102"/>
                <w:sz w:val="18"/>
                <w:szCs w:val="18"/>
                <w:lang w:val="en-US" w:eastAsia="en-US"/>
              </w:rPr>
              <w:t>project team, list of previous work.</w:t>
            </w:r>
          </w:p>
          <w:p w:rsidR="004B2699" w:rsidRPr="00A8791F" w:rsidRDefault="004B2699" w:rsidP="00E6236C">
            <w:pPr>
              <w:rPr>
                <w:rFonts w:eastAsia="MS Mincho"/>
                <w:b/>
                <w:color w:val="000000"/>
                <w:sz w:val="18"/>
                <w:szCs w:val="18"/>
              </w:rPr>
            </w:pPr>
            <w:r w:rsidRPr="00CF3C69">
              <w:rPr>
                <w:rFonts w:eastAsiaTheme="minorEastAsia"/>
                <w:iCs w:val="0"/>
                <w:color w:val="000000"/>
                <w:w w:val="102"/>
                <w:sz w:val="18"/>
                <w:szCs w:val="18"/>
                <w:lang w:val="en-US" w:eastAsia="en-US"/>
              </w:rPr>
              <w:t xml:space="preserve">Specifically, Intellectual </w:t>
            </w:r>
            <w:r w:rsidRPr="00CF3C69">
              <w:rPr>
                <w:rFonts w:eastAsiaTheme="minorEastAsia"/>
                <w:iCs w:val="0"/>
                <w:color w:val="000000"/>
                <w:w w:val="102"/>
                <w:sz w:val="18"/>
                <w:szCs w:val="18"/>
                <w:lang w:val="en-US" w:eastAsia="en-US"/>
              </w:rPr>
              <w:lastRenderedPageBreak/>
              <w:t>Property</w:t>
            </w:r>
            <w:r>
              <w:rPr>
                <w:rFonts w:eastAsiaTheme="minorEastAsia"/>
                <w:iCs w:val="0"/>
                <w:color w:val="000000"/>
                <w:w w:val="102"/>
                <w:sz w:val="18"/>
                <w:szCs w:val="18"/>
                <w:lang w:val="en-US" w:eastAsia="en-US"/>
              </w:rPr>
              <w:t xml:space="preserve"> (IP) </w:t>
            </w:r>
            <w:r w:rsidRPr="00CF3C69">
              <w:rPr>
                <w:rFonts w:eastAsiaTheme="minorEastAsia"/>
                <w:iCs w:val="0"/>
                <w:color w:val="000000"/>
                <w:w w:val="102"/>
                <w:sz w:val="18"/>
                <w:szCs w:val="18"/>
                <w:lang w:val="en-US" w:eastAsia="en-US"/>
              </w:rPr>
              <w:t xml:space="preserve">&amp; Financial experience evident </w:t>
            </w:r>
            <w:r>
              <w:rPr>
                <w:rFonts w:eastAsiaTheme="minorEastAsia"/>
                <w:iCs w:val="0"/>
                <w:color w:val="000000"/>
                <w:w w:val="102"/>
                <w:sz w:val="18"/>
                <w:szCs w:val="18"/>
                <w:lang w:val="en-US" w:eastAsia="en-US"/>
              </w:rPr>
              <w:t>i</w:t>
            </w:r>
            <w:r w:rsidRPr="00CF3C69">
              <w:rPr>
                <w:rFonts w:eastAsiaTheme="minorEastAsia"/>
                <w:iCs w:val="0"/>
                <w:color w:val="000000"/>
                <w:w w:val="102"/>
                <w:sz w:val="18"/>
                <w:szCs w:val="18"/>
                <w:lang w:val="en-US" w:eastAsia="en-US"/>
              </w:rPr>
              <w:t xml:space="preserve">n </w:t>
            </w:r>
            <w:r>
              <w:rPr>
                <w:rFonts w:eastAsiaTheme="minorEastAsia"/>
                <w:iCs w:val="0"/>
                <w:color w:val="000000"/>
                <w:w w:val="102"/>
                <w:sz w:val="18"/>
                <w:szCs w:val="18"/>
                <w:lang w:val="en-US" w:eastAsia="en-US"/>
              </w:rPr>
              <w:t xml:space="preserve">the </w:t>
            </w:r>
            <w:r w:rsidRPr="00CF3C69">
              <w:rPr>
                <w:rFonts w:eastAsiaTheme="minorEastAsia"/>
                <w:iCs w:val="0"/>
                <w:color w:val="000000"/>
                <w:w w:val="102"/>
                <w:sz w:val="18"/>
                <w:szCs w:val="18"/>
                <w:lang w:val="en-US" w:eastAsia="en-US"/>
              </w:rPr>
              <w:t>capability statement.</w:t>
            </w:r>
            <w:r w:rsidRPr="008948A2">
              <w:rPr>
                <w:rFonts w:eastAsiaTheme="minorEastAsia"/>
                <w:iCs w:val="0"/>
                <w:color w:val="000000"/>
                <w:w w:val="102"/>
                <w:sz w:val="18"/>
                <w:szCs w:val="18"/>
                <w:lang w:val="en-US" w:eastAsia="en-US"/>
              </w:rPr>
              <w:t xml:space="preserve"> </w:t>
            </w:r>
          </w:p>
        </w:tc>
        <w:tc>
          <w:tcPr>
            <w:tcW w:w="464" w:type="pct"/>
            <w:vMerge w:val="restart"/>
            <w:shd w:val="clear" w:color="auto" w:fill="auto"/>
            <w:vAlign w:val="center"/>
          </w:tcPr>
          <w:p w:rsidR="004B2699" w:rsidRPr="00A8791F" w:rsidRDefault="004B2699" w:rsidP="00E6236C">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10</w:t>
            </w:r>
          </w:p>
        </w:tc>
        <w:tc>
          <w:tcPr>
            <w:tcW w:w="436" w:type="pct"/>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3</w:t>
            </w:r>
          </w:p>
        </w:tc>
        <w:tc>
          <w:tcPr>
            <w:tcW w:w="2466" w:type="pct"/>
            <w:shd w:val="clear" w:color="auto" w:fill="auto"/>
          </w:tcPr>
          <w:p w:rsidR="004B2699" w:rsidRPr="000965E7" w:rsidRDefault="004B2699" w:rsidP="00E6236C">
            <w:pPr>
              <w:autoSpaceDE w:val="0"/>
              <w:autoSpaceDN w:val="0"/>
              <w:adjustRightInd w:val="0"/>
              <w:spacing w:before="15" w:after="0" w:line="302" w:lineRule="exact"/>
              <w:ind w:left="14" w:right="40" w:firstLine="14"/>
              <w:jc w:val="both"/>
              <w:outlineLvl w:val="9"/>
              <w:rPr>
                <w:rFonts w:eastAsiaTheme="minorEastAsia"/>
                <w:w w:val="102"/>
                <w:sz w:val="18"/>
                <w:szCs w:val="18"/>
                <w:lang w:val="en-US"/>
              </w:rPr>
            </w:pPr>
            <w:r w:rsidRPr="000965E7">
              <w:rPr>
                <w:rFonts w:eastAsiaTheme="minorEastAsia"/>
                <w:iCs w:val="0"/>
                <w:color w:val="000000"/>
                <w:w w:val="102"/>
                <w:sz w:val="18"/>
                <w:szCs w:val="18"/>
                <w:lang w:val="en-US" w:eastAsia="en-US"/>
              </w:rPr>
              <w:t>Little to no rele</w:t>
            </w:r>
            <w:r>
              <w:rPr>
                <w:rFonts w:eastAsiaTheme="minorEastAsia"/>
                <w:iCs w:val="0"/>
                <w:color w:val="000000"/>
                <w:w w:val="102"/>
                <w:sz w:val="18"/>
                <w:szCs w:val="18"/>
                <w:lang w:val="en-US" w:eastAsia="en-US"/>
              </w:rPr>
              <w:t>vant IP, Finance, Human Resources &amp; IT</w:t>
            </w:r>
            <w:r w:rsidRPr="000965E7">
              <w:rPr>
                <w:rFonts w:eastAsiaTheme="minorEastAsia"/>
                <w:iCs w:val="0"/>
                <w:color w:val="000000"/>
                <w:w w:val="102"/>
                <w:sz w:val="18"/>
                <w:szCs w:val="18"/>
                <w:lang w:val="en-US" w:eastAsia="en-US"/>
              </w:rPr>
              <w:t xml:space="preserve"> </w:t>
            </w:r>
            <w:r>
              <w:rPr>
                <w:rFonts w:eastAsiaTheme="minorEastAsia"/>
                <w:iCs w:val="0"/>
                <w:color w:val="000000"/>
                <w:w w:val="102"/>
                <w:sz w:val="18"/>
                <w:szCs w:val="18"/>
                <w:lang w:val="en-US" w:eastAsia="en-US"/>
              </w:rPr>
              <w:t xml:space="preserve">capabilities </w:t>
            </w:r>
            <w:r w:rsidRPr="000965E7">
              <w:rPr>
                <w:rFonts w:eastAsiaTheme="minorEastAsia"/>
                <w:iCs w:val="0"/>
                <w:color w:val="000000"/>
                <w:w w:val="102"/>
                <w:sz w:val="18"/>
                <w:szCs w:val="18"/>
                <w:lang w:val="en-US" w:eastAsia="en-US"/>
              </w:rPr>
              <w:t xml:space="preserve">within the </w:t>
            </w:r>
            <w:r>
              <w:rPr>
                <w:rFonts w:eastAsiaTheme="minorEastAsia"/>
                <w:iCs w:val="0"/>
                <w:color w:val="000000"/>
                <w:w w:val="102"/>
                <w:sz w:val="18"/>
                <w:szCs w:val="18"/>
                <w:lang w:val="en-US" w:eastAsia="en-US"/>
              </w:rPr>
              <w:t xml:space="preserve">supplier </w:t>
            </w:r>
            <w:r w:rsidRPr="000965E7">
              <w:rPr>
                <w:rFonts w:eastAsiaTheme="minorEastAsia"/>
                <w:iCs w:val="0"/>
                <w:color w:val="000000"/>
                <w:w w:val="102"/>
                <w:sz w:val="18"/>
                <w:szCs w:val="18"/>
                <w:lang w:val="en-US" w:eastAsia="en-US"/>
              </w:rPr>
              <w:t>organization</w:t>
            </w:r>
            <w:r>
              <w:rPr>
                <w:rFonts w:eastAsiaTheme="minorEastAsia"/>
                <w:iCs w:val="0"/>
                <w:color w:val="000000"/>
                <w:w w:val="102"/>
                <w:sz w:val="18"/>
                <w:szCs w:val="18"/>
                <w:lang w:val="en-US" w:eastAsia="en-US"/>
              </w:rPr>
              <w:t xml:space="preserve"> with little </w:t>
            </w:r>
            <w:r w:rsidRPr="000965E7">
              <w:rPr>
                <w:rFonts w:eastAsiaTheme="minorEastAsia"/>
                <w:iCs w:val="0"/>
                <w:color w:val="000000"/>
                <w:w w:val="102"/>
                <w:sz w:val="18"/>
                <w:szCs w:val="18"/>
                <w:lang w:val="en-US" w:eastAsia="en-US"/>
              </w:rPr>
              <w:t>to no eviden</w:t>
            </w:r>
            <w:r>
              <w:rPr>
                <w:rFonts w:eastAsiaTheme="minorEastAsia"/>
                <w:iCs w:val="0"/>
                <w:color w:val="000000"/>
                <w:w w:val="102"/>
                <w:sz w:val="18"/>
                <w:szCs w:val="18"/>
                <w:lang w:val="en-US" w:eastAsia="en-US"/>
              </w:rPr>
              <w:t xml:space="preserve">ce of previous relevant work as demonstrated by testimonial/reference letter. </w:t>
            </w:r>
          </w:p>
          <w:p w:rsidR="004B2699" w:rsidRPr="000965E7" w:rsidRDefault="004B2699" w:rsidP="00F51B54">
            <w:pPr>
              <w:pStyle w:val="Default"/>
              <w:numPr>
                <w:ilvl w:val="0"/>
                <w:numId w:val="18"/>
              </w:numPr>
              <w:jc w:val="both"/>
              <w:rPr>
                <w:rFonts w:eastAsiaTheme="minorEastAsia"/>
                <w:w w:val="102"/>
                <w:sz w:val="18"/>
                <w:szCs w:val="18"/>
                <w:lang w:val="en-US"/>
              </w:rPr>
            </w:pPr>
            <w:r>
              <w:rPr>
                <w:rFonts w:eastAsiaTheme="minorEastAsia"/>
                <w:w w:val="102"/>
                <w:sz w:val="18"/>
                <w:szCs w:val="18"/>
                <w:lang w:val="en-US"/>
              </w:rPr>
              <w:t>1 form of evidence of such</w:t>
            </w:r>
            <w:r w:rsidRPr="000965E7">
              <w:rPr>
                <w:rFonts w:eastAsiaTheme="minorEastAsia"/>
                <w:w w:val="102"/>
                <w:sz w:val="18"/>
                <w:szCs w:val="18"/>
                <w:lang w:val="en-US"/>
              </w:rPr>
              <w:t xml:space="preserve"> </w:t>
            </w:r>
            <w:r>
              <w:rPr>
                <w:rFonts w:eastAsiaTheme="minorEastAsia"/>
                <w:w w:val="102"/>
                <w:sz w:val="18"/>
                <w:szCs w:val="18"/>
                <w:lang w:val="en-US"/>
              </w:rPr>
              <w:t>within the last five years.</w:t>
            </w:r>
          </w:p>
          <w:p w:rsidR="004B2699" w:rsidRPr="000965E7" w:rsidRDefault="004B2699" w:rsidP="00E6236C">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p>
          <w:p w:rsidR="004B2699" w:rsidRPr="000965E7" w:rsidRDefault="004B2699" w:rsidP="00E6236C">
            <w:pPr>
              <w:autoSpaceDE w:val="0"/>
              <w:autoSpaceDN w:val="0"/>
              <w:adjustRightInd w:val="0"/>
              <w:spacing w:before="5" w:line="302" w:lineRule="exact"/>
              <w:ind w:left="19" w:right="318" w:firstLine="10"/>
              <w:jc w:val="both"/>
              <w:rPr>
                <w:rFonts w:eastAsiaTheme="minorEastAsia"/>
                <w:iCs w:val="0"/>
                <w:color w:val="000000"/>
                <w:w w:val="102"/>
                <w:sz w:val="18"/>
                <w:szCs w:val="18"/>
                <w:lang w:val="en-US" w:eastAsia="en-US"/>
              </w:rPr>
            </w:pPr>
          </w:p>
        </w:tc>
      </w:tr>
      <w:tr w:rsidR="004B2699" w:rsidRPr="00A8791F" w:rsidTr="00E6236C">
        <w:trPr>
          <w:cantSplit/>
          <w:trHeight w:hRule="exact" w:val="1140"/>
        </w:trPr>
        <w:tc>
          <w:tcPr>
            <w:tcW w:w="334" w:type="pct"/>
            <w:vMerge/>
            <w:shd w:val="clear" w:color="auto" w:fill="auto"/>
          </w:tcPr>
          <w:p w:rsidR="004B2699" w:rsidRPr="00A8791F" w:rsidRDefault="004B2699" w:rsidP="00E6236C">
            <w:pPr>
              <w:pStyle w:val="aDSPara"/>
              <w:spacing w:before="60" w:after="60"/>
              <w:ind w:left="0"/>
              <w:jc w:val="center"/>
              <w:rPr>
                <w:rFonts w:eastAsia="MS Mincho" w:cs="Arial"/>
                <w:sz w:val="18"/>
                <w:szCs w:val="18"/>
              </w:rPr>
            </w:pPr>
          </w:p>
        </w:tc>
        <w:tc>
          <w:tcPr>
            <w:tcW w:w="1300" w:type="pct"/>
            <w:vMerge/>
            <w:shd w:val="clear" w:color="auto" w:fill="auto"/>
          </w:tcPr>
          <w:p w:rsidR="004B2699" w:rsidRPr="00A8791F" w:rsidRDefault="004B2699" w:rsidP="00E6236C">
            <w:pPr>
              <w:pStyle w:val="aDSPara"/>
              <w:spacing w:before="60" w:after="60"/>
              <w:ind w:left="0"/>
              <w:jc w:val="left"/>
              <w:rPr>
                <w:rFonts w:eastAsia="MS Mincho" w:cs="Arial"/>
                <w:b/>
                <w:sz w:val="18"/>
                <w:szCs w:val="18"/>
              </w:rPr>
            </w:pPr>
          </w:p>
        </w:tc>
        <w:tc>
          <w:tcPr>
            <w:tcW w:w="464" w:type="pct"/>
            <w:vMerge/>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p>
        </w:tc>
        <w:tc>
          <w:tcPr>
            <w:tcW w:w="436" w:type="pct"/>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7</w:t>
            </w:r>
          </w:p>
        </w:tc>
        <w:tc>
          <w:tcPr>
            <w:tcW w:w="2466" w:type="pct"/>
            <w:shd w:val="clear" w:color="auto" w:fill="auto"/>
          </w:tcPr>
          <w:p w:rsidR="004B2699" w:rsidRDefault="004B2699" w:rsidP="00E6236C">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0965E7">
              <w:rPr>
                <w:rFonts w:eastAsiaTheme="minorEastAsia"/>
                <w:iCs w:val="0"/>
                <w:color w:val="000000"/>
                <w:w w:val="102"/>
                <w:sz w:val="18"/>
                <w:szCs w:val="18"/>
                <w:lang w:val="en-US" w:eastAsia="en-US"/>
              </w:rPr>
              <w:t xml:space="preserve">Moderate </w:t>
            </w:r>
            <w:r>
              <w:rPr>
                <w:rFonts w:eastAsiaTheme="minorEastAsia"/>
                <w:iCs w:val="0"/>
                <w:color w:val="000000"/>
                <w:w w:val="102"/>
                <w:sz w:val="18"/>
                <w:szCs w:val="18"/>
                <w:lang w:val="en-US" w:eastAsia="en-US"/>
              </w:rPr>
              <w:t>IP, Finance, Human Resources &amp; IT</w:t>
            </w:r>
            <w:r w:rsidRPr="000965E7">
              <w:rPr>
                <w:rFonts w:eastAsiaTheme="minorEastAsia"/>
                <w:iCs w:val="0"/>
                <w:color w:val="000000"/>
                <w:w w:val="102"/>
                <w:sz w:val="18"/>
                <w:szCs w:val="18"/>
                <w:lang w:val="en-US" w:eastAsia="en-US"/>
              </w:rPr>
              <w:t xml:space="preserve"> </w:t>
            </w:r>
            <w:r>
              <w:rPr>
                <w:rFonts w:eastAsiaTheme="minorEastAsia"/>
                <w:iCs w:val="0"/>
                <w:color w:val="000000"/>
                <w:w w:val="102"/>
                <w:sz w:val="18"/>
                <w:szCs w:val="18"/>
                <w:lang w:val="en-US" w:eastAsia="en-US"/>
              </w:rPr>
              <w:t xml:space="preserve">capabilities </w:t>
            </w:r>
            <w:r w:rsidRPr="000965E7">
              <w:rPr>
                <w:rFonts w:eastAsiaTheme="minorEastAsia"/>
                <w:iCs w:val="0"/>
                <w:color w:val="000000"/>
                <w:w w:val="102"/>
                <w:sz w:val="18"/>
                <w:szCs w:val="18"/>
                <w:lang w:val="en-US" w:eastAsia="en-US"/>
              </w:rPr>
              <w:t>within the organization</w:t>
            </w:r>
            <w:r>
              <w:rPr>
                <w:rFonts w:eastAsiaTheme="minorEastAsia"/>
                <w:iCs w:val="0"/>
                <w:color w:val="000000"/>
                <w:w w:val="102"/>
                <w:sz w:val="18"/>
                <w:szCs w:val="18"/>
                <w:lang w:val="en-US" w:eastAsia="en-US"/>
              </w:rPr>
              <w:t>.</w:t>
            </w:r>
          </w:p>
          <w:p w:rsidR="004B2699" w:rsidRPr="000965E7" w:rsidRDefault="004B2699" w:rsidP="00F51B54">
            <w:pPr>
              <w:pStyle w:val="Default"/>
              <w:numPr>
                <w:ilvl w:val="0"/>
                <w:numId w:val="18"/>
              </w:numPr>
              <w:jc w:val="both"/>
              <w:rPr>
                <w:rFonts w:eastAsiaTheme="minorEastAsia"/>
                <w:w w:val="102"/>
                <w:sz w:val="18"/>
                <w:szCs w:val="18"/>
                <w:lang w:val="en-US"/>
              </w:rPr>
            </w:pPr>
            <w:r>
              <w:rPr>
                <w:rFonts w:eastAsiaTheme="minorEastAsia"/>
                <w:w w:val="102"/>
                <w:sz w:val="18"/>
                <w:szCs w:val="18"/>
                <w:lang w:val="en-US"/>
              </w:rPr>
              <w:t>2</w:t>
            </w:r>
            <w:r w:rsidRPr="000965E7">
              <w:rPr>
                <w:rFonts w:eastAsiaTheme="minorEastAsia"/>
                <w:w w:val="102"/>
                <w:sz w:val="18"/>
                <w:szCs w:val="18"/>
                <w:lang w:val="en-US"/>
              </w:rPr>
              <w:t xml:space="preserve"> </w:t>
            </w:r>
            <w:r>
              <w:rPr>
                <w:rFonts w:eastAsiaTheme="minorEastAsia"/>
                <w:w w:val="102"/>
                <w:sz w:val="18"/>
                <w:szCs w:val="18"/>
                <w:lang w:val="en-US"/>
              </w:rPr>
              <w:t>forms of evidence of such</w:t>
            </w:r>
            <w:r w:rsidRPr="000965E7">
              <w:rPr>
                <w:rFonts w:eastAsiaTheme="minorEastAsia"/>
                <w:w w:val="102"/>
                <w:sz w:val="18"/>
                <w:szCs w:val="18"/>
                <w:lang w:val="en-US"/>
              </w:rPr>
              <w:t xml:space="preserve"> </w:t>
            </w:r>
            <w:r>
              <w:rPr>
                <w:rFonts w:eastAsiaTheme="minorEastAsia"/>
                <w:w w:val="102"/>
                <w:sz w:val="18"/>
                <w:szCs w:val="18"/>
                <w:lang w:val="en-US"/>
              </w:rPr>
              <w:t>within the last five years.</w:t>
            </w:r>
          </w:p>
          <w:p w:rsidR="004B2699" w:rsidRPr="00517220" w:rsidRDefault="004B2699" w:rsidP="00E6236C">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p>
        </w:tc>
      </w:tr>
      <w:tr w:rsidR="004B2699" w:rsidRPr="00A8791F" w:rsidTr="00E6236C">
        <w:trPr>
          <w:cantSplit/>
          <w:trHeight w:val="180"/>
        </w:trPr>
        <w:tc>
          <w:tcPr>
            <w:tcW w:w="334" w:type="pct"/>
            <w:vMerge/>
            <w:shd w:val="clear" w:color="auto" w:fill="auto"/>
          </w:tcPr>
          <w:p w:rsidR="004B2699" w:rsidRPr="00A8791F" w:rsidRDefault="004B2699" w:rsidP="00E6236C">
            <w:pPr>
              <w:pStyle w:val="aDSPara"/>
              <w:spacing w:before="60" w:after="60"/>
              <w:ind w:left="0"/>
              <w:jc w:val="center"/>
              <w:rPr>
                <w:rFonts w:eastAsia="MS Mincho" w:cs="Arial"/>
                <w:sz w:val="18"/>
                <w:szCs w:val="18"/>
              </w:rPr>
            </w:pPr>
          </w:p>
        </w:tc>
        <w:tc>
          <w:tcPr>
            <w:tcW w:w="1300" w:type="pct"/>
            <w:vMerge/>
            <w:shd w:val="clear" w:color="auto" w:fill="auto"/>
          </w:tcPr>
          <w:p w:rsidR="004B2699" w:rsidRPr="00A8791F" w:rsidRDefault="004B2699" w:rsidP="00E6236C">
            <w:pPr>
              <w:pStyle w:val="aDSPara"/>
              <w:spacing w:before="60" w:after="60"/>
              <w:ind w:left="0"/>
              <w:jc w:val="left"/>
              <w:rPr>
                <w:rFonts w:eastAsia="MS Mincho" w:cs="Arial"/>
                <w:sz w:val="18"/>
                <w:szCs w:val="18"/>
              </w:rPr>
            </w:pPr>
          </w:p>
        </w:tc>
        <w:tc>
          <w:tcPr>
            <w:tcW w:w="464" w:type="pct"/>
            <w:vMerge/>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p>
        </w:tc>
        <w:tc>
          <w:tcPr>
            <w:tcW w:w="436" w:type="pct"/>
            <w:shd w:val="clear" w:color="auto" w:fill="auto"/>
            <w:vAlign w:val="center"/>
          </w:tcPr>
          <w:p w:rsidR="004B2699" w:rsidRPr="00A8791F" w:rsidRDefault="004B2699" w:rsidP="00E6236C">
            <w:pPr>
              <w:pStyle w:val="aDSPara"/>
              <w:spacing w:before="60" w:after="60"/>
              <w:ind w:left="0"/>
              <w:rPr>
                <w:rFonts w:eastAsia="MS Mincho" w:cs="Arial"/>
                <w:sz w:val="18"/>
                <w:szCs w:val="18"/>
              </w:rPr>
            </w:pPr>
            <w:r>
              <w:rPr>
                <w:rFonts w:eastAsia="MS Mincho" w:cs="Arial"/>
                <w:sz w:val="18"/>
                <w:szCs w:val="18"/>
              </w:rPr>
              <w:t>10</w:t>
            </w:r>
          </w:p>
        </w:tc>
        <w:tc>
          <w:tcPr>
            <w:tcW w:w="2466" w:type="pct"/>
            <w:shd w:val="clear" w:color="auto" w:fill="auto"/>
          </w:tcPr>
          <w:p w:rsidR="004B2699" w:rsidRDefault="004B2699" w:rsidP="00E6236C">
            <w:pPr>
              <w:autoSpaceDE w:val="0"/>
              <w:autoSpaceDN w:val="0"/>
              <w:adjustRightInd w:val="0"/>
              <w:spacing w:before="15" w:after="0" w:line="302" w:lineRule="exact"/>
              <w:ind w:left="14" w:right="40"/>
              <w:jc w:val="both"/>
              <w:outlineLvl w:val="9"/>
              <w:rPr>
                <w:rFonts w:eastAsiaTheme="minorEastAsia"/>
                <w:iCs w:val="0"/>
                <w:color w:val="000000"/>
                <w:w w:val="102"/>
                <w:sz w:val="18"/>
                <w:szCs w:val="18"/>
                <w:lang w:val="en-US" w:eastAsia="en-US"/>
              </w:rPr>
            </w:pPr>
            <w:r w:rsidRPr="000965E7">
              <w:rPr>
                <w:rFonts w:eastAsiaTheme="minorEastAsia"/>
                <w:iCs w:val="0"/>
                <w:color w:val="000000"/>
                <w:w w:val="102"/>
                <w:sz w:val="18"/>
                <w:szCs w:val="18"/>
                <w:lang w:val="en-US" w:eastAsia="en-US"/>
              </w:rPr>
              <w:t xml:space="preserve">Extensive </w:t>
            </w:r>
            <w:r>
              <w:rPr>
                <w:rFonts w:eastAsiaTheme="minorEastAsia"/>
                <w:iCs w:val="0"/>
                <w:color w:val="000000"/>
                <w:w w:val="102"/>
                <w:sz w:val="18"/>
                <w:szCs w:val="18"/>
                <w:lang w:val="en-US" w:eastAsia="en-US"/>
              </w:rPr>
              <w:t>IP, Finance, Human Resources &amp; IT</w:t>
            </w:r>
            <w:r w:rsidRPr="000965E7">
              <w:rPr>
                <w:rFonts w:eastAsiaTheme="minorEastAsia"/>
                <w:iCs w:val="0"/>
                <w:color w:val="000000"/>
                <w:w w:val="102"/>
                <w:sz w:val="18"/>
                <w:szCs w:val="18"/>
                <w:lang w:val="en-US" w:eastAsia="en-US"/>
              </w:rPr>
              <w:t xml:space="preserve"> </w:t>
            </w:r>
            <w:r>
              <w:rPr>
                <w:rFonts w:eastAsiaTheme="minorEastAsia"/>
                <w:iCs w:val="0"/>
                <w:color w:val="000000"/>
                <w:w w:val="102"/>
                <w:sz w:val="18"/>
                <w:szCs w:val="18"/>
                <w:lang w:val="en-US" w:eastAsia="en-US"/>
              </w:rPr>
              <w:t xml:space="preserve">capabilities </w:t>
            </w:r>
            <w:r w:rsidRPr="000965E7">
              <w:rPr>
                <w:rFonts w:eastAsiaTheme="minorEastAsia"/>
                <w:iCs w:val="0"/>
                <w:color w:val="000000"/>
                <w:w w:val="102"/>
                <w:sz w:val="18"/>
                <w:szCs w:val="18"/>
                <w:lang w:val="en-US" w:eastAsia="en-US"/>
              </w:rPr>
              <w:t>within the organization</w:t>
            </w:r>
            <w:r>
              <w:rPr>
                <w:rFonts w:eastAsiaTheme="minorEastAsia"/>
                <w:iCs w:val="0"/>
                <w:color w:val="000000"/>
                <w:w w:val="102"/>
                <w:sz w:val="18"/>
                <w:szCs w:val="18"/>
                <w:lang w:val="en-US" w:eastAsia="en-US"/>
              </w:rPr>
              <w:t>.</w:t>
            </w:r>
          </w:p>
          <w:p w:rsidR="004B2699" w:rsidRPr="000965E7" w:rsidRDefault="004B2699" w:rsidP="00F51B54">
            <w:pPr>
              <w:pStyle w:val="Default"/>
              <w:numPr>
                <w:ilvl w:val="0"/>
                <w:numId w:val="18"/>
              </w:numPr>
              <w:jc w:val="both"/>
              <w:rPr>
                <w:rFonts w:eastAsiaTheme="minorEastAsia"/>
                <w:w w:val="102"/>
                <w:sz w:val="18"/>
                <w:szCs w:val="18"/>
                <w:lang w:val="en-US"/>
              </w:rPr>
            </w:pPr>
            <w:r>
              <w:rPr>
                <w:rFonts w:eastAsiaTheme="minorEastAsia"/>
                <w:w w:val="102"/>
                <w:sz w:val="18"/>
                <w:szCs w:val="18"/>
                <w:lang w:val="en-US"/>
              </w:rPr>
              <w:t>3 or more</w:t>
            </w:r>
            <w:r w:rsidRPr="000965E7">
              <w:rPr>
                <w:rFonts w:eastAsiaTheme="minorEastAsia"/>
                <w:w w:val="102"/>
                <w:sz w:val="18"/>
                <w:szCs w:val="18"/>
                <w:lang w:val="en-US"/>
              </w:rPr>
              <w:t xml:space="preserve"> </w:t>
            </w:r>
            <w:r>
              <w:rPr>
                <w:rFonts w:eastAsiaTheme="minorEastAsia"/>
                <w:w w:val="102"/>
                <w:sz w:val="18"/>
                <w:szCs w:val="18"/>
                <w:lang w:val="en-US"/>
              </w:rPr>
              <w:t>forms of evidence of such</w:t>
            </w:r>
            <w:r w:rsidRPr="000965E7">
              <w:rPr>
                <w:rFonts w:eastAsiaTheme="minorEastAsia"/>
                <w:w w:val="102"/>
                <w:sz w:val="18"/>
                <w:szCs w:val="18"/>
                <w:lang w:val="en-US"/>
              </w:rPr>
              <w:t xml:space="preserve"> </w:t>
            </w:r>
            <w:r>
              <w:rPr>
                <w:rFonts w:eastAsiaTheme="minorEastAsia"/>
                <w:w w:val="102"/>
                <w:sz w:val="18"/>
                <w:szCs w:val="18"/>
                <w:lang w:val="en-US"/>
              </w:rPr>
              <w:t>within the last five years one of them being IP valuation.</w:t>
            </w:r>
          </w:p>
          <w:p w:rsidR="004B2699" w:rsidRPr="00517220" w:rsidRDefault="004B2699" w:rsidP="00E6236C">
            <w:pPr>
              <w:pStyle w:val="Default"/>
              <w:ind w:left="720"/>
              <w:jc w:val="both"/>
              <w:rPr>
                <w:rFonts w:eastAsiaTheme="minorEastAsia"/>
                <w:iCs/>
                <w:w w:val="102"/>
                <w:sz w:val="18"/>
                <w:szCs w:val="18"/>
                <w:lang w:val="en-US"/>
              </w:rPr>
            </w:pPr>
          </w:p>
        </w:tc>
      </w:tr>
      <w:tr w:rsidR="004B2699" w:rsidRPr="00A8791F" w:rsidTr="00E6236C">
        <w:trPr>
          <w:cantSplit/>
          <w:trHeight w:val="180"/>
        </w:trPr>
        <w:tc>
          <w:tcPr>
            <w:tcW w:w="334" w:type="pct"/>
            <w:shd w:val="clear" w:color="auto" w:fill="auto"/>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3</w:t>
            </w:r>
          </w:p>
        </w:tc>
        <w:tc>
          <w:tcPr>
            <w:tcW w:w="1300" w:type="pct"/>
            <w:shd w:val="clear" w:color="auto" w:fill="auto"/>
          </w:tcPr>
          <w:p w:rsidR="004B2699" w:rsidRPr="00643287" w:rsidRDefault="004B2699" w:rsidP="00E6236C">
            <w:pPr>
              <w:rPr>
                <w:b/>
                <w:sz w:val="18"/>
                <w:szCs w:val="18"/>
              </w:rPr>
            </w:pPr>
            <w:r w:rsidRPr="00643287">
              <w:rPr>
                <w:b/>
                <w:sz w:val="18"/>
                <w:szCs w:val="18"/>
              </w:rPr>
              <w:t>Proposed team</w:t>
            </w:r>
          </w:p>
          <w:tbl>
            <w:tblPr>
              <w:tblW w:w="0" w:type="auto"/>
              <w:tblBorders>
                <w:top w:val="nil"/>
                <w:left w:val="nil"/>
                <w:bottom w:val="nil"/>
                <w:right w:val="nil"/>
              </w:tblBorders>
              <w:tblLook w:val="0000" w:firstRow="0" w:lastRow="0" w:firstColumn="0" w:lastColumn="0" w:noHBand="0" w:noVBand="0"/>
            </w:tblPr>
            <w:tblGrid>
              <w:gridCol w:w="2224"/>
            </w:tblGrid>
            <w:tr w:rsidR="004B2699" w:rsidRPr="00643287" w:rsidTr="00E6236C">
              <w:trPr>
                <w:trHeight w:val="621"/>
              </w:trPr>
              <w:tc>
                <w:tcPr>
                  <w:tcW w:w="0" w:type="auto"/>
                </w:tcPr>
                <w:p w:rsidR="004B2699" w:rsidRPr="00643287" w:rsidRDefault="004B2699" w:rsidP="00E6236C">
                  <w:pPr>
                    <w:widowControl/>
                    <w:autoSpaceDE w:val="0"/>
                    <w:autoSpaceDN w:val="0"/>
                    <w:adjustRightInd w:val="0"/>
                    <w:spacing w:before="0" w:after="0" w:line="240" w:lineRule="auto"/>
                    <w:outlineLvl w:val="9"/>
                    <w:rPr>
                      <w:iCs w:val="0"/>
                      <w:color w:val="000000"/>
                      <w:sz w:val="18"/>
                      <w:szCs w:val="18"/>
                      <w:lang w:val="en-ZA" w:eastAsia="en-US"/>
                    </w:rPr>
                  </w:pPr>
                  <w:r w:rsidRPr="00643287">
                    <w:rPr>
                      <w:iCs w:val="0"/>
                      <w:color w:val="000000"/>
                      <w:sz w:val="18"/>
                      <w:szCs w:val="18"/>
                      <w:lang w:val="en-ZA" w:eastAsia="en-US"/>
                    </w:rPr>
                    <w:t>Capacity and experience of the proposed team (</w:t>
                  </w:r>
                  <w:r w:rsidRPr="00643287">
                    <w:rPr>
                      <w:b/>
                      <w:bCs/>
                      <w:iCs w:val="0"/>
                      <w:color w:val="000000"/>
                      <w:sz w:val="18"/>
                      <w:szCs w:val="18"/>
                      <w:lang w:val="en-ZA" w:eastAsia="en-US"/>
                    </w:rPr>
                    <w:t>attach CV’s and qualifications</w:t>
                  </w:r>
                  <w:r w:rsidRPr="00643287">
                    <w:rPr>
                      <w:iCs w:val="0"/>
                      <w:color w:val="000000"/>
                      <w:sz w:val="18"/>
                      <w:szCs w:val="18"/>
                      <w:lang w:val="en-ZA" w:eastAsia="en-US"/>
                    </w:rPr>
                    <w:t xml:space="preserve">) </w:t>
                  </w:r>
                </w:p>
              </w:tc>
            </w:tr>
          </w:tbl>
          <w:p w:rsidR="004B2699" w:rsidRPr="00A8791F" w:rsidRDefault="004B2699" w:rsidP="00E6236C">
            <w:pPr>
              <w:pStyle w:val="aDSPara"/>
              <w:spacing w:before="60" w:after="60"/>
              <w:ind w:left="0"/>
              <w:jc w:val="left"/>
              <w:rPr>
                <w:rFonts w:eastAsia="MS Mincho" w:cs="Arial"/>
                <w:sz w:val="18"/>
                <w:szCs w:val="18"/>
              </w:rPr>
            </w:pPr>
          </w:p>
        </w:tc>
        <w:tc>
          <w:tcPr>
            <w:tcW w:w="464" w:type="pct"/>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60</w:t>
            </w:r>
          </w:p>
        </w:tc>
        <w:tc>
          <w:tcPr>
            <w:tcW w:w="436" w:type="pct"/>
            <w:shd w:val="clear" w:color="auto" w:fill="auto"/>
            <w:vAlign w:val="center"/>
          </w:tcPr>
          <w:p w:rsidR="004B2699" w:rsidRDefault="004B2699" w:rsidP="00E6236C">
            <w:pPr>
              <w:pStyle w:val="aDSPara"/>
              <w:spacing w:before="60" w:after="60"/>
              <w:ind w:left="0"/>
              <w:jc w:val="center"/>
              <w:rPr>
                <w:rFonts w:eastAsia="MS Mincho" w:cs="Arial"/>
                <w:sz w:val="18"/>
                <w:szCs w:val="18"/>
              </w:rPr>
            </w:pPr>
            <w:r>
              <w:rPr>
                <w:rFonts w:eastAsia="MS Mincho" w:cs="Arial"/>
                <w:sz w:val="18"/>
                <w:szCs w:val="18"/>
              </w:rPr>
              <w:t>a=24</w:t>
            </w:r>
          </w:p>
          <w:p w:rsidR="004B2699" w:rsidRDefault="004B2699" w:rsidP="00E6236C">
            <w:pPr>
              <w:pStyle w:val="aDSPara"/>
              <w:spacing w:before="60" w:after="60"/>
              <w:ind w:left="0"/>
              <w:jc w:val="center"/>
              <w:rPr>
                <w:rFonts w:eastAsia="MS Mincho" w:cs="Arial"/>
                <w:sz w:val="18"/>
                <w:szCs w:val="18"/>
              </w:rPr>
            </w:pPr>
            <w:r>
              <w:rPr>
                <w:rFonts w:eastAsia="MS Mincho" w:cs="Arial"/>
                <w:sz w:val="18"/>
                <w:szCs w:val="18"/>
              </w:rPr>
              <w:t>b=18</w:t>
            </w:r>
          </w:p>
          <w:p w:rsidR="004B2699" w:rsidRDefault="004B2699" w:rsidP="00E6236C">
            <w:pPr>
              <w:pStyle w:val="aDSPara"/>
              <w:spacing w:before="60" w:after="60"/>
              <w:ind w:left="0"/>
              <w:jc w:val="center"/>
              <w:rPr>
                <w:rFonts w:eastAsia="MS Mincho" w:cs="Arial"/>
                <w:sz w:val="18"/>
                <w:szCs w:val="18"/>
              </w:rPr>
            </w:pPr>
            <w:r>
              <w:rPr>
                <w:rFonts w:eastAsia="MS Mincho" w:cs="Arial"/>
                <w:sz w:val="18"/>
                <w:szCs w:val="18"/>
              </w:rPr>
              <w:t>c=6</w:t>
            </w:r>
          </w:p>
          <w:p w:rsidR="004B2699" w:rsidRDefault="004B2699" w:rsidP="00E6236C">
            <w:pPr>
              <w:pStyle w:val="aDSPara"/>
              <w:spacing w:before="60" w:after="60"/>
              <w:ind w:left="0"/>
              <w:jc w:val="center"/>
              <w:rPr>
                <w:rFonts w:eastAsia="MS Mincho" w:cs="Arial"/>
                <w:sz w:val="18"/>
                <w:szCs w:val="18"/>
              </w:rPr>
            </w:pPr>
            <w:r>
              <w:rPr>
                <w:rFonts w:eastAsia="MS Mincho" w:cs="Arial"/>
                <w:sz w:val="18"/>
                <w:szCs w:val="18"/>
              </w:rPr>
              <w:t>d=6</w:t>
            </w:r>
          </w:p>
          <w:p w:rsidR="004B2699" w:rsidRDefault="004B2699" w:rsidP="00E6236C">
            <w:pPr>
              <w:pStyle w:val="aDSPara"/>
              <w:spacing w:before="60" w:after="60"/>
              <w:ind w:left="0"/>
              <w:jc w:val="center"/>
              <w:rPr>
                <w:rFonts w:eastAsia="MS Mincho" w:cs="Arial"/>
                <w:sz w:val="18"/>
                <w:szCs w:val="18"/>
              </w:rPr>
            </w:pPr>
            <w:r>
              <w:rPr>
                <w:rFonts w:eastAsia="MS Mincho" w:cs="Arial"/>
                <w:sz w:val="18"/>
                <w:szCs w:val="18"/>
              </w:rPr>
              <w:t>e=6</w:t>
            </w:r>
          </w:p>
        </w:tc>
        <w:tc>
          <w:tcPr>
            <w:tcW w:w="2466" w:type="pct"/>
            <w:shd w:val="clear" w:color="auto" w:fill="auto"/>
          </w:tcPr>
          <w:p w:rsidR="004B2699" w:rsidRDefault="004B2699" w:rsidP="00E6236C">
            <w:pPr>
              <w:autoSpaceDE w:val="0"/>
              <w:autoSpaceDN w:val="0"/>
              <w:adjustRightInd w:val="0"/>
              <w:spacing w:before="15" w:after="0" w:line="302" w:lineRule="exact"/>
              <w:ind w:left="14" w:right="40"/>
              <w:jc w:val="both"/>
              <w:outlineLvl w:val="9"/>
              <w:rPr>
                <w:rFonts w:eastAsiaTheme="minorEastAsia"/>
                <w:iCs w:val="0"/>
                <w:color w:val="000000"/>
                <w:w w:val="102"/>
                <w:sz w:val="18"/>
                <w:szCs w:val="18"/>
                <w:lang w:val="en-US" w:eastAsia="en-US"/>
              </w:rPr>
            </w:pPr>
            <w:r w:rsidRPr="00FC4509">
              <w:rPr>
                <w:rFonts w:eastAsiaTheme="minorEastAsia"/>
                <w:iCs w:val="0"/>
                <w:color w:val="000000"/>
                <w:w w:val="102"/>
                <w:sz w:val="18"/>
                <w:szCs w:val="18"/>
                <w:lang w:val="en-US" w:eastAsia="en-US"/>
              </w:rPr>
              <w:t>Demonstrate</w:t>
            </w:r>
            <w:r>
              <w:rPr>
                <w:rFonts w:eastAsiaTheme="minorEastAsia"/>
                <w:iCs w:val="0"/>
                <w:color w:val="000000"/>
                <w:w w:val="102"/>
                <w:sz w:val="18"/>
                <w:szCs w:val="18"/>
                <w:lang w:val="en-US" w:eastAsia="en-US"/>
              </w:rPr>
              <w:t>d</w:t>
            </w:r>
            <w:r w:rsidRPr="00FC4509">
              <w:rPr>
                <w:rFonts w:eastAsiaTheme="minorEastAsia"/>
                <w:iCs w:val="0"/>
                <w:color w:val="000000"/>
                <w:w w:val="102"/>
                <w:sz w:val="18"/>
                <w:szCs w:val="18"/>
                <w:lang w:val="en-US" w:eastAsia="en-US"/>
              </w:rPr>
              <w:t xml:space="preserve"> skills and capacity</w:t>
            </w:r>
            <w:r>
              <w:rPr>
                <w:rFonts w:eastAsiaTheme="minorEastAsia"/>
                <w:iCs w:val="0"/>
                <w:color w:val="000000"/>
                <w:w w:val="102"/>
                <w:sz w:val="18"/>
                <w:szCs w:val="18"/>
                <w:lang w:val="en-US" w:eastAsia="en-US"/>
              </w:rPr>
              <w:t xml:space="preserve"> and experience. L</w:t>
            </w:r>
            <w:r w:rsidRPr="00FC4509">
              <w:rPr>
                <w:rFonts w:eastAsiaTheme="minorEastAsia"/>
                <w:iCs w:val="0"/>
                <w:color w:val="000000"/>
                <w:w w:val="102"/>
                <w:sz w:val="18"/>
                <w:szCs w:val="18"/>
                <w:lang w:val="en-US" w:eastAsia="en-US"/>
              </w:rPr>
              <w:t>evel of relevant knowledge and experience of the proposed team</w:t>
            </w:r>
            <w:r>
              <w:rPr>
                <w:rFonts w:eastAsiaTheme="minorEastAsia"/>
                <w:iCs w:val="0"/>
                <w:color w:val="000000"/>
                <w:w w:val="102"/>
                <w:sz w:val="18"/>
                <w:szCs w:val="18"/>
                <w:lang w:val="en-US" w:eastAsia="en-US"/>
              </w:rPr>
              <w:t xml:space="preserve"> as follows:</w:t>
            </w:r>
          </w:p>
          <w:p w:rsidR="004B2699" w:rsidRDefault="004B2699" w:rsidP="00E6236C">
            <w:pPr>
              <w:autoSpaceDE w:val="0"/>
              <w:autoSpaceDN w:val="0"/>
              <w:adjustRightInd w:val="0"/>
              <w:spacing w:before="15" w:after="0" w:line="302" w:lineRule="exact"/>
              <w:ind w:left="14" w:right="40"/>
              <w:jc w:val="both"/>
              <w:outlineLvl w:val="9"/>
              <w:rPr>
                <w:rFonts w:eastAsiaTheme="minorEastAsia"/>
                <w:iCs w:val="0"/>
                <w:color w:val="000000"/>
                <w:w w:val="102"/>
                <w:sz w:val="18"/>
                <w:szCs w:val="18"/>
                <w:lang w:val="en-US" w:eastAsia="en-US"/>
              </w:rPr>
            </w:pPr>
            <w:r>
              <w:rPr>
                <w:rFonts w:eastAsiaTheme="minorEastAsia"/>
                <w:iCs w:val="0"/>
                <w:color w:val="000000"/>
                <w:w w:val="102"/>
                <w:sz w:val="18"/>
                <w:szCs w:val="18"/>
                <w:lang w:val="en-US" w:eastAsia="en-US"/>
              </w:rPr>
              <w:t>Relevant minimum qualifications and experience (more than 5 years) in</w:t>
            </w:r>
          </w:p>
          <w:p w:rsidR="004B2699" w:rsidRPr="00000590" w:rsidRDefault="004B2699" w:rsidP="00F51B54">
            <w:pPr>
              <w:pStyle w:val="ListParagraph"/>
              <w:numPr>
                <w:ilvl w:val="0"/>
                <w:numId w:val="19"/>
              </w:numPr>
              <w:autoSpaceDE w:val="0"/>
              <w:autoSpaceDN w:val="0"/>
              <w:adjustRightInd w:val="0"/>
              <w:spacing w:before="15" w:after="0" w:line="302" w:lineRule="exact"/>
              <w:ind w:right="40"/>
              <w:jc w:val="both"/>
              <w:outlineLvl w:val="9"/>
              <w:rPr>
                <w:rFonts w:eastAsiaTheme="minorEastAsia"/>
                <w:iCs w:val="0"/>
                <w:color w:val="000000"/>
                <w:w w:val="102"/>
                <w:sz w:val="18"/>
                <w:szCs w:val="18"/>
                <w:lang w:val="en-US" w:eastAsia="en-US"/>
              </w:rPr>
            </w:pPr>
            <w:r w:rsidRPr="00000590">
              <w:rPr>
                <w:rFonts w:eastAsiaTheme="minorEastAsia"/>
                <w:iCs w:val="0"/>
                <w:color w:val="000000"/>
                <w:w w:val="102"/>
                <w:sz w:val="18"/>
                <w:szCs w:val="18"/>
                <w:lang w:val="en-US" w:eastAsia="en-US"/>
              </w:rPr>
              <w:t>Intellectual Property Valuation</w:t>
            </w:r>
          </w:p>
          <w:p w:rsidR="004B2699" w:rsidRPr="00000590" w:rsidRDefault="004B2699" w:rsidP="00F51B54">
            <w:pPr>
              <w:pStyle w:val="ListParagraph"/>
              <w:numPr>
                <w:ilvl w:val="0"/>
                <w:numId w:val="19"/>
              </w:numPr>
              <w:autoSpaceDE w:val="0"/>
              <w:autoSpaceDN w:val="0"/>
              <w:adjustRightInd w:val="0"/>
              <w:spacing w:before="15" w:after="0" w:line="302" w:lineRule="exact"/>
              <w:ind w:right="40"/>
              <w:jc w:val="both"/>
              <w:outlineLvl w:val="9"/>
              <w:rPr>
                <w:rFonts w:eastAsiaTheme="minorEastAsia"/>
                <w:iCs w:val="0"/>
                <w:color w:val="000000"/>
                <w:w w:val="102"/>
                <w:sz w:val="18"/>
                <w:szCs w:val="18"/>
                <w:lang w:val="en-US" w:eastAsia="en-US"/>
              </w:rPr>
            </w:pPr>
            <w:r w:rsidRPr="00000590">
              <w:rPr>
                <w:rFonts w:eastAsiaTheme="minorEastAsia"/>
                <w:iCs w:val="0"/>
                <w:color w:val="000000"/>
                <w:w w:val="102"/>
                <w:sz w:val="18"/>
                <w:szCs w:val="18"/>
                <w:lang w:val="en-US" w:eastAsia="en-US"/>
              </w:rPr>
              <w:t>Intellectual Property Law</w:t>
            </w:r>
          </w:p>
          <w:p w:rsidR="004B2699" w:rsidRPr="00000590" w:rsidRDefault="004B2699" w:rsidP="00F51B54">
            <w:pPr>
              <w:pStyle w:val="ListParagraph"/>
              <w:numPr>
                <w:ilvl w:val="0"/>
                <w:numId w:val="19"/>
              </w:numPr>
              <w:autoSpaceDE w:val="0"/>
              <w:autoSpaceDN w:val="0"/>
              <w:adjustRightInd w:val="0"/>
              <w:spacing w:before="15" w:after="0" w:line="302" w:lineRule="exact"/>
              <w:ind w:right="40"/>
              <w:jc w:val="both"/>
              <w:outlineLvl w:val="9"/>
              <w:rPr>
                <w:rFonts w:eastAsiaTheme="minorEastAsia"/>
                <w:iCs w:val="0"/>
                <w:color w:val="000000"/>
                <w:w w:val="102"/>
                <w:sz w:val="18"/>
                <w:szCs w:val="18"/>
                <w:lang w:val="en-US" w:eastAsia="en-US"/>
              </w:rPr>
            </w:pPr>
            <w:r w:rsidRPr="00000590">
              <w:rPr>
                <w:rFonts w:eastAsiaTheme="minorEastAsia"/>
                <w:iCs w:val="0"/>
                <w:color w:val="000000"/>
                <w:w w:val="102"/>
                <w:sz w:val="18"/>
                <w:szCs w:val="18"/>
                <w:lang w:val="en-US" w:eastAsia="en-US"/>
              </w:rPr>
              <w:t>Financial Accounting</w:t>
            </w:r>
          </w:p>
          <w:p w:rsidR="004B2699" w:rsidRPr="00000590" w:rsidRDefault="004B2699" w:rsidP="00F51B54">
            <w:pPr>
              <w:pStyle w:val="ListParagraph"/>
              <w:numPr>
                <w:ilvl w:val="0"/>
                <w:numId w:val="19"/>
              </w:numPr>
              <w:autoSpaceDE w:val="0"/>
              <w:autoSpaceDN w:val="0"/>
              <w:adjustRightInd w:val="0"/>
              <w:spacing w:before="15" w:after="0" w:line="302" w:lineRule="exact"/>
              <w:ind w:right="40"/>
              <w:jc w:val="both"/>
              <w:outlineLvl w:val="9"/>
              <w:rPr>
                <w:rFonts w:eastAsiaTheme="minorEastAsia"/>
                <w:iCs w:val="0"/>
                <w:color w:val="000000"/>
                <w:w w:val="102"/>
                <w:sz w:val="18"/>
                <w:szCs w:val="18"/>
                <w:lang w:val="en-US" w:eastAsia="en-US"/>
              </w:rPr>
            </w:pPr>
            <w:r w:rsidRPr="00000590">
              <w:rPr>
                <w:rFonts w:eastAsiaTheme="minorEastAsia"/>
                <w:iCs w:val="0"/>
                <w:color w:val="000000"/>
                <w:w w:val="102"/>
                <w:sz w:val="18"/>
                <w:szCs w:val="18"/>
                <w:lang w:val="en-US" w:eastAsia="en-US"/>
              </w:rPr>
              <w:t>Information Technology</w:t>
            </w:r>
          </w:p>
          <w:p w:rsidR="004B2699" w:rsidRPr="00000590" w:rsidRDefault="004B2699" w:rsidP="00F51B54">
            <w:pPr>
              <w:pStyle w:val="ListParagraph"/>
              <w:numPr>
                <w:ilvl w:val="0"/>
                <w:numId w:val="19"/>
              </w:numPr>
              <w:autoSpaceDE w:val="0"/>
              <w:autoSpaceDN w:val="0"/>
              <w:adjustRightInd w:val="0"/>
              <w:spacing w:before="15" w:after="0" w:line="302" w:lineRule="exact"/>
              <w:ind w:right="40"/>
              <w:jc w:val="both"/>
              <w:outlineLvl w:val="9"/>
              <w:rPr>
                <w:rFonts w:eastAsiaTheme="minorEastAsia"/>
                <w:iCs w:val="0"/>
                <w:color w:val="000000"/>
                <w:w w:val="102"/>
                <w:sz w:val="18"/>
                <w:szCs w:val="18"/>
                <w:lang w:val="en-US" w:eastAsia="en-US"/>
              </w:rPr>
            </w:pPr>
            <w:r w:rsidRPr="00000590">
              <w:rPr>
                <w:rFonts w:eastAsiaTheme="minorEastAsia"/>
                <w:iCs w:val="0"/>
                <w:color w:val="000000"/>
                <w:w w:val="102"/>
                <w:sz w:val="18"/>
                <w:szCs w:val="18"/>
                <w:lang w:val="en-US" w:eastAsia="en-US"/>
              </w:rPr>
              <w:t>Human Resources</w:t>
            </w:r>
          </w:p>
          <w:p w:rsidR="004B2699" w:rsidRPr="00FC4509" w:rsidRDefault="004B2699" w:rsidP="00E6236C">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FC4509">
              <w:rPr>
                <w:rFonts w:eastAsiaTheme="minorEastAsia"/>
                <w:iCs w:val="0"/>
                <w:color w:val="000000"/>
                <w:w w:val="102"/>
                <w:sz w:val="18"/>
                <w:szCs w:val="18"/>
                <w:lang w:val="en-US" w:eastAsia="en-US"/>
              </w:rPr>
              <w:t xml:space="preserve"> </w:t>
            </w:r>
            <w:r>
              <w:rPr>
                <w:rFonts w:eastAsiaTheme="minorEastAsia"/>
                <w:iCs w:val="0"/>
                <w:color w:val="000000"/>
                <w:w w:val="102"/>
                <w:sz w:val="18"/>
                <w:szCs w:val="18"/>
                <w:lang w:val="en-US" w:eastAsia="en-US"/>
              </w:rPr>
              <w:t xml:space="preserve"> (CV’s and Qualifications for team leaders for a-e.)</w:t>
            </w:r>
          </w:p>
          <w:p w:rsidR="004B2699" w:rsidRPr="000965E7" w:rsidRDefault="004B2699" w:rsidP="00E6236C">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p>
        </w:tc>
      </w:tr>
      <w:tr w:rsidR="004B2699" w:rsidRPr="00A8791F" w:rsidTr="00E6236C">
        <w:trPr>
          <w:cantSplit/>
          <w:trHeight w:val="180"/>
        </w:trPr>
        <w:tc>
          <w:tcPr>
            <w:tcW w:w="334" w:type="pct"/>
            <w:shd w:val="clear" w:color="auto" w:fill="auto"/>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4</w:t>
            </w:r>
          </w:p>
        </w:tc>
        <w:tc>
          <w:tcPr>
            <w:tcW w:w="1300" w:type="pct"/>
            <w:shd w:val="clear" w:color="auto" w:fill="auto"/>
          </w:tcPr>
          <w:p w:rsidR="004B2699" w:rsidRPr="00FC4509" w:rsidRDefault="004B2699" w:rsidP="00E6236C">
            <w:pPr>
              <w:pStyle w:val="aDSPara"/>
              <w:spacing w:before="60" w:after="60"/>
              <w:ind w:left="0"/>
              <w:jc w:val="left"/>
              <w:rPr>
                <w:rFonts w:eastAsiaTheme="minorEastAsia" w:cs="Arial"/>
                <w:b/>
                <w:color w:val="000000"/>
                <w:w w:val="102"/>
                <w:sz w:val="18"/>
                <w:szCs w:val="18"/>
                <w:lang w:val="en-US"/>
              </w:rPr>
            </w:pPr>
            <w:r>
              <w:rPr>
                <w:rFonts w:eastAsiaTheme="minorEastAsia" w:cs="Arial"/>
                <w:b/>
                <w:color w:val="000000"/>
                <w:w w:val="102"/>
                <w:sz w:val="18"/>
                <w:szCs w:val="18"/>
                <w:lang w:val="en-US"/>
              </w:rPr>
              <w:t>Approach</w:t>
            </w:r>
            <w:r w:rsidR="00E5165A">
              <w:rPr>
                <w:rFonts w:eastAsiaTheme="minorEastAsia" w:cs="Arial"/>
                <w:b/>
                <w:color w:val="000000"/>
                <w:w w:val="102"/>
                <w:sz w:val="18"/>
                <w:szCs w:val="18"/>
                <w:lang w:val="en-US"/>
              </w:rPr>
              <w:t xml:space="preserve"> (Project plan)</w:t>
            </w:r>
          </w:p>
          <w:p w:rsidR="004B2699" w:rsidRPr="00A8791F" w:rsidRDefault="004B2699" w:rsidP="00F2669A">
            <w:pPr>
              <w:pStyle w:val="aDSPara"/>
              <w:spacing w:before="60" w:after="60"/>
              <w:ind w:left="0"/>
              <w:jc w:val="left"/>
              <w:rPr>
                <w:rFonts w:eastAsia="MS Mincho" w:cs="Arial"/>
                <w:sz w:val="18"/>
                <w:szCs w:val="18"/>
              </w:rPr>
            </w:pPr>
            <w:r>
              <w:rPr>
                <w:rFonts w:eastAsiaTheme="minorEastAsia" w:cs="Arial"/>
                <w:color w:val="000000"/>
                <w:w w:val="102"/>
                <w:sz w:val="18"/>
                <w:szCs w:val="18"/>
                <w:lang w:val="en-US"/>
              </w:rPr>
              <w:t xml:space="preserve">Structured response to completing the </w:t>
            </w:r>
            <w:r w:rsidR="00F2669A">
              <w:rPr>
                <w:rFonts w:eastAsiaTheme="minorEastAsia" w:cs="Arial"/>
                <w:color w:val="000000"/>
                <w:w w:val="102"/>
                <w:sz w:val="18"/>
                <w:szCs w:val="18"/>
                <w:lang w:val="en-US"/>
              </w:rPr>
              <w:t>review of the Due Diligence Report</w:t>
            </w:r>
          </w:p>
        </w:tc>
        <w:tc>
          <w:tcPr>
            <w:tcW w:w="464" w:type="pct"/>
            <w:shd w:val="clear" w:color="auto" w:fill="auto"/>
            <w:vAlign w:val="center"/>
          </w:tcPr>
          <w:p w:rsidR="004B2699" w:rsidRPr="00A8791F" w:rsidRDefault="004B2699" w:rsidP="00E6236C">
            <w:pPr>
              <w:pStyle w:val="aDSPara"/>
              <w:spacing w:before="60" w:after="60"/>
              <w:ind w:left="0"/>
              <w:jc w:val="center"/>
              <w:rPr>
                <w:rFonts w:eastAsia="MS Mincho" w:cs="Arial"/>
                <w:sz w:val="18"/>
                <w:szCs w:val="18"/>
              </w:rPr>
            </w:pPr>
            <w:r>
              <w:rPr>
                <w:rFonts w:eastAsia="MS Mincho" w:cs="Arial"/>
                <w:sz w:val="18"/>
                <w:szCs w:val="18"/>
              </w:rPr>
              <w:t>20</w:t>
            </w:r>
          </w:p>
        </w:tc>
        <w:tc>
          <w:tcPr>
            <w:tcW w:w="436" w:type="pct"/>
            <w:shd w:val="clear" w:color="auto" w:fill="auto"/>
            <w:vAlign w:val="center"/>
          </w:tcPr>
          <w:p w:rsidR="00E5165A" w:rsidRDefault="00E5165A" w:rsidP="00E5165A">
            <w:pPr>
              <w:pStyle w:val="aDSPara"/>
              <w:spacing w:before="60" w:after="60"/>
              <w:ind w:left="0"/>
              <w:jc w:val="center"/>
              <w:rPr>
                <w:rFonts w:eastAsia="MS Mincho" w:cs="Arial"/>
                <w:sz w:val="18"/>
                <w:szCs w:val="18"/>
              </w:rPr>
            </w:pPr>
            <w:r>
              <w:rPr>
                <w:rFonts w:eastAsia="MS Mincho" w:cs="Arial"/>
                <w:sz w:val="18"/>
                <w:szCs w:val="18"/>
              </w:rPr>
              <w:t>a=20</w:t>
            </w:r>
          </w:p>
          <w:p w:rsidR="00E5165A" w:rsidRDefault="00E5165A" w:rsidP="00E5165A">
            <w:pPr>
              <w:pStyle w:val="aDSPara"/>
              <w:spacing w:before="60" w:after="60"/>
              <w:ind w:left="0"/>
              <w:jc w:val="center"/>
              <w:rPr>
                <w:rFonts w:eastAsia="MS Mincho" w:cs="Arial"/>
                <w:sz w:val="18"/>
                <w:szCs w:val="18"/>
              </w:rPr>
            </w:pPr>
            <w:r>
              <w:rPr>
                <w:rFonts w:eastAsia="MS Mincho" w:cs="Arial"/>
                <w:sz w:val="18"/>
                <w:szCs w:val="18"/>
              </w:rPr>
              <w:t>b=15</w:t>
            </w:r>
          </w:p>
          <w:p w:rsidR="00E5165A" w:rsidRDefault="00E5165A" w:rsidP="00E5165A">
            <w:pPr>
              <w:pStyle w:val="aDSPara"/>
              <w:spacing w:before="60" w:after="60"/>
              <w:ind w:left="0"/>
              <w:jc w:val="center"/>
              <w:rPr>
                <w:rFonts w:eastAsia="MS Mincho" w:cs="Arial"/>
                <w:sz w:val="18"/>
                <w:szCs w:val="18"/>
              </w:rPr>
            </w:pPr>
            <w:r>
              <w:rPr>
                <w:rFonts w:eastAsia="MS Mincho" w:cs="Arial"/>
                <w:sz w:val="18"/>
                <w:szCs w:val="18"/>
              </w:rPr>
              <w:t>c=10</w:t>
            </w:r>
          </w:p>
          <w:p w:rsidR="00E5165A" w:rsidRDefault="00E5165A" w:rsidP="00E5165A">
            <w:pPr>
              <w:pStyle w:val="aDSPara"/>
              <w:spacing w:before="60" w:after="60"/>
              <w:ind w:left="0"/>
              <w:jc w:val="center"/>
              <w:rPr>
                <w:rFonts w:eastAsia="MS Mincho" w:cs="Arial"/>
                <w:sz w:val="18"/>
                <w:szCs w:val="18"/>
              </w:rPr>
            </w:pPr>
            <w:r>
              <w:rPr>
                <w:rFonts w:eastAsia="MS Mincho" w:cs="Arial"/>
                <w:sz w:val="18"/>
                <w:szCs w:val="18"/>
              </w:rPr>
              <w:t>d=5</w:t>
            </w:r>
          </w:p>
          <w:p w:rsidR="004B2699" w:rsidRDefault="00E5165A" w:rsidP="00E5165A">
            <w:pPr>
              <w:pStyle w:val="aDSPara"/>
              <w:spacing w:before="60" w:after="60"/>
              <w:ind w:left="0"/>
              <w:jc w:val="center"/>
              <w:rPr>
                <w:rFonts w:eastAsia="MS Mincho" w:cs="Arial"/>
                <w:sz w:val="18"/>
                <w:szCs w:val="18"/>
              </w:rPr>
            </w:pPr>
            <w:r w:rsidRPr="002A6115">
              <w:rPr>
                <w:rFonts w:eastAsia="MS Mincho" w:cs="Arial"/>
                <w:sz w:val="18"/>
                <w:szCs w:val="18"/>
              </w:rPr>
              <w:t>e=</w:t>
            </w:r>
            <w:r>
              <w:rPr>
                <w:rFonts w:eastAsia="MS Mincho" w:cs="Arial"/>
                <w:sz w:val="18"/>
                <w:szCs w:val="18"/>
              </w:rPr>
              <w:t>0</w:t>
            </w:r>
          </w:p>
        </w:tc>
        <w:tc>
          <w:tcPr>
            <w:tcW w:w="2466" w:type="pct"/>
            <w:shd w:val="clear" w:color="auto" w:fill="auto"/>
          </w:tcPr>
          <w:p w:rsidR="00E5165A" w:rsidRPr="00E5165A" w:rsidRDefault="004B2699" w:rsidP="00E5165A">
            <w:pPr>
              <w:pStyle w:val="ListParagraph"/>
              <w:ind w:left="511" w:right="-20"/>
              <w:rPr>
                <w:rFonts w:eastAsia="Arial"/>
                <w:bCs/>
                <w:spacing w:val="1"/>
                <w:szCs w:val="24"/>
              </w:rPr>
            </w:pPr>
            <w:r>
              <w:rPr>
                <w:rFonts w:eastAsiaTheme="minorEastAsia"/>
                <w:iCs w:val="0"/>
                <w:color w:val="000000"/>
                <w:w w:val="104"/>
                <w:sz w:val="18"/>
                <w:szCs w:val="18"/>
                <w:lang w:val="en-US" w:eastAsia="en-US"/>
              </w:rPr>
              <w:t>To be included in the approach:</w:t>
            </w:r>
          </w:p>
          <w:p w:rsidR="00E5165A" w:rsidRDefault="00E5165A" w:rsidP="00E5165A">
            <w:pPr>
              <w:pStyle w:val="ListParagraph"/>
              <w:ind w:left="511" w:right="-20"/>
              <w:rPr>
                <w:rFonts w:eastAsia="Arial"/>
                <w:bCs/>
                <w:spacing w:val="1"/>
                <w:szCs w:val="24"/>
              </w:rPr>
            </w:pPr>
            <w:r w:rsidRPr="002C49FF">
              <w:rPr>
                <w:rFonts w:eastAsia="Arial"/>
                <w:bCs/>
                <w:spacing w:val="1"/>
                <w:szCs w:val="24"/>
              </w:rPr>
              <w:t xml:space="preserve"> </w:t>
            </w:r>
          </w:p>
          <w:p w:rsidR="00E5165A" w:rsidRPr="00E5165A" w:rsidRDefault="00E5165A" w:rsidP="00E5165A">
            <w:pPr>
              <w:pStyle w:val="ListParagraph"/>
              <w:numPr>
                <w:ilvl w:val="0"/>
                <w:numId w:val="34"/>
              </w:numPr>
              <w:ind w:right="-20"/>
              <w:rPr>
                <w:rFonts w:eastAsia="Arial"/>
                <w:bCs/>
                <w:spacing w:val="1"/>
                <w:sz w:val="18"/>
                <w:szCs w:val="24"/>
              </w:rPr>
            </w:pPr>
            <w:r w:rsidRPr="00E5165A">
              <w:rPr>
                <w:rFonts w:eastAsia="Arial"/>
                <w:bCs/>
                <w:spacing w:val="1"/>
                <w:sz w:val="18"/>
                <w:szCs w:val="24"/>
              </w:rPr>
              <w:t>Project plan with detailed activities, milestones, timeframes, and resources = 20 points</w:t>
            </w:r>
          </w:p>
          <w:p w:rsidR="00E5165A" w:rsidRPr="00E5165A" w:rsidRDefault="00E5165A" w:rsidP="00E5165A">
            <w:pPr>
              <w:pStyle w:val="ListParagraph"/>
              <w:numPr>
                <w:ilvl w:val="0"/>
                <w:numId w:val="34"/>
              </w:numPr>
              <w:ind w:right="-20"/>
              <w:rPr>
                <w:rFonts w:eastAsia="Arial"/>
                <w:bCs/>
                <w:spacing w:val="1"/>
                <w:sz w:val="18"/>
                <w:szCs w:val="24"/>
              </w:rPr>
            </w:pPr>
            <w:r w:rsidRPr="00E5165A">
              <w:rPr>
                <w:rFonts w:eastAsia="Arial"/>
                <w:bCs/>
                <w:spacing w:val="1"/>
                <w:sz w:val="18"/>
                <w:szCs w:val="24"/>
              </w:rPr>
              <w:t>Project plan with detailed activities, timeframes, and milestones = 15 points</w:t>
            </w:r>
          </w:p>
          <w:p w:rsidR="00E5165A" w:rsidRPr="00E5165A" w:rsidRDefault="00E5165A" w:rsidP="00E5165A">
            <w:pPr>
              <w:pStyle w:val="ListParagraph"/>
              <w:numPr>
                <w:ilvl w:val="0"/>
                <w:numId w:val="34"/>
              </w:numPr>
              <w:ind w:right="-20"/>
              <w:rPr>
                <w:rFonts w:eastAsia="Arial"/>
                <w:spacing w:val="1"/>
                <w:sz w:val="18"/>
                <w:szCs w:val="24"/>
              </w:rPr>
            </w:pPr>
            <w:r w:rsidRPr="00E5165A">
              <w:rPr>
                <w:rFonts w:eastAsia="Arial"/>
                <w:spacing w:val="1"/>
                <w:sz w:val="18"/>
                <w:szCs w:val="24"/>
              </w:rPr>
              <w:t>Project plan with activities, timeframes, and milestones = 10 points</w:t>
            </w:r>
          </w:p>
          <w:p w:rsidR="00E5165A" w:rsidRPr="00E5165A" w:rsidRDefault="00E5165A" w:rsidP="00E5165A">
            <w:pPr>
              <w:pStyle w:val="ListParagraph"/>
              <w:numPr>
                <w:ilvl w:val="0"/>
                <w:numId w:val="34"/>
              </w:numPr>
              <w:ind w:right="-20"/>
              <w:rPr>
                <w:rFonts w:eastAsia="Arial"/>
                <w:bCs/>
                <w:spacing w:val="1"/>
                <w:sz w:val="18"/>
                <w:szCs w:val="24"/>
              </w:rPr>
            </w:pPr>
            <w:r w:rsidRPr="00E5165A">
              <w:rPr>
                <w:rFonts w:eastAsia="Arial"/>
                <w:bCs/>
                <w:spacing w:val="1"/>
                <w:sz w:val="18"/>
                <w:szCs w:val="24"/>
              </w:rPr>
              <w:t xml:space="preserve">Project plan with activities only = 5 points </w:t>
            </w:r>
          </w:p>
          <w:p w:rsidR="00E5165A" w:rsidRPr="00E5165A" w:rsidRDefault="00E5165A" w:rsidP="00E5165A">
            <w:pPr>
              <w:pStyle w:val="ListParagraph"/>
              <w:numPr>
                <w:ilvl w:val="0"/>
                <w:numId w:val="34"/>
              </w:numPr>
              <w:ind w:right="-20"/>
              <w:rPr>
                <w:rFonts w:eastAsia="Arial"/>
                <w:bCs/>
                <w:spacing w:val="1"/>
                <w:sz w:val="18"/>
                <w:szCs w:val="24"/>
              </w:rPr>
            </w:pPr>
            <w:r w:rsidRPr="00E5165A">
              <w:rPr>
                <w:rFonts w:eastAsia="Arial"/>
                <w:bCs/>
                <w:spacing w:val="1"/>
                <w:sz w:val="18"/>
                <w:szCs w:val="24"/>
              </w:rPr>
              <w:t>No project plan attached = 0</w:t>
            </w:r>
          </w:p>
          <w:p w:rsidR="004B2699" w:rsidRPr="002A6115" w:rsidRDefault="008E203F" w:rsidP="002A6115">
            <w:pPr>
              <w:autoSpaceDE w:val="0"/>
              <w:autoSpaceDN w:val="0"/>
              <w:adjustRightInd w:val="0"/>
              <w:spacing w:before="15" w:after="0" w:line="302" w:lineRule="exact"/>
              <w:ind w:left="374" w:right="40"/>
              <w:jc w:val="both"/>
              <w:outlineLvl w:val="9"/>
              <w:rPr>
                <w:rFonts w:eastAsiaTheme="minorEastAsia"/>
                <w:iCs w:val="0"/>
                <w:color w:val="000000"/>
                <w:w w:val="104"/>
                <w:sz w:val="18"/>
                <w:szCs w:val="18"/>
                <w:lang w:val="en-US" w:eastAsia="en-US"/>
              </w:rPr>
            </w:pPr>
            <w:r w:rsidRPr="00CF3C69" w:rsidDel="008E203F">
              <w:rPr>
                <w:rFonts w:eastAsiaTheme="minorEastAsia"/>
                <w:iCs w:val="0"/>
                <w:color w:val="000000"/>
                <w:w w:val="104"/>
                <w:sz w:val="18"/>
                <w:szCs w:val="18"/>
                <w:lang w:val="en-US" w:eastAsia="en-US"/>
              </w:rPr>
              <w:t xml:space="preserve"> </w:t>
            </w:r>
          </w:p>
        </w:tc>
      </w:tr>
      <w:tr w:rsidR="004B2699" w:rsidRPr="008657E0" w:rsidTr="00E6236C">
        <w:trPr>
          <w:cantSplit/>
          <w:trHeight w:val="180"/>
        </w:trPr>
        <w:tc>
          <w:tcPr>
            <w:tcW w:w="1633" w:type="pct"/>
            <w:gridSpan w:val="2"/>
            <w:shd w:val="clear" w:color="auto" w:fill="auto"/>
          </w:tcPr>
          <w:p w:rsidR="004B2699" w:rsidRPr="00A8791F" w:rsidRDefault="004B2699" w:rsidP="00E6236C">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64" w:type="pct"/>
            <w:shd w:val="clear" w:color="auto" w:fill="auto"/>
          </w:tcPr>
          <w:p w:rsidR="004B2699" w:rsidRPr="00921A4D" w:rsidRDefault="004B2699" w:rsidP="00E6236C">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36" w:type="pct"/>
            <w:shd w:val="clear" w:color="auto" w:fill="auto"/>
          </w:tcPr>
          <w:p w:rsidR="004B2699" w:rsidRPr="00921A4D" w:rsidRDefault="004B2699" w:rsidP="00E6236C">
            <w:pPr>
              <w:pStyle w:val="aDSPara"/>
              <w:spacing w:before="60" w:after="60"/>
              <w:ind w:left="0"/>
              <w:jc w:val="center"/>
              <w:rPr>
                <w:rFonts w:eastAsia="MS Mincho" w:cs="Arial"/>
                <w:b/>
                <w:sz w:val="18"/>
                <w:szCs w:val="18"/>
              </w:rPr>
            </w:pPr>
          </w:p>
        </w:tc>
        <w:tc>
          <w:tcPr>
            <w:tcW w:w="2466" w:type="pct"/>
            <w:shd w:val="clear" w:color="auto" w:fill="auto"/>
          </w:tcPr>
          <w:p w:rsidR="004B2699" w:rsidRPr="00921A4D" w:rsidRDefault="004B2699" w:rsidP="00E6236C">
            <w:pPr>
              <w:pStyle w:val="aDSPara"/>
              <w:spacing w:before="60" w:after="60"/>
              <w:ind w:left="0"/>
              <w:jc w:val="left"/>
              <w:rPr>
                <w:rFonts w:eastAsia="MS Mincho" w:cs="Arial"/>
                <w:b/>
                <w:sz w:val="18"/>
                <w:szCs w:val="18"/>
              </w:rPr>
            </w:pPr>
          </w:p>
        </w:tc>
      </w:tr>
    </w:tbl>
    <w:p w:rsidR="008753D1" w:rsidRPr="000A4366" w:rsidRDefault="008753D1" w:rsidP="0030524C">
      <w:pPr>
        <w:rPr>
          <w:b/>
          <w:sz w:val="20"/>
        </w:rPr>
      </w:pPr>
    </w:p>
    <w:p w:rsidR="00E07922" w:rsidRPr="000A4366" w:rsidRDefault="00264F10" w:rsidP="0030524C">
      <w:pPr>
        <w:rPr>
          <w:b/>
          <w:sz w:val="20"/>
        </w:rPr>
      </w:pPr>
      <w:r w:rsidRPr="000A4366">
        <w:rPr>
          <w:b/>
          <w:sz w:val="20"/>
        </w:rPr>
        <w:t>Note: Bidders that score &lt;80 out of a 100 in respect of Technical / Functional Evaluation Criteria will be regarded as submitting a non-responsive bid and will not be evaluated further.</w:t>
      </w:r>
    </w:p>
    <w:p w:rsidR="008753D1" w:rsidRPr="000A4366" w:rsidRDefault="008753D1" w:rsidP="008753D1">
      <w:pPr>
        <w:pStyle w:val="1Paragraph"/>
      </w:pPr>
    </w:p>
    <w:p w:rsidR="00970B35" w:rsidRDefault="00970B35" w:rsidP="00970B35">
      <w:pPr>
        <w:pStyle w:val="Index3"/>
        <w:spacing w:line="276" w:lineRule="auto"/>
      </w:pPr>
      <w:bookmarkStart w:id="29" w:name="_Toc98148035"/>
      <w:r>
        <w:t>Tenders to be evaluated on functionality (Specific goals and Price Evaluation Criteria)</w:t>
      </w:r>
      <w:bookmarkEnd w:id="29"/>
    </w:p>
    <w:p w:rsidR="00970B35" w:rsidRPr="00970B35" w:rsidRDefault="00970B35" w:rsidP="00970B35">
      <w:pPr>
        <w:pStyle w:val="Index4"/>
        <w:numPr>
          <w:ilvl w:val="3"/>
          <w:numId w:val="12"/>
        </w:numPr>
        <w:rPr>
          <w:color w:val="000000" w:themeColor="text1"/>
        </w:rPr>
      </w:pPr>
      <w:r w:rsidRPr="00970B35">
        <w:rPr>
          <w:color w:val="000000" w:themeColor="text1"/>
        </w:rPr>
        <w:t>The following formula must be used to calculate the points out of 80 for price in respect of a tender with a Rand value equal to or above R30 000 and up to a Rand value of R50 million, inclusive of all applicable taxes:</w:t>
      </w:r>
    </w:p>
    <w:p w:rsidR="00970B35" w:rsidRPr="00970B35" w:rsidRDefault="006A740A" w:rsidP="00970B35">
      <w:pPr>
        <w:ind w:left="851"/>
        <w:rPr>
          <w:color w:val="000000" w:themeColor="text1"/>
        </w:rPr>
      </w:pPr>
      <m:oMath>
        <m:func>
          <m:funcPr>
            <m:ctrlPr>
              <w:rPr>
                <w:rFonts w:ascii="Cambria Math" w:hAnsi="Cambria Math"/>
                <w:i/>
                <w:color w:val="000000" w:themeColor="text1"/>
              </w:rPr>
            </m:ctrlPr>
          </m:funcPr>
          <m:fName>
            <m:limLow>
              <m:limLowPr>
                <m:ctrlPr>
                  <w:rPr>
                    <w:rFonts w:ascii="Cambria Math" w:hAnsi="Cambria Math"/>
                    <w:i/>
                    <w:color w:val="000000" w:themeColor="text1"/>
                  </w:rPr>
                </m:ctrlPr>
              </m:limLowPr>
              <m:e>
                <m:r>
                  <m:rPr>
                    <m:sty m:val="p"/>
                  </m:rPr>
                  <w:rPr>
                    <w:rFonts w:ascii="Cambria Math" w:hAnsi="Cambria Math"/>
                    <w:color w:val="000000" w:themeColor="text1"/>
                  </w:rPr>
                  <m:t>Ps=80</m:t>
                </m:r>
                <m:ctrlPr>
                  <w:rPr>
                    <w:rFonts w:ascii="Cambria Math" w:hAnsi="Cambria Math"/>
                    <w:color w:val="000000" w:themeColor="text1"/>
                  </w:rPr>
                </m:ctrlPr>
              </m:e>
              <m:lim>
                <m:ctrlPr>
                  <w:rPr>
                    <w:rFonts w:ascii="Cambria Math" w:hAnsi="Cambria Math"/>
                    <w:color w:val="000000" w:themeColor="text1"/>
                  </w:rPr>
                </m:ctrlPr>
              </m:lim>
            </m:limLow>
          </m:fName>
          <m:e>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Pt-Pmin</m:t>
                        </m:r>
                      </m:num>
                      <m:den>
                        <m:r>
                          <w:rPr>
                            <w:rFonts w:ascii="Cambria Math" w:hAnsi="Cambria Math"/>
                            <w:color w:val="000000" w:themeColor="text1"/>
                          </w:rPr>
                          <m:t>Pmin</m:t>
                        </m:r>
                      </m:den>
                    </m:f>
                  </m:e>
                </m:d>
                <m:ctrlPr>
                  <w:rPr>
                    <w:rFonts w:ascii="Cambria Math" w:hAnsi="Cambria Math" w:cs="Cambria Math"/>
                    <w:i/>
                    <w:color w:val="000000" w:themeColor="text1"/>
                  </w:rPr>
                </m:ctrlPr>
              </m:e>
              <m:sup/>
            </m:sSup>
          </m:e>
        </m:func>
      </m:oMath>
      <w:r w:rsidR="00970B35" w:rsidRPr="00970B35">
        <w:rPr>
          <w:color w:val="000000" w:themeColor="text1"/>
        </w:rPr>
        <w:t xml:space="preserve"> </w:t>
      </w:r>
    </w:p>
    <w:p w:rsidR="00970B35" w:rsidRPr="00970B35" w:rsidRDefault="00970B35" w:rsidP="00970B35">
      <w:pPr>
        <w:pStyle w:val="1Paragraph"/>
        <w:rPr>
          <w:color w:val="000000" w:themeColor="text1"/>
        </w:rPr>
      </w:pPr>
      <w:r w:rsidRPr="00970B35">
        <w:rPr>
          <w:color w:val="000000" w:themeColor="text1"/>
        </w:rPr>
        <w:t>Where-</w:t>
      </w:r>
    </w:p>
    <w:p w:rsidR="00970B35" w:rsidRPr="00970B35" w:rsidRDefault="00970B35" w:rsidP="00970B35">
      <w:pPr>
        <w:pStyle w:val="1Paragraph"/>
        <w:rPr>
          <w:color w:val="000000" w:themeColor="text1"/>
        </w:rPr>
      </w:pPr>
      <w:r w:rsidRPr="00970B35">
        <w:rPr>
          <w:color w:val="000000" w:themeColor="text1"/>
        </w:rPr>
        <w:t>Ps</w:t>
      </w:r>
      <w:r w:rsidRPr="00970B35">
        <w:rPr>
          <w:color w:val="000000" w:themeColor="text1"/>
        </w:rPr>
        <w:tab/>
        <w:t>=</w:t>
      </w:r>
      <w:r w:rsidRPr="00970B35">
        <w:rPr>
          <w:color w:val="000000" w:themeColor="text1"/>
        </w:rPr>
        <w:tab/>
        <w:t>Points scored for price of tender under consideration</w:t>
      </w:r>
    </w:p>
    <w:p w:rsidR="00970B35" w:rsidRPr="00970B35" w:rsidRDefault="00970B35" w:rsidP="00970B35">
      <w:pPr>
        <w:pStyle w:val="1Paragraph"/>
        <w:rPr>
          <w:color w:val="000000" w:themeColor="text1"/>
        </w:rPr>
      </w:pPr>
      <w:r w:rsidRPr="00970B35">
        <w:rPr>
          <w:color w:val="000000" w:themeColor="text1"/>
        </w:rPr>
        <w:t>Pt</w:t>
      </w:r>
      <w:r w:rsidRPr="00970B35">
        <w:rPr>
          <w:color w:val="000000" w:themeColor="text1"/>
        </w:rPr>
        <w:tab/>
        <w:t>=</w:t>
      </w:r>
      <w:r w:rsidRPr="00970B35">
        <w:rPr>
          <w:color w:val="000000" w:themeColor="text1"/>
        </w:rPr>
        <w:tab/>
        <w:t>Price of tender under consideration; and</w:t>
      </w:r>
    </w:p>
    <w:p w:rsidR="00970B35" w:rsidRPr="00970B35" w:rsidRDefault="00970B35" w:rsidP="00970B35">
      <w:pPr>
        <w:pStyle w:val="1Paragraph"/>
        <w:rPr>
          <w:color w:val="000000" w:themeColor="text1"/>
        </w:rPr>
      </w:pPr>
      <w:proofErr w:type="spellStart"/>
      <w:r w:rsidRPr="00970B35">
        <w:rPr>
          <w:color w:val="000000" w:themeColor="text1"/>
        </w:rPr>
        <w:t>Pmin</w:t>
      </w:r>
      <w:proofErr w:type="spellEnd"/>
      <w:r w:rsidRPr="00970B35">
        <w:rPr>
          <w:color w:val="000000" w:themeColor="text1"/>
        </w:rPr>
        <w:tab/>
        <w:t>=</w:t>
      </w:r>
      <w:r w:rsidRPr="00970B35">
        <w:rPr>
          <w:color w:val="000000" w:themeColor="text1"/>
        </w:rPr>
        <w:tab/>
        <w:t>Price of lowest acceptable tender.</w:t>
      </w:r>
    </w:p>
    <w:p w:rsidR="00970B35" w:rsidRPr="00970B35" w:rsidRDefault="00970B35" w:rsidP="00970B35">
      <w:pPr>
        <w:pStyle w:val="Index4"/>
        <w:numPr>
          <w:ilvl w:val="3"/>
          <w:numId w:val="12"/>
        </w:numPr>
        <w:rPr>
          <w:color w:val="000000" w:themeColor="text1"/>
        </w:rPr>
      </w:pPr>
      <w:r w:rsidRPr="00970B35">
        <w:rPr>
          <w:color w:val="000000" w:themeColor="text1"/>
        </w:rPr>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970B35" w:rsidRPr="00970B35" w:rsidTr="00970B35">
        <w:trPr>
          <w:tblHeader/>
        </w:trPr>
        <w:tc>
          <w:tcPr>
            <w:tcW w:w="4644" w:type="dxa"/>
            <w:shd w:val="clear" w:color="auto" w:fill="E7E6E6" w:themeFill="background2"/>
          </w:tcPr>
          <w:p w:rsidR="00970B35" w:rsidRPr="00970B35" w:rsidRDefault="00970B35" w:rsidP="00970B35">
            <w:pPr>
              <w:pStyle w:val="1Paragraph"/>
              <w:ind w:left="0"/>
              <w:jc w:val="center"/>
              <w:rPr>
                <w:b/>
                <w:color w:val="000000" w:themeColor="text1"/>
              </w:rPr>
            </w:pPr>
            <w:r w:rsidRPr="00970B35">
              <w:rPr>
                <w:b/>
                <w:color w:val="000000" w:themeColor="text1"/>
              </w:rPr>
              <w:lastRenderedPageBreak/>
              <w:t>Ownership</w:t>
            </w:r>
          </w:p>
        </w:tc>
        <w:tc>
          <w:tcPr>
            <w:tcW w:w="2977" w:type="dxa"/>
            <w:shd w:val="clear" w:color="auto" w:fill="E7E6E6" w:themeFill="background2"/>
          </w:tcPr>
          <w:p w:rsidR="00970B35" w:rsidRPr="00970B35" w:rsidRDefault="00970B35" w:rsidP="00970B35">
            <w:pPr>
              <w:pStyle w:val="1Paragraph"/>
              <w:ind w:left="0"/>
              <w:jc w:val="center"/>
              <w:rPr>
                <w:b/>
                <w:color w:val="000000" w:themeColor="text1"/>
              </w:rPr>
            </w:pPr>
            <w:r w:rsidRPr="00970B35">
              <w:rPr>
                <w:b/>
                <w:color w:val="000000" w:themeColor="text1"/>
              </w:rPr>
              <w:t>Number of Points</w:t>
            </w:r>
          </w:p>
        </w:tc>
      </w:tr>
      <w:tr w:rsidR="00970B35" w:rsidRPr="00970B35" w:rsidTr="00970B35">
        <w:trPr>
          <w:trHeight w:val="432"/>
        </w:trPr>
        <w:tc>
          <w:tcPr>
            <w:tcW w:w="4644" w:type="dxa"/>
          </w:tcPr>
          <w:p w:rsidR="00970B35" w:rsidRPr="00970B35" w:rsidRDefault="00970B35" w:rsidP="00970B35">
            <w:pPr>
              <w:pStyle w:val="1Paragraph"/>
              <w:ind w:left="0"/>
              <w:jc w:val="center"/>
              <w:rPr>
                <w:color w:val="000000" w:themeColor="text1"/>
              </w:rPr>
            </w:pPr>
            <w:r w:rsidRPr="00970B35">
              <w:rPr>
                <w:color w:val="000000" w:themeColor="text1"/>
              </w:rPr>
              <w:t>100% black ownership</w:t>
            </w:r>
          </w:p>
        </w:tc>
        <w:tc>
          <w:tcPr>
            <w:tcW w:w="2977" w:type="dxa"/>
          </w:tcPr>
          <w:p w:rsidR="00970B35" w:rsidRPr="00970B35" w:rsidRDefault="00970B35" w:rsidP="00970B35">
            <w:pPr>
              <w:pStyle w:val="1Paragraph"/>
              <w:ind w:left="0"/>
              <w:jc w:val="center"/>
              <w:rPr>
                <w:color w:val="000000" w:themeColor="text1"/>
              </w:rPr>
            </w:pPr>
            <w:r w:rsidRPr="00970B35">
              <w:rPr>
                <w:color w:val="000000" w:themeColor="text1"/>
              </w:rPr>
              <w:t>20</w:t>
            </w:r>
          </w:p>
        </w:tc>
      </w:tr>
      <w:tr w:rsidR="00970B35" w:rsidRPr="00970B35" w:rsidTr="00970B35">
        <w:trPr>
          <w:trHeight w:val="432"/>
        </w:trPr>
        <w:tc>
          <w:tcPr>
            <w:tcW w:w="4644" w:type="dxa"/>
          </w:tcPr>
          <w:p w:rsidR="00970B35" w:rsidRPr="00970B35" w:rsidRDefault="00970B35" w:rsidP="00970B35">
            <w:pPr>
              <w:pStyle w:val="1Paragraph"/>
              <w:ind w:left="0"/>
              <w:jc w:val="center"/>
              <w:rPr>
                <w:color w:val="000000" w:themeColor="text1"/>
              </w:rPr>
            </w:pPr>
            <w:r w:rsidRPr="00970B35">
              <w:rPr>
                <w:color w:val="000000" w:themeColor="text1"/>
              </w:rPr>
              <w:t>At least more than 51% black ownership</w:t>
            </w:r>
          </w:p>
        </w:tc>
        <w:tc>
          <w:tcPr>
            <w:tcW w:w="2977" w:type="dxa"/>
          </w:tcPr>
          <w:p w:rsidR="00970B35" w:rsidRPr="00970B35" w:rsidRDefault="00970B35" w:rsidP="00970B35">
            <w:pPr>
              <w:pStyle w:val="1Paragraph"/>
              <w:ind w:left="0"/>
              <w:jc w:val="center"/>
              <w:rPr>
                <w:color w:val="000000" w:themeColor="text1"/>
              </w:rPr>
            </w:pPr>
            <w:r w:rsidRPr="00970B35">
              <w:rPr>
                <w:color w:val="000000" w:themeColor="text1"/>
              </w:rPr>
              <w:t>15</w:t>
            </w:r>
          </w:p>
        </w:tc>
      </w:tr>
      <w:tr w:rsidR="00970B35" w:rsidRPr="00970B35" w:rsidTr="00970B35">
        <w:trPr>
          <w:trHeight w:val="432"/>
        </w:trPr>
        <w:tc>
          <w:tcPr>
            <w:tcW w:w="4644" w:type="dxa"/>
          </w:tcPr>
          <w:p w:rsidR="00970B35" w:rsidRPr="00970B35" w:rsidRDefault="00970B35" w:rsidP="00970B35">
            <w:pPr>
              <w:pStyle w:val="1Paragraph"/>
              <w:ind w:left="0"/>
              <w:jc w:val="center"/>
              <w:rPr>
                <w:color w:val="000000" w:themeColor="text1"/>
              </w:rPr>
            </w:pPr>
            <w:r w:rsidRPr="00970B35">
              <w:rPr>
                <w:color w:val="000000" w:themeColor="text1"/>
              </w:rPr>
              <w:t>Less than 51 % black owned but more than 40% black ownership.</w:t>
            </w:r>
          </w:p>
        </w:tc>
        <w:tc>
          <w:tcPr>
            <w:tcW w:w="2977" w:type="dxa"/>
          </w:tcPr>
          <w:p w:rsidR="00970B35" w:rsidRPr="00970B35" w:rsidRDefault="00970B35" w:rsidP="00970B35">
            <w:pPr>
              <w:pStyle w:val="1Paragraph"/>
              <w:ind w:left="0"/>
              <w:jc w:val="center"/>
              <w:rPr>
                <w:color w:val="000000" w:themeColor="text1"/>
              </w:rPr>
            </w:pPr>
            <w:r w:rsidRPr="00970B35">
              <w:rPr>
                <w:color w:val="000000" w:themeColor="text1"/>
              </w:rPr>
              <w:t>10</w:t>
            </w:r>
          </w:p>
        </w:tc>
      </w:tr>
      <w:tr w:rsidR="00970B35" w:rsidRPr="00970B35" w:rsidTr="00970B35">
        <w:trPr>
          <w:trHeight w:val="432"/>
        </w:trPr>
        <w:tc>
          <w:tcPr>
            <w:tcW w:w="4644" w:type="dxa"/>
          </w:tcPr>
          <w:p w:rsidR="00970B35" w:rsidRPr="00970B35" w:rsidRDefault="00970B35" w:rsidP="00970B35">
            <w:pPr>
              <w:pStyle w:val="1Paragraph"/>
              <w:ind w:left="0"/>
              <w:jc w:val="center"/>
              <w:rPr>
                <w:color w:val="000000" w:themeColor="text1"/>
              </w:rPr>
            </w:pPr>
            <w:r w:rsidRPr="00970B35">
              <w:rPr>
                <w:color w:val="000000" w:themeColor="text1"/>
              </w:rPr>
              <w:t>Less than 40% black ownership and more than 0% black ownership.</w:t>
            </w:r>
          </w:p>
        </w:tc>
        <w:tc>
          <w:tcPr>
            <w:tcW w:w="2977" w:type="dxa"/>
          </w:tcPr>
          <w:p w:rsidR="00970B35" w:rsidRPr="00970B35" w:rsidRDefault="00970B35" w:rsidP="00970B35">
            <w:pPr>
              <w:pStyle w:val="1Paragraph"/>
              <w:ind w:left="0"/>
              <w:jc w:val="center"/>
              <w:rPr>
                <w:color w:val="000000" w:themeColor="text1"/>
              </w:rPr>
            </w:pPr>
            <w:r w:rsidRPr="00970B35">
              <w:rPr>
                <w:color w:val="000000" w:themeColor="text1"/>
              </w:rPr>
              <w:t>05</w:t>
            </w:r>
          </w:p>
        </w:tc>
      </w:tr>
      <w:tr w:rsidR="00970B35" w:rsidRPr="00970B35" w:rsidTr="00970B35">
        <w:trPr>
          <w:trHeight w:val="432"/>
        </w:trPr>
        <w:tc>
          <w:tcPr>
            <w:tcW w:w="4644" w:type="dxa"/>
          </w:tcPr>
          <w:p w:rsidR="00970B35" w:rsidRPr="00970B35" w:rsidRDefault="00970B35" w:rsidP="00970B35">
            <w:pPr>
              <w:pStyle w:val="1Paragraph"/>
              <w:ind w:left="0"/>
              <w:jc w:val="center"/>
              <w:rPr>
                <w:color w:val="000000" w:themeColor="text1"/>
              </w:rPr>
            </w:pPr>
            <w:r w:rsidRPr="00970B35">
              <w:rPr>
                <w:color w:val="000000" w:themeColor="text1"/>
              </w:rPr>
              <w:t xml:space="preserve">0% black ownership </w:t>
            </w:r>
          </w:p>
        </w:tc>
        <w:tc>
          <w:tcPr>
            <w:tcW w:w="2977" w:type="dxa"/>
          </w:tcPr>
          <w:p w:rsidR="00970B35" w:rsidRPr="00970B35" w:rsidRDefault="00970B35" w:rsidP="00970B35">
            <w:pPr>
              <w:pStyle w:val="1Paragraph"/>
              <w:ind w:left="0"/>
              <w:jc w:val="center"/>
              <w:rPr>
                <w:color w:val="000000" w:themeColor="text1"/>
              </w:rPr>
            </w:pPr>
            <w:r w:rsidRPr="00970B35">
              <w:rPr>
                <w:color w:val="000000" w:themeColor="text1"/>
              </w:rPr>
              <w:t>0</w:t>
            </w:r>
          </w:p>
        </w:tc>
      </w:tr>
    </w:tbl>
    <w:p w:rsidR="00970B35" w:rsidRPr="00970B35" w:rsidRDefault="00970B35" w:rsidP="00970B35">
      <w:pPr>
        <w:pStyle w:val="Index4"/>
        <w:numPr>
          <w:ilvl w:val="3"/>
          <w:numId w:val="12"/>
        </w:numPr>
        <w:rPr>
          <w:color w:val="000000" w:themeColor="text1"/>
        </w:rPr>
      </w:pPr>
      <w:r w:rsidRPr="00970B35">
        <w:rPr>
          <w:color w:val="000000" w:themeColor="text1"/>
        </w:rPr>
        <w:t>A tenderer must submit proof of its B-BBEE status level of contributor (Specific goal).</w:t>
      </w:r>
    </w:p>
    <w:p w:rsidR="00970B35" w:rsidRPr="00970B35" w:rsidRDefault="00970B35" w:rsidP="00970B35">
      <w:pPr>
        <w:pStyle w:val="Index4"/>
        <w:numPr>
          <w:ilvl w:val="3"/>
          <w:numId w:val="12"/>
        </w:numPr>
        <w:rPr>
          <w:color w:val="000000" w:themeColor="text1"/>
        </w:rPr>
      </w:pPr>
      <w:r w:rsidRPr="00970B35">
        <w:rPr>
          <w:color w:val="000000" w:themeColor="text1"/>
        </w:rPr>
        <w:t>A tenderer failing to submit proof of specific goal, may not be disqualified, but:</w:t>
      </w:r>
    </w:p>
    <w:p w:rsidR="00970B35" w:rsidRPr="00970B35" w:rsidRDefault="00970B35" w:rsidP="00970B35">
      <w:pPr>
        <w:pStyle w:val="Index5"/>
        <w:numPr>
          <w:ilvl w:val="4"/>
          <w:numId w:val="12"/>
        </w:numPr>
        <w:rPr>
          <w:color w:val="000000" w:themeColor="text1"/>
        </w:rPr>
      </w:pPr>
      <w:r w:rsidRPr="00970B35">
        <w:rPr>
          <w:color w:val="000000" w:themeColor="text1"/>
        </w:rPr>
        <w:t xml:space="preserve">May only score </w:t>
      </w:r>
      <w:proofErr w:type="gramStart"/>
      <w:r w:rsidRPr="00970B35">
        <w:rPr>
          <w:color w:val="000000" w:themeColor="text1"/>
        </w:rPr>
        <w:t>points</w:t>
      </w:r>
      <w:proofErr w:type="gramEnd"/>
      <w:r w:rsidRPr="00970B35">
        <w:rPr>
          <w:color w:val="000000" w:themeColor="text1"/>
        </w:rPr>
        <w:t xml:space="preserve"> out of 80 for price; and</w:t>
      </w:r>
    </w:p>
    <w:p w:rsidR="00970B35" w:rsidRPr="00970B35" w:rsidRDefault="00970B35" w:rsidP="00970B35">
      <w:pPr>
        <w:pStyle w:val="Index5"/>
        <w:numPr>
          <w:ilvl w:val="4"/>
          <w:numId w:val="12"/>
        </w:numPr>
        <w:rPr>
          <w:color w:val="000000" w:themeColor="text1"/>
        </w:rPr>
      </w:pPr>
      <w:r w:rsidRPr="00970B35">
        <w:rPr>
          <w:color w:val="000000" w:themeColor="text1"/>
        </w:rPr>
        <w:t>Score 0 points out of 20 for specific goal</w:t>
      </w:r>
    </w:p>
    <w:p w:rsidR="00970B35" w:rsidRPr="00970B35" w:rsidRDefault="00970B35" w:rsidP="00970B35">
      <w:pPr>
        <w:pStyle w:val="Index4"/>
        <w:numPr>
          <w:ilvl w:val="3"/>
          <w:numId w:val="12"/>
        </w:numPr>
        <w:rPr>
          <w:color w:val="000000" w:themeColor="text1"/>
        </w:rPr>
      </w:pPr>
      <w:r w:rsidRPr="00970B35">
        <w:rPr>
          <w:color w:val="000000" w:themeColor="text1"/>
        </w:rPr>
        <w:t>The points scored by a tenderer for a specific goal must be added to the points scored for price and the total must be rounded off to the nearest two decimal places.</w:t>
      </w:r>
    </w:p>
    <w:p w:rsidR="00970B35" w:rsidRPr="00970B35" w:rsidRDefault="00970B35" w:rsidP="00970B35">
      <w:pPr>
        <w:pStyle w:val="Index4"/>
        <w:numPr>
          <w:ilvl w:val="3"/>
          <w:numId w:val="12"/>
        </w:numPr>
        <w:rPr>
          <w:color w:val="000000" w:themeColor="text1"/>
        </w:rPr>
      </w:pPr>
      <w:r w:rsidRPr="00970B35">
        <w:rPr>
          <w:color w:val="000000" w:themeColor="text1"/>
        </w:rPr>
        <w:t>Subject to sub regulation 4(4), the contract must be awarded to the tenderer scoring the highest points.</w:t>
      </w:r>
    </w:p>
    <w:p w:rsidR="00970B35" w:rsidRPr="00970B35" w:rsidRDefault="00970B35" w:rsidP="00970B35">
      <w:pPr>
        <w:pStyle w:val="Index4"/>
        <w:numPr>
          <w:ilvl w:val="3"/>
          <w:numId w:val="12"/>
        </w:numPr>
        <w:rPr>
          <w:color w:val="000000" w:themeColor="text1"/>
        </w:rPr>
      </w:pPr>
      <w:r w:rsidRPr="00970B35">
        <w:rPr>
          <w:color w:val="000000" w:themeColor="text1"/>
        </w:rPr>
        <w:t>If the price offered by a tenderer scoring the highest points is not market-related, the organ of state may not award the contract to that tenderer.</w:t>
      </w:r>
    </w:p>
    <w:p w:rsidR="00970B35" w:rsidRPr="00970B35" w:rsidRDefault="00970B35" w:rsidP="00970B35">
      <w:pPr>
        <w:pStyle w:val="Index4"/>
        <w:numPr>
          <w:ilvl w:val="3"/>
          <w:numId w:val="12"/>
        </w:numPr>
        <w:rPr>
          <w:color w:val="000000" w:themeColor="text1"/>
        </w:rPr>
      </w:pPr>
      <w:r w:rsidRPr="00970B35">
        <w:rPr>
          <w:color w:val="000000" w:themeColor="text1"/>
        </w:rPr>
        <w:t>The organs of state may:</w:t>
      </w:r>
    </w:p>
    <w:p w:rsidR="00970B35" w:rsidRPr="00970B35" w:rsidRDefault="00970B35" w:rsidP="00970B35">
      <w:pPr>
        <w:pStyle w:val="Index5"/>
        <w:numPr>
          <w:ilvl w:val="4"/>
          <w:numId w:val="12"/>
        </w:numPr>
        <w:rPr>
          <w:color w:val="000000" w:themeColor="text1"/>
        </w:rPr>
      </w:pPr>
      <w:r w:rsidRPr="00970B35">
        <w:rPr>
          <w:color w:val="000000" w:themeColor="text1"/>
        </w:rPr>
        <w:t>Negotiate a market-related price with the tenderer scoring the highest points or cancel the tender;</w:t>
      </w:r>
    </w:p>
    <w:p w:rsidR="00970B35" w:rsidRPr="00970B35" w:rsidRDefault="00970B35" w:rsidP="00970B35">
      <w:pPr>
        <w:pStyle w:val="Index5"/>
        <w:numPr>
          <w:ilvl w:val="4"/>
          <w:numId w:val="12"/>
        </w:numPr>
        <w:rPr>
          <w:color w:val="000000" w:themeColor="text1"/>
        </w:rPr>
      </w:pPr>
      <w:r w:rsidRPr="00970B35">
        <w:rPr>
          <w:color w:val="000000" w:themeColor="text1"/>
        </w:rPr>
        <w:t>If the tenderer does not agree to a market-related price, negotiate a market-related price with the tenderer scoring the second highest points or cancel the tender;</w:t>
      </w:r>
    </w:p>
    <w:p w:rsidR="00970B35" w:rsidRPr="00970B35" w:rsidRDefault="00970B35" w:rsidP="00970B35">
      <w:pPr>
        <w:pStyle w:val="Index5"/>
        <w:numPr>
          <w:ilvl w:val="4"/>
          <w:numId w:val="12"/>
        </w:numPr>
        <w:rPr>
          <w:color w:val="000000" w:themeColor="text1"/>
        </w:rPr>
      </w:pPr>
      <w:r w:rsidRPr="00970B35">
        <w:rPr>
          <w:color w:val="000000" w:themeColor="text1"/>
        </w:rPr>
        <w:t>If the tenderer scoring the second highest points does not agree to a market-related price, negotiate a market-related price with the tenderer scoring the third highest points or cancel the tender; or</w:t>
      </w:r>
    </w:p>
    <w:p w:rsidR="00970B35" w:rsidRPr="00970B35" w:rsidRDefault="00970B35" w:rsidP="00970B35">
      <w:pPr>
        <w:pStyle w:val="Index5"/>
        <w:numPr>
          <w:ilvl w:val="4"/>
          <w:numId w:val="12"/>
        </w:numPr>
        <w:rPr>
          <w:color w:val="000000" w:themeColor="text1"/>
        </w:rPr>
      </w:pPr>
      <w:r w:rsidRPr="00970B35">
        <w:rPr>
          <w:color w:val="000000" w:themeColor="text1"/>
        </w:rPr>
        <w:t>If a market-related price is still not agreed the organ of state must cancel the tender.</w:t>
      </w:r>
    </w:p>
    <w:p w:rsidR="00DA39DC" w:rsidRPr="000A4366" w:rsidRDefault="002602E1" w:rsidP="002602E1">
      <w:pPr>
        <w:widowControl/>
        <w:spacing w:before="0" w:after="200"/>
        <w:outlineLvl w:val="9"/>
      </w:pPr>
      <w:r w:rsidRPr="000A4366">
        <w:br w:type="page"/>
      </w:r>
    </w:p>
    <w:p w:rsidR="0058701E" w:rsidRPr="000A4366" w:rsidRDefault="0058701E" w:rsidP="00DA39DC">
      <w:pPr>
        <w:pStyle w:val="Index1"/>
        <w:rPr>
          <w:color w:val="auto"/>
        </w:rPr>
      </w:pPr>
      <w:bookmarkStart w:id="30" w:name="_Toc85434465"/>
      <w:bookmarkEnd w:id="30"/>
    </w:p>
    <w:p w:rsidR="00DA39DC" w:rsidRPr="000A4366" w:rsidRDefault="00DA39DC" w:rsidP="00F51B54">
      <w:pPr>
        <w:pStyle w:val="Index2"/>
        <w:numPr>
          <w:ilvl w:val="1"/>
          <w:numId w:val="8"/>
        </w:numPr>
      </w:pPr>
      <w:bookmarkStart w:id="31" w:name="_Toc85434466"/>
      <w:r w:rsidRPr="000A4366">
        <w:t>Returnable documents</w:t>
      </w:r>
      <w:r w:rsidR="00292449" w:rsidRPr="000A4366">
        <w:t xml:space="preserve"> C</w:t>
      </w:r>
      <w:r w:rsidR="002D3216" w:rsidRPr="000A4366">
        <w:t>hecklist</w:t>
      </w:r>
      <w:bookmarkEnd w:id="31"/>
    </w:p>
    <w:p w:rsidR="00DA39DC" w:rsidRPr="000A4366" w:rsidRDefault="00DA39DC" w:rsidP="002D3216">
      <w:pPr>
        <w:jc w:val="both"/>
      </w:pPr>
      <w:r w:rsidRPr="000A4366">
        <w:t xml:space="preserve">Please indicate that all mandatory documents are included in this bid by ticking the boxes in the checklist below. Responses received without all required documents will be considered invalid. Please also indicate where </w:t>
      </w:r>
      <w:r w:rsidR="003D5ADD" w:rsidRPr="000A4366">
        <w:t>additional documents have</w:t>
      </w:r>
      <w:r w:rsidRPr="000A4366">
        <w:t xml:space="preserve"> been submitted to the main tender response.</w:t>
      </w:r>
      <w:r w:rsidR="003276C8" w:rsidRPr="000A4366">
        <w:rPr>
          <w:highlight w:val="yellow"/>
        </w:rPr>
        <w:t xml:space="preserve"> </w:t>
      </w:r>
    </w:p>
    <w:p w:rsidR="002D3216" w:rsidRPr="000A4366" w:rsidRDefault="002D3216" w:rsidP="00F96EE7">
      <w:pPr>
        <w:pStyle w:val="Index3"/>
      </w:pPr>
      <w:bookmarkStart w:id="32" w:name="_Toc85434467"/>
      <w:r w:rsidRPr="000A4366">
        <w:t>Mandatory Documents</w:t>
      </w:r>
      <w:bookmarkEnd w:id="32"/>
    </w:p>
    <w:p w:rsidR="002D3216" w:rsidRPr="000A4366" w:rsidRDefault="006A740A" w:rsidP="002269A4">
      <w:pPr>
        <w:pStyle w:val="Index4"/>
        <w:rPr>
          <w:color w:val="auto"/>
        </w:rPr>
      </w:pPr>
      <w:sdt>
        <w:sdtPr>
          <w:rPr>
            <w:color w:val="auto"/>
          </w:rPr>
          <w:id w:val="1331487299"/>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Bidder’s Information (</w:t>
      </w:r>
      <w:r w:rsidR="002602E1" w:rsidRPr="000A4366">
        <w:rPr>
          <w:color w:val="auto"/>
        </w:rPr>
        <w:t>Paragraph 7</w:t>
      </w:r>
      <w:r w:rsidR="002D3216" w:rsidRPr="000A4366">
        <w:rPr>
          <w:color w:val="auto"/>
        </w:rPr>
        <w:t>)</w:t>
      </w:r>
    </w:p>
    <w:p w:rsidR="002D3216" w:rsidRPr="000A4366" w:rsidRDefault="006A740A" w:rsidP="002269A4">
      <w:pPr>
        <w:pStyle w:val="Index4"/>
        <w:rPr>
          <w:color w:val="auto"/>
        </w:rPr>
      </w:pPr>
      <w:sdt>
        <w:sdtPr>
          <w:rPr>
            <w:color w:val="auto"/>
          </w:rPr>
          <w:id w:val="-1959949270"/>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Original good standing letter from SARS (Tax clearance) OR a letter from SARS with PIN number issued for TAX compliance status.</w:t>
      </w:r>
    </w:p>
    <w:p w:rsidR="002D3216" w:rsidRPr="000A4366" w:rsidRDefault="006A740A" w:rsidP="002269A4">
      <w:pPr>
        <w:pStyle w:val="Index4"/>
        <w:rPr>
          <w:color w:val="auto"/>
        </w:rPr>
      </w:pPr>
      <w:sdt>
        <w:sdtPr>
          <w:rPr>
            <w:color w:val="auto"/>
          </w:rPr>
          <w:id w:val="2111622241"/>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If a Consortium, Joint Venture or Sub-contractor, a valid Tax Clearance Certificate for each member.</w:t>
      </w:r>
    </w:p>
    <w:p w:rsidR="00A3535E" w:rsidRPr="000A4366" w:rsidRDefault="006A740A" w:rsidP="002269A4">
      <w:pPr>
        <w:pStyle w:val="Index4"/>
        <w:rPr>
          <w:color w:val="auto"/>
        </w:rPr>
      </w:pPr>
      <w:sdt>
        <w:sdtPr>
          <w:rPr>
            <w:color w:val="auto"/>
          </w:rPr>
          <w:id w:val="-984460493"/>
        </w:sdtPr>
        <w:sdtEndPr/>
        <w:sdtContent>
          <w:r w:rsidR="00A3535E" w:rsidRPr="000A4366">
            <w:rPr>
              <w:rFonts w:ascii="MS Gothic" w:eastAsia="MS Gothic" w:hAnsi="MS Gothic" w:hint="eastAsia"/>
              <w:color w:val="auto"/>
            </w:rPr>
            <w:t>☐</w:t>
          </w:r>
        </w:sdtContent>
      </w:sdt>
      <w:r w:rsidR="00A3535E" w:rsidRPr="000A4366">
        <w:rPr>
          <w:color w:val="auto"/>
        </w:rPr>
        <w:t xml:space="preserve"> B-BBEE certificate (SANAS approved or SWORN affidavit)</w:t>
      </w:r>
    </w:p>
    <w:p w:rsidR="00100E7B" w:rsidRPr="000A4366" w:rsidRDefault="006A740A" w:rsidP="002269A4">
      <w:pPr>
        <w:pStyle w:val="Index4"/>
        <w:rPr>
          <w:color w:val="auto"/>
        </w:rPr>
      </w:pPr>
      <w:sdt>
        <w:sdtPr>
          <w:rPr>
            <w:color w:val="auto"/>
          </w:rPr>
          <w:id w:val="304900823"/>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F770CF" w:rsidRPr="000A4366">
        <w:rPr>
          <w:color w:val="auto"/>
        </w:rPr>
        <w:t xml:space="preserve">Copy of </w:t>
      </w:r>
      <w:proofErr w:type="gramStart"/>
      <w:r w:rsidR="00F770CF" w:rsidRPr="000A4366">
        <w:rPr>
          <w:color w:val="auto"/>
        </w:rPr>
        <w:t>CSD(</w:t>
      </w:r>
      <w:proofErr w:type="gramEnd"/>
      <w:r w:rsidR="00F770CF" w:rsidRPr="000A4366">
        <w:rPr>
          <w:color w:val="auto"/>
        </w:rPr>
        <w:t>Central Supplier Database) Report</w:t>
      </w:r>
    </w:p>
    <w:p w:rsidR="00F96EE7" w:rsidRPr="001B0F75" w:rsidRDefault="006A740A" w:rsidP="00970B35">
      <w:pPr>
        <w:pStyle w:val="Index4"/>
        <w:numPr>
          <w:ilvl w:val="0"/>
          <w:numId w:val="0"/>
        </w:numPr>
        <w:ind w:left="851"/>
      </w:pPr>
      <w:sdt>
        <w:sdtPr>
          <w:rPr>
            <w:color w:val="auto"/>
          </w:rPr>
          <w:id w:val="871423088"/>
          <w:showingPlcHdr/>
        </w:sdtPr>
        <w:sdtEndPr/>
        <w:sdtContent>
          <w:r w:rsidR="00970B35">
            <w:rPr>
              <w:color w:val="auto"/>
            </w:rPr>
            <w:t xml:space="preserve">     </w:t>
          </w:r>
        </w:sdtContent>
      </w:sdt>
    </w:p>
    <w:p w:rsidR="002D3216" w:rsidRPr="003E7A9E" w:rsidRDefault="002D3216" w:rsidP="001B0F75">
      <w:pPr>
        <w:pStyle w:val="Index4"/>
        <w:rPr>
          <w:color w:val="auto"/>
        </w:rPr>
      </w:pPr>
      <w:r w:rsidRPr="003E7A9E">
        <w:rPr>
          <w:color w:val="auto"/>
        </w:rPr>
        <w:t>Price</w:t>
      </w:r>
    </w:p>
    <w:p w:rsidR="002D3216" w:rsidRPr="000A4366" w:rsidRDefault="006A740A" w:rsidP="002269A4">
      <w:pPr>
        <w:pStyle w:val="Index4"/>
        <w:rPr>
          <w:color w:val="auto"/>
        </w:rPr>
      </w:pPr>
      <w:sdt>
        <w:sdtPr>
          <w:rPr>
            <w:color w:val="auto"/>
          </w:rPr>
          <w:id w:val="262280666"/>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Price Breakdown</w:t>
      </w:r>
      <w:r w:rsidR="00A24779">
        <w:rPr>
          <w:color w:val="auto"/>
        </w:rPr>
        <w:t xml:space="preserve"> (refer</w:t>
      </w:r>
      <w:r w:rsidR="00A24779" w:rsidRPr="00A24779">
        <w:rPr>
          <w:color w:val="000000" w:themeColor="text1"/>
        </w:rPr>
        <w:t xml:space="preserve"> to Annexure C</w:t>
      </w:r>
      <w:r w:rsidR="00A24779">
        <w:rPr>
          <w:color w:val="auto"/>
        </w:rPr>
        <w:t>)</w:t>
      </w:r>
    </w:p>
    <w:p w:rsidR="002D3216" w:rsidRPr="000A4366" w:rsidRDefault="002D3216" w:rsidP="00F96EE7">
      <w:pPr>
        <w:pStyle w:val="Index3"/>
      </w:pPr>
      <w:bookmarkStart w:id="33" w:name="_Toc85434468"/>
      <w:r w:rsidRPr="000A4366">
        <w:t>Compliance Documents</w:t>
      </w:r>
      <w:bookmarkEnd w:id="33"/>
    </w:p>
    <w:p w:rsidR="002D3216" w:rsidRPr="000A4366" w:rsidRDefault="006A740A" w:rsidP="002269A4">
      <w:pPr>
        <w:pStyle w:val="Index4"/>
        <w:rPr>
          <w:color w:val="auto"/>
        </w:rPr>
      </w:pPr>
      <w:sdt>
        <w:sdtPr>
          <w:rPr>
            <w:color w:val="auto"/>
          </w:rPr>
          <w:id w:val="-1999953926"/>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SBD 1 Invitation to Bid.</w:t>
      </w:r>
    </w:p>
    <w:p w:rsidR="002D3216" w:rsidRPr="000A4366" w:rsidRDefault="006A740A" w:rsidP="002269A4">
      <w:pPr>
        <w:pStyle w:val="Index4"/>
        <w:rPr>
          <w:color w:val="auto"/>
        </w:rPr>
      </w:pPr>
      <w:sdt>
        <w:sdtPr>
          <w:rPr>
            <w:color w:val="auto"/>
          </w:rPr>
          <w:id w:val="441495730"/>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SBD 3.3 Pricing Schedule – Professional Services.</w:t>
      </w:r>
    </w:p>
    <w:p w:rsidR="002D3216" w:rsidRPr="000A4366" w:rsidRDefault="006A740A" w:rsidP="002269A4">
      <w:pPr>
        <w:pStyle w:val="Index4"/>
        <w:rPr>
          <w:color w:val="auto"/>
        </w:rPr>
      </w:pPr>
      <w:sdt>
        <w:sdtPr>
          <w:rPr>
            <w:color w:val="auto"/>
          </w:rPr>
          <w:id w:val="258184824"/>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SBD 4 Declaration of Interest.</w:t>
      </w:r>
    </w:p>
    <w:p w:rsidR="002D3216" w:rsidRPr="000A4366" w:rsidRDefault="006A740A" w:rsidP="002269A4">
      <w:pPr>
        <w:pStyle w:val="Index4"/>
        <w:rPr>
          <w:color w:val="auto"/>
        </w:rPr>
      </w:pPr>
      <w:sdt>
        <w:sdtPr>
          <w:rPr>
            <w:color w:val="auto"/>
          </w:rPr>
          <w:id w:val="-1082055733"/>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SBD 6.1 Preference points claim form in terms of the preferential procurement regulations 20</w:t>
      </w:r>
      <w:r w:rsidR="00827707">
        <w:rPr>
          <w:color w:val="auto"/>
        </w:rPr>
        <w:t>22</w:t>
      </w:r>
      <w:r w:rsidR="002D3216" w:rsidRPr="000A4366">
        <w:rPr>
          <w:color w:val="auto"/>
        </w:rPr>
        <w:t>.</w:t>
      </w:r>
    </w:p>
    <w:p w:rsidR="002D3216" w:rsidRPr="00970B35" w:rsidRDefault="006A740A" w:rsidP="00970B35">
      <w:pPr>
        <w:pStyle w:val="Index4"/>
        <w:rPr>
          <w:color w:val="auto"/>
        </w:rPr>
      </w:pPr>
      <w:sdt>
        <w:sdtPr>
          <w:rPr>
            <w:color w:val="auto"/>
          </w:rPr>
          <w:id w:val="977187799"/>
        </w:sdtPr>
        <w:sdtEndPr/>
        <w:sdtContent>
          <w:r w:rsidR="00C95C94" w:rsidRPr="000A4366">
            <w:rPr>
              <w:rFonts w:ascii="MS Gothic" w:eastAsia="MS Gothic" w:hAnsi="MS Gothic" w:hint="eastAsia"/>
              <w:color w:val="auto"/>
            </w:rPr>
            <w:t>☐</w:t>
          </w:r>
        </w:sdtContent>
      </w:sdt>
      <w:r w:rsidR="00C95C94" w:rsidRPr="000A4366">
        <w:rPr>
          <w:color w:val="auto"/>
        </w:rPr>
        <w:t xml:space="preserve"> </w:t>
      </w:r>
      <w:r w:rsidR="002D3216" w:rsidRPr="000A4366">
        <w:rPr>
          <w:color w:val="auto"/>
        </w:rPr>
        <w:t>SBD 7.2 Contract Form – Rendering of Services.</w:t>
      </w:r>
    </w:p>
    <w:p w:rsidR="002D3216" w:rsidRPr="000A4366" w:rsidRDefault="006A740A" w:rsidP="002269A4">
      <w:pPr>
        <w:pStyle w:val="Index4"/>
        <w:rPr>
          <w:color w:val="auto"/>
        </w:rPr>
      </w:pPr>
      <w:sdt>
        <w:sdtPr>
          <w:rPr>
            <w:color w:val="auto"/>
          </w:rPr>
          <w:id w:val="-146586753"/>
        </w:sdtPr>
        <w:sdtEndPr/>
        <w:sdtContent>
          <w:r w:rsidR="00C95C94" w:rsidRPr="000A4366">
            <w:rPr>
              <w:rFonts w:ascii="MS Gothic" w:eastAsia="MS Gothic" w:hAnsi="MS Gothic" w:hint="eastAsia"/>
              <w:color w:val="auto"/>
            </w:rPr>
            <w:t>☐</w:t>
          </w:r>
        </w:sdtContent>
      </w:sdt>
      <w:r w:rsidR="00C95C94" w:rsidRPr="000A4366">
        <w:rPr>
          <w:color w:val="auto"/>
        </w:rPr>
        <w:t xml:space="preserve"> </w:t>
      </w:r>
      <w:proofErr w:type="spellStart"/>
      <w:r w:rsidR="00290ADA" w:rsidRPr="000A4366">
        <w:rPr>
          <w:color w:val="auto"/>
        </w:rPr>
        <w:t>Necsa</w:t>
      </w:r>
      <w:proofErr w:type="spellEnd"/>
      <w:r w:rsidR="002D3216" w:rsidRPr="000A4366">
        <w:rPr>
          <w:color w:val="auto"/>
        </w:rPr>
        <w:t xml:space="preserve"> Terms and Conditions of Contract.</w:t>
      </w:r>
    </w:p>
    <w:p w:rsidR="002D3216" w:rsidRPr="000A4366" w:rsidRDefault="006A740A" w:rsidP="002269A4">
      <w:pPr>
        <w:pStyle w:val="Index4"/>
        <w:rPr>
          <w:color w:val="auto"/>
        </w:rPr>
      </w:pPr>
      <w:sdt>
        <w:sdtPr>
          <w:rPr>
            <w:color w:val="auto"/>
          </w:rPr>
          <w:id w:val="-1201318744"/>
        </w:sdtPr>
        <w:sdtEndPr/>
        <w:sdtContent>
          <w:r w:rsidR="00C95C94" w:rsidRPr="000A4366">
            <w:rPr>
              <w:rFonts w:ascii="MS Gothic" w:eastAsia="MS Gothic" w:hAnsi="MS Gothic" w:hint="eastAsia"/>
              <w:color w:val="auto"/>
            </w:rPr>
            <w:t>☐</w:t>
          </w:r>
        </w:sdtContent>
      </w:sdt>
      <w:r w:rsidR="00C95C94" w:rsidRPr="000A4366">
        <w:rPr>
          <w:color w:val="auto"/>
        </w:rPr>
        <w:t xml:space="preserve"> </w:t>
      </w:r>
      <w:proofErr w:type="spellStart"/>
      <w:r w:rsidR="00290ADA" w:rsidRPr="000A4366">
        <w:rPr>
          <w:color w:val="auto"/>
        </w:rPr>
        <w:t>Necsa</w:t>
      </w:r>
      <w:proofErr w:type="spellEnd"/>
      <w:r w:rsidR="002D3216" w:rsidRPr="000A4366">
        <w:rPr>
          <w:color w:val="auto"/>
        </w:rPr>
        <w:t xml:space="preserve"> Confidentiality Agreement.</w:t>
      </w:r>
    </w:p>
    <w:p w:rsidR="002D3216" w:rsidRPr="000A4366" w:rsidRDefault="006A740A" w:rsidP="002269A4">
      <w:pPr>
        <w:pStyle w:val="Index4"/>
        <w:rPr>
          <w:color w:val="auto"/>
        </w:rPr>
      </w:pPr>
      <w:sdt>
        <w:sdtPr>
          <w:rPr>
            <w:color w:val="auto"/>
          </w:rPr>
          <w:id w:val="3879747"/>
        </w:sdtPr>
        <w:sdtEndPr/>
        <w:sdtContent>
          <w:r w:rsidR="00C95C94" w:rsidRPr="000A4366">
            <w:rPr>
              <w:rFonts w:ascii="MS Gothic" w:eastAsia="MS Gothic" w:hAnsi="MS Gothic" w:hint="eastAsia"/>
              <w:color w:val="auto"/>
            </w:rPr>
            <w:t>☐</w:t>
          </w:r>
        </w:sdtContent>
      </w:sdt>
      <w:r w:rsidR="00C95C94" w:rsidRPr="000A4366">
        <w:rPr>
          <w:color w:val="auto"/>
        </w:rPr>
        <w:t xml:space="preserve"> </w:t>
      </w:r>
      <w:proofErr w:type="spellStart"/>
      <w:r w:rsidR="00290ADA" w:rsidRPr="000A4366">
        <w:rPr>
          <w:color w:val="auto"/>
        </w:rPr>
        <w:t>Necsa</w:t>
      </w:r>
      <w:proofErr w:type="spellEnd"/>
      <w:r w:rsidR="002D3216" w:rsidRPr="000A4366">
        <w:rPr>
          <w:color w:val="auto"/>
        </w:rPr>
        <w:t xml:space="preserve"> Alcohol and Drug Control Policy.</w:t>
      </w:r>
    </w:p>
    <w:p w:rsidR="00DA39DC" w:rsidRPr="000A4366" w:rsidRDefault="006A740A" w:rsidP="002269A4">
      <w:pPr>
        <w:pStyle w:val="Index4"/>
        <w:rPr>
          <w:color w:val="auto"/>
        </w:rPr>
      </w:pPr>
      <w:sdt>
        <w:sdtPr>
          <w:rPr>
            <w:rFonts w:ascii="MS Gothic" w:eastAsia="MS Gothic" w:hAnsi="MS Gothic"/>
            <w:color w:val="auto"/>
          </w:rPr>
          <w:id w:val="-621691721"/>
        </w:sdtPr>
        <w:sdtEndPr/>
        <w:sdtContent>
          <w:r w:rsidR="00C95C94" w:rsidRPr="000A4366">
            <w:rPr>
              <w:rFonts w:ascii="MS Gothic" w:eastAsia="MS Gothic" w:hAnsi="MS Gothic" w:hint="eastAsia"/>
              <w:color w:val="auto"/>
            </w:rPr>
            <w:t>☐</w:t>
          </w:r>
        </w:sdtContent>
      </w:sdt>
      <w:r w:rsidR="00C95C94" w:rsidRPr="000A4366">
        <w:rPr>
          <w:color w:val="auto"/>
        </w:rPr>
        <w:t xml:space="preserve"> </w:t>
      </w:r>
      <w:proofErr w:type="spellStart"/>
      <w:r w:rsidR="00290ADA" w:rsidRPr="000A4366">
        <w:rPr>
          <w:color w:val="auto"/>
        </w:rPr>
        <w:t>Necsa</w:t>
      </w:r>
      <w:proofErr w:type="spellEnd"/>
      <w:r w:rsidR="002D3216" w:rsidRPr="000A4366">
        <w:rPr>
          <w:color w:val="auto"/>
        </w:rPr>
        <w:t xml:space="preserve"> Safety, Health and Environmental Policy.</w:t>
      </w:r>
    </w:p>
    <w:p w:rsidR="00290ADA" w:rsidRPr="000A4366" w:rsidRDefault="00290ADA" w:rsidP="00F96EE7">
      <w:pPr>
        <w:pStyle w:val="Index3"/>
        <w:numPr>
          <w:ilvl w:val="0"/>
          <w:numId w:val="0"/>
        </w:numPr>
        <w:ind w:left="851"/>
      </w:pPr>
    </w:p>
    <w:p w:rsidR="00290ADA" w:rsidRPr="000A4366" w:rsidRDefault="00290ADA" w:rsidP="00290ADA">
      <w:pPr>
        <w:pStyle w:val="1Paragraph"/>
      </w:pPr>
    </w:p>
    <w:p w:rsidR="00290ADA" w:rsidRPr="000A4366" w:rsidRDefault="00290ADA" w:rsidP="00290ADA">
      <w:pPr>
        <w:pStyle w:val="1Paragraph"/>
      </w:pPr>
    </w:p>
    <w:p w:rsidR="00290ADA" w:rsidRDefault="00290ADA" w:rsidP="00290ADA">
      <w:pPr>
        <w:pStyle w:val="1Paragraph"/>
      </w:pPr>
    </w:p>
    <w:p w:rsidR="00B86DD3" w:rsidRDefault="00B86DD3" w:rsidP="00290ADA">
      <w:pPr>
        <w:pStyle w:val="1Paragraph"/>
      </w:pPr>
    </w:p>
    <w:p w:rsidR="00B86DD3" w:rsidRDefault="00B86DD3" w:rsidP="00290ADA">
      <w:pPr>
        <w:pStyle w:val="1Paragraph"/>
      </w:pPr>
    </w:p>
    <w:p w:rsidR="00B86DD3" w:rsidRDefault="00B86DD3" w:rsidP="00290ADA">
      <w:pPr>
        <w:pStyle w:val="1Paragraph"/>
      </w:pPr>
    </w:p>
    <w:p w:rsidR="00B86DD3" w:rsidRDefault="00B86DD3" w:rsidP="00290ADA">
      <w:pPr>
        <w:pStyle w:val="1Paragraph"/>
      </w:pPr>
    </w:p>
    <w:p w:rsidR="00B86DD3" w:rsidRPr="000A4366" w:rsidRDefault="00B86DD3" w:rsidP="00290ADA">
      <w:pPr>
        <w:pStyle w:val="1Paragraph"/>
      </w:pPr>
    </w:p>
    <w:p w:rsidR="003B0F32" w:rsidRPr="000A4366" w:rsidRDefault="00DA39DC" w:rsidP="00F96EE7">
      <w:pPr>
        <w:pStyle w:val="Index2"/>
      </w:pPr>
      <w:bookmarkStart w:id="34" w:name="_Toc85434469"/>
      <w:r w:rsidRPr="000A4366">
        <w:lastRenderedPageBreak/>
        <w:t>B</w:t>
      </w:r>
      <w:r w:rsidR="00F616A4" w:rsidRPr="000A4366">
        <w:t>idder</w:t>
      </w:r>
      <w:r w:rsidRPr="000A4366">
        <w:t xml:space="preserve"> I</w:t>
      </w:r>
      <w:r w:rsidR="00F616A4" w:rsidRPr="000A4366">
        <w:t>nformation</w:t>
      </w:r>
      <w:bookmarkEnd w:id="34"/>
    </w:p>
    <w:p w:rsidR="00DA39DC" w:rsidRPr="000A4366" w:rsidRDefault="00DA39DC" w:rsidP="004D4729">
      <w:pPr>
        <w:pStyle w:val="Index7"/>
      </w:pPr>
      <w:r w:rsidRPr="000A4366">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0A4366" w:rsidRPr="000A4366" w:rsidTr="00DA39DC">
        <w:trPr>
          <w:trHeight w:val="502"/>
        </w:trPr>
        <w:tc>
          <w:tcPr>
            <w:tcW w:w="5000" w:type="pct"/>
            <w:gridSpan w:val="2"/>
            <w:shd w:val="clear" w:color="auto" w:fill="ECE8D3"/>
            <w:vAlign w:val="center"/>
          </w:tcPr>
          <w:p w:rsidR="00DA39DC" w:rsidRPr="000A4366" w:rsidRDefault="00DA39DC" w:rsidP="00DA39DC">
            <w:pPr>
              <w:spacing w:before="40" w:after="40"/>
              <w:rPr>
                <w:b/>
                <w:sz w:val="20"/>
              </w:rPr>
            </w:pPr>
            <w:r w:rsidRPr="000A4366">
              <w:rPr>
                <w:b/>
                <w:sz w:val="20"/>
              </w:rPr>
              <w:t>BIDDER INFORMATION</w:t>
            </w:r>
          </w:p>
        </w:tc>
      </w:tr>
      <w:tr w:rsidR="000A4366" w:rsidRPr="000A4366" w:rsidTr="00DA39DC">
        <w:trPr>
          <w:trHeight w:val="502"/>
        </w:trPr>
        <w:tc>
          <w:tcPr>
            <w:tcW w:w="1470" w:type="pct"/>
            <w:vAlign w:val="center"/>
          </w:tcPr>
          <w:p w:rsidR="00DA39DC" w:rsidRPr="000A4366" w:rsidRDefault="00DA39DC" w:rsidP="00DA39DC">
            <w:pPr>
              <w:spacing w:before="40" w:after="40"/>
              <w:rPr>
                <w:sz w:val="20"/>
              </w:rPr>
            </w:pPr>
            <w:r w:rsidRPr="000A4366">
              <w:rPr>
                <w:sz w:val="20"/>
              </w:rPr>
              <w:t>Bidder Name:</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39"/>
        </w:trPr>
        <w:tc>
          <w:tcPr>
            <w:tcW w:w="1470" w:type="pct"/>
            <w:vAlign w:val="center"/>
          </w:tcPr>
          <w:p w:rsidR="00DA39DC" w:rsidRPr="000A4366" w:rsidRDefault="00DA39DC" w:rsidP="00DA39DC">
            <w:pPr>
              <w:spacing w:before="40" w:after="40"/>
              <w:rPr>
                <w:sz w:val="20"/>
              </w:rPr>
            </w:pPr>
            <w:r w:rsidRPr="000A4366">
              <w:rPr>
                <w:sz w:val="20"/>
              </w:rPr>
              <w:t>Registration Number:</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02"/>
        </w:trPr>
        <w:tc>
          <w:tcPr>
            <w:tcW w:w="1470" w:type="pct"/>
            <w:vAlign w:val="center"/>
          </w:tcPr>
          <w:p w:rsidR="00DA39DC" w:rsidRPr="000A4366" w:rsidRDefault="00DA39DC" w:rsidP="00DA39DC">
            <w:pPr>
              <w:spacing w:before="40" w:after="40"/>
              <w:rPr>
                <w:sz w:val="20"/>
              </w:rPr>
            </w:pPr>
            <w:r w:rsidRPr="000A4366">
              <w:rPr>
                <w:sz w:val="20"/>
              </w:rPr>
              <w:t>VAT Registration Number:</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1041"/>
        </w:trPr>
        <w:tc>
          <w:tcPr>
            <w:tcW w:w="1470" w:type="pct"/>
            <w:vAlign w:val="center"/>
          </w:tcPr>
          <w:p w:rsidR="00DA39DC" w:rsidRPr="000A4366" w:rsidRDefault="00DA39DC" w:rsidP="00DA39DC">
            <w:pPr>
              <w:spacing w:before="40" w:after="40"/>
              <w:rPr>
                <w:sz w:val="20"/>
              </w:rPr>
            </w:pPr>
            <w:r w:rsidRPr="000A4366">
              <w:rPr>
                <w:sz w:val="20"/>
              </w:rPr>
              <w:t>Bidding Structure (Individual, Joint Venture, Consortium, Sub-contractors)</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02"/>
        </w:trPr>
        <w:tc>
          <w:tcPr>
            <w:tcW w:w="1470" w:type="pct"/>
            <w:vAlign w:val="center"/>
          </w:tcPr>
          <w:p w:rsidR="00DA39DC" w:rsidRPr="000A4366" w:rsidRDefault="00DA39DC" w:rsidP="00DA39DC">
            <w:pPr>
              <w:spacing w:before="40" w:after="40"/>
              <w:rPr>
                <w:sz w:val="20"/>
              </w:rPr>
            </w:pPr>
            <w:r w:rsidRPr="000A4366">
              <w:rPr>
                <w:sz w:val="20"/>
              </w:rPr>
              <w:t>Contact Person:</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39"/>
        </w:trPr>
        <w:tc>
          <w:tcPr>
            <w:tcW w:w="1470" w:type="pct"/>
            <w:vAlign w:val="center"/>
          </w:tcPr>
          <w:p w:rsidR="00DA39DC" w:rsidRPr="000A4366" w:rsidRDefault="00DA39DC" w:rsidP="00DA39DC">
            <w:pPr>
              <w:spacing w:before="40" w:after="40"/>
              <w:rPr>
                <w:sz w:val="20"/>
              </w:rPr>
            </w:pPr>
            <w:r w:rsidRPr="000A4366">
              <w:rPr>
                <w:sz w:val="20"/>
              </w:rPr>
              <w:t>Telephone Number:</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02"/>
        </w:trPr>
        <w:tc>
          <w:tcPr>
            <w:tcW w:w="1470" w:type="pct"/>
            <w:vAlign w:val="center"/>
          </w:tcPr>
          <w:p w:rsidR="00DA39DC" w:rsidRPr="000A4366" w:rsidRDefault="00DA39DC" w:rsidP="00DA39DC">
            <w:pPr>
              <w:spacing w:before="40" w:after="40"/>
              <w:rPr>
                <w:sz w:val="20"/>
              </w:rPr>
            </w:pPr>
            <w:r w:rsidRPr="000A4366">
              <w:rPr>
                <w:sz w:val="20"/>
              </w:rPr>
              <w:t>Fax Number:</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02"/>
        </w:trPr>
        <w:tc>
          <w:tcPr>
            <w:tcW w:w="1470" w:type="pct"/>
            <w:vAlign w:val="center"/>
          </w:tcPr>
          <w:p w:rsidR="00DA39DC" w:rsidRPr="000A4366" w:rsidRDefault="00DA39DC" w:rsidP="00DA39DC">
            <w:pPr>
              <w:spacing w:before="40" w:after="40"/>
              <w:rPr>
                <w:sz w:val="20"/>
              </w:rPr>
            </w:pPr>
            <w:r w:rsidRPr="000A4366">
              <w:rPr>
                <w:sz w:val="20"/>
              </w:rPr>
              <w:t>Email Address:</w:t>
            </w:r>
          </w:p>
        </w:tc>
        <w:tc>
          <w:tcPr>
            <w:tcW w:w="3530" w:type="pct"/>
            <w:vAlign w:val="center"/>
          </w:tcPr>
          <w:p w:rsidR="00DA39DC" w:rsidRPr="000A4366" w:rsidRDefault="00DA39DC" w:rsidP="00DA39DC">
            <w:pPr>
              <w:spacing w:before="40" w:after="40"/>
              <w:rPr>
                <w:sz w:val="20"/>
              </w:rPr>
            </w:pPr>
          </w:p>
        </w:tc>
      </w:tr>
      <w:tr w:rsidR="000A4366" w:rsidRPr="000A4366" w:rsidTr="00DA39DC">
        <w:trPr>
          <w:trHeight w:val="539"/>
        </w:trPr>
        <w:tc>
          <w:tcPr>
            <w:tcW w:w="1470" w:type="pct"/>
            <w:vAlign w:val="center"/>
          </w:tcPr>
          <w:p w:rsidR="00DA39DC" w:rsidRPr="000A4366" w:rsidRDefault="00DA39DC" w:rsidP="00DA39DC">
            <w:pPr>
              <w:spacing w:before="40" w:after="40"/>
              <w:rPr>
                <w:sz w:val="20"/>
              </w:rPr>
            </w:pPr>
            <w:r w:rsidRPr="000A4366">
              <w:rPr>
                <w:sz w:val="20"/>
              </w:rPr>
              <w:t>Postal Address:</w:t>
            </w:r>
          </w:p>
        </w:tc>
        <w:tc>
          <w:tcPr>
            <w:tcW w:w="3530" w:type="pct"/>
            <w:vAlign w:val="center"/>
          </w:tcPr>
          <w:p w:rsidR="00DA39DC" w:rsidRPr="000A4366" w:rsidRDefault="00DA39DC" w:rsidP="00DA39DC">
            <w:pPr>
              <w:spacing w:before="40" w:after="40"/>
              <w:rPr>
                <w:sz w:val="20"/>
              </w:rPr>
            </w:pPr>
          </w:p>
        </w:tc>
      </w:tr>
      <w:tr w:rsidR="00DA39DC" w:rsidRPr="000A4366" w:rsidTr="00DA39DC">
        <w:trPr>
          <w:trHeight w:val="1215"/>
        </w:trPr>
        <w:tc>
          <w:tcPr>
            <w:tcW w:w="1470" w:type="pct"/>
          </w:tcPr>
          <w:p w:rsidR="00DA39DC" w:rsidRPr="000A4366" w:rsidRDefault="00DA39DC" w:rsidP="00DA39DC">
            <w:pPr>
              <w:spacing w:before="40" w:after="40"/>
              <w:rPr>
                <w:sz w:val="20"/>
              </w:rPr>
            </w:pPr>
            <w:r w:rsidRPr="000A4366">
              <w:rPr>
                <w:sz w:val="20"/>
              </w:rPr>
              <w:t>Physical Address:</w:t>
            </w:r>
          </w:p>
        </w:tc>
        <w:tc>
          <w:tcPr>
            <w:tcW w:w="3530" w:type="pct"/>
            <w:vAlign w:val="center"/>
          </w:tcPr>
          <w:p w:rsidR="00DA39DC" w:rsidRPr="000A4366" w:rsidRDefault="00DA39DC" w:rsidP="00DA39DC">
            <w:pPr>
              <w:spacing w:before="40" w:after="40"/>
              <w:rPr>
                <w:sz w:val="20"/>
              </w:rPr>
            </w:pPr>
          </w:p>
        </w:tc>
      </w:tr>
    </w:tbl>
    <w:p w:rsidR="00C42470" w:rsidRPr="000A4366"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HAS A TAX CLEARANCE AND PIN BEEN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6300" w:type="dxa"/>
            <w:tcBorders>
              <w:bottom w:val="single" w:sz="4" w:space="0" w:color="auto"/>
            </w:tcBorders>
          </w:tcPr>
          <w:p w:rsidR="00C42470" w:rsidRPr="000A4366" w:rsidRDefault="00C42470" w:rsidP="009C1CB7">
            <w:pPr>
              <w:spacing w:before="40" w:after="40"/>
              <w:rPr>
                <w:b/>
                <w:szCs w:val="20"/>
              </w:rPr>
            </w:pPr>
            <w:r w:rsidRPr="000A4366">
              <w:rPr>
                <w:b/>
              </w:rPr>
              <w:t>IF YES, PLEASE INDICATE THE EXPIRY DATE</w:t>
            </w:r>
          </w:p>
        </w:tc>
        <w:tc>
          <w:tcPr>
            <w:tcW w:w="425"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4"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8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529"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IS A VALID BBBEE CERTIFICATE BE</w:t>
            </w:r>
            <w:r w:rsidRPr="000A4366">
              <w:rPr>
                <w:b/>
                <w:szCs w:val="20"/>
              </w:rPr>
              <w:t>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jc w:val="right"/>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C42470" w:rsidRPr="000A4366" w:rsidTr="009C1CB7">
        <w:tc>
          <w:tcPr>
            <w:tcW w:w="6300" w:type="dxa"/>
          </w:tcPr>
          <w:p w:rsidR="00C42470" w:rsidRPr="000A4366" w:rsidRDefault="00C42470" w:rsidP="009C1CB7">
            <w:pPr>
              <w:spacing w:before="40" w:after="40"/>
              <w:rPr>
                <w:b/>
                <w:szCs w:val="20"/>
              </w:rPr>
            </w:pPr>
            <w:r w:rsidRPr="000A4366">
              <w:rPr>
                <w:b/>
                <w:szCs w:val="20"/>
              </w:rPr>
              <w:t>IF YES, PLEASE INDICATE THE EXPIRY DATE</w:t>
            </w:r>
          </w:p>
        </w:tc>
        <w:tc>
          <w:tcPr>
            <w:tcW w:w="425"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4" w:type="dxa"/>
            <w:vAlign w:val="center"/>
          </w:tcPr>
          <w:p w:rsidR="00C42470" w:rsidRPr="000A4366" w:rsidRDefault="00C42470" w:rsidP="009C1CB7">
            <w:pPr>
              <w:spacing w:before="40" w:after="40"/>
              <w:rPr>
                <w:b/>
                <w:szCs w:val="20"/>
              </w:rPr>
            </w:pPr>
            <w:r w:rsidRPr="000A4366">
              <w:rPr>
                <w:b/>
                <w:szCs w:val="20"/>
              </w:rPr>
              <w:t>Y</w:t>
            </w:r>
          </w:p>
        </w:tc>
        <w:tc>
          <w:tcPr>
            <w:tcW w:w="423" w:type="dxa"/>
            <w:vAlign w:val="center"/>
          </w:tcPr>
          <w:p w:rsidR="00C42470" w:rsidRPr="000A4366" w:rsidRDefault="00C42470" w:rsidP="009C1CB7">
            <w:pPr>
              <w:spacing w:before="40" w:after="40"/>
              <w:rPr>
                <w:b/>
                <w:szCs w:val="20"/>
              </w:rPr>
            </w:pPr>
            <w:r w:rsidRPr="000A4366">
              <w:rPr>
                <w:b/>
                <w:szCs w:val="20"/>
              </w:rPr>
              <w:t>Y</w:t>
            </w:r>
          </w:p>
        </w:tc>
        <w:tc>
          <w:tcPr>
            <w:tcW w:w="483" w:type="dxa"/>
            <w:vAlign w:val="center"/>
          </w:tcPr>
          <w:p w:rsidR="00C42470" w:rsidRPr="000A4366" w:rsidRDefault="00C42470" w:rsidP="009C1CB7">
            <w:pPr>
              <w:spacing w:before="40" w:after="40"/>
              <w:rPr>
                <w:b/>
                <w:szCs w:val="20"/>
              </w:rPr>
            </w:pPr>
            <w:r w:rsidRPr="000A4366">
              <w:rPr>
                <w:b/>
                <w:szCs w:val="20"/>
              </w:rPr>
              <w:t>Y</w:t>
            </w:r>
          </w:p>
        </w:tc>
        <w:tc>
          <w:tcPr>
            <w:tcW w:w="529" w:type="dxa"/>
            <w:vAlign w:val="center"/>
          </w:tcPr>
          <w:p w:rsidR="00C42470" w:rsidRPr="000A4366" w:rsidRDefault="00C42470" w:rsidP="009C1CB7">
            <w:pPr>
              <w:spacing w:before="40" w:after="40"/>
              <w:rPr>
                <w:b/>
                <w:szCs w:val="20"/>
              </w:rPr>
            </w:pPr>
            <w:r w:rsidRPr="000A4366">
              <w:rPr>
                <w:b/>
                <w:szCs w:val="20"/>
              </w:rPr>
              <w:t>Y</w:t>
            </w:r>
          </w:p>
        </w:tc>
      </w:tr>
    </w:tbl>
    <w:p w:rsidR="00C42470" w:rsidRPr="000A4366" w:rsidRDefault="00C42470" w:rsidP="008610B6">
      <w:pPr>
        <w:spacing w:before="0" w:after="0" w:line="240" w:lineRule="auto"/>
      </w:pPr>
    </w:p>
    <w:p w:rsidR="00DA39DC" w:rsidRPr="000A4366" w:rsidRDefault="00DA39DC" w:rsidP="004D4729">
      <w:pPr>
        <w:pStyle w:val="Index7"/>
      </w:pPr>
      <w:r w:rsidRPr="000A4366">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0A4366" w:rsidRPr="000A4366" w:rsidTr="00DA39DC">
        <w:trPr>
          <w:trHeight w:val="478"/>
        </w:trPr>
        <w:tc>
          <w:tcPr>
            <w:tcW w:w="5000" w:type="pct"/>
            <w:gridSpan w:val="2"/>
            <w:shd w:val="clear" w:color="auto" w:fill="ECE8D3"/>
            <w:vAlign w:val="center"/>
          </w:tcPr>
          <w:p w:rsidR="00DA39DC" w:rsidRPr="000A4366" w:rsidRDefault="00DA39DC" w:rsidP="00DA39DC">
            <w:pPr>
              <w:rPr>
                <w:sz w:val="20"/>
              </w:rPr>
            </w:pPr>
            <w:r w:rsidRPr="000A4366">
              <w:rPr>
                <w:b/>
                <w:sz w:val="20"/>
              </w:rPr>
              <w:t>Name of Company (1):</w:t>
            </w: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Registration Number:</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VAT Registration Number:</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Contact Person:</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Telephone Number:</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Fax Number:</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t>Email Address:</w:t>
            </w:r>
          </w:p>
        </w:tc>
        <w:tc>
          <w:tcPr>
            <w:tcW w:w="3530" w:type="pct"/>
            <w:vAlign w:val="center"/>
          </w:tcPr>
          <w:p w:rsidR="00DA39DC" w:rsidRPr="000A4366" w:rsidRDefault="00DA39DC" w:rsidP="00DA39DC">
            <w:pPr>
              <w:rPr>
                <w:sz w:val="20"/>
                <w:szCs w:val="20"/>
              </w:rPr>
            </w:pPr>
          </w:p>
        </w:tc>
      </w:tr>
      <w:tr w:rsidR="000A4366" w:rsidRPr="000A4366" w:rsidTr="00DA39DC">
        <w:trPr>
          <w:trHeight w:val="478"/>
        </w:trPr>
        <w:tc>
          <w:tcPr>
            <w:tcW w:w="1470" w:type="pct"/>
            <w:vAlign w:val="center"/>
          </w:tcPr>
          <w:p w:rsidR="00DA39DC" w:rsidRPr="000A4366" w:rsidRDefault="00DA39DC" w:rsidP="00DA39DC">
            <w:pPr>
              <w:rPr>
                <w:sz w:val="20"/>
              </w:rPr>
            </w:pPr>
            <w:r w:rsidRPr="000A4366">
              <w:rPr>
                <w:sz w:val="20"/>
              </w:rPr>
              <w:lastRenderedPageBreak/>
              <w:t>Postal Address:</w:t>
            </w:r>
          </w:p>
        </w:tc>
        <w:tc>
          <w:tcPr>
            <w:tcW w:w="3530" w:type="pct"/>
            <w:vAlign w:val="center"/>
          </w:tcPr>
          <w:p w:rsidR="00DA39DC" w:rsidRPr="000A4366" w:rsidRDefault="00DA39DC" w:rsidP="00DA39DC">
            <w:pPr>
              <w:rPr>
                <w:sz w:val="20"/>
                <w:szCs w:val="20"/>
              </w:rPr>
            </w:pPr>
          </w:p>
        </w:tc>
      </w:tr>
      <w:tr w:rsidR="00DA39DC" w:rsidRPr="000A4366" w:rsidTr="00DA39DC">
        <w:trPr>
          <w:trHeight w:val="673"/>
        </w:trPr>
        <w:tc>
          <w:tcPr>
            <w:tcW w:w="1470" w:type="pct"/>
            <w:vAlign w:val="center"/>
          </w:tcPr>
          <w:p w:rsidR="00DA39DC" w:rsidRPr="000A4366" w:rsidRDefault="00DA39DC" w:rsidP="00DA39DC">
            <w:pPr>
              <w:rPr>
                <w:sz w:val="20"/>
              </w:rPr>
            </w:pPr>
            <w:r w:rsidRPr="000A4366">
              <w:rPr>
                <w:sz w:val="20"/>
              </w:rPr>
              <w:t>Physical Address:</w:t>
            </w:r>
          </w:p>
        </w:tc>
        <w:tc>
          <w:tcPr>
            <w:tcW w:w="3530" w:type="pct"/>
            <w:vAlign w:val="center"/>
          </w:tcPr>
          <w:p w:rsidR="00DA39DC" w:rsidRPr="000A4366" w:rsidRDefault="00DA39DC" w:rsidP="00DA39DC">
            <w:pPr>
              <w:rPr>
                <w:sz w:val="20"/>
                <w:szCs w:val="20"/>
              </w:rPr>
            </w:pPr>
          </w:p>
        </w:tc>
      </w:tr>
    </w:tbl>
    <w:p w:rsidR="00DA39DC" w:rsidRPr="000A4366"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HAS A TAX CLEARANCE AND PIN BEEN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6300" w:type="dxa"/>
            <w:tcBorders>
              <w:bottom w:val="single" w:sz="4" w:space="0" w:color="auto"/>
            </w:tcBorders>
          </w:tcPr>
          <w:p w:rsidR="00C42470" w:rsidRPr="000A4366" w:rsidRDefault="00C42470" w:rsidP="009C1CB7">
            <w:pPr>
              <w:spacing w:before="40" w:after="40"/>
              <w:rPr>
                <w:b/>
                <w:szCs w:val="20"/>
              </w:rPr>
            </w:pPr>
            <w:r w:rsidRPr="000A4366">
              <w:rPr>
                <w:b/>
              </w:rPr>
              <w:t>IF YES, PLEASE INDICATE THE EXPIRY DATE</w:t>
            </w:r>
          </w:p>
        </w:tc>
        <w:tc>
          <w:tcPr>
            <w:tcW w:w="425"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4"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8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529"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IS A VALID BBBEE CERTIFICATE BE</w:t>
            </w:r>
            <w:r w:rsidRPr="000A4366">
              <w:rPr>
                <w:b/>
                <w:szCs w:val="20"/>
              </w:rPr>
              <w:t>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jc w:val="right"/>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C42470" w:rsidRPr="000A4366" w:rsidTr="009C1CB7">
        <w:tc>
          <w:tcPr>
            <w:tcW w:w="6300" w:type="dxa"/>
          </w:tcPr>
          <w:p w:rsidR="00C42470" w:rsidRPr="000A4366" w:rsidRDefault="00C42470" w:rsidP="009C1CB7">
            <w:pPr>
              <w:spacing w:before="40" w:after="40"/>
              <w:rPr>
                <w:b/>
                <w:szCs w:val="20"/>
              </w:rPr>
            </w:pPr>
            <w:r w:rsidRPr="000A4366">
              <w:rPr>
                <w:b/>
                <w:szCs w:val="20"/>
              </w:rPr>
              <w:t>IF YES, PLEASE INDICATE THE EXPIRY DATE</w:t>
            </w:r>
          </w:p>
        </w:tc>
        <w:tc>
          <w:tcPr>
            <w:tcW w:w="425"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4" w:type="dxa"/>
            <w:vAlign w:val="center"/>
          </w:tcPr>
          <w:p w:rsidR="00C42470" w:rsidRPr="000A4366" w:rsidRDefault="00C42470" w:rsidP="009C1CB7">
            <w:pPr>
              <w:spacing w:before="40" w:after="40"/>
              <w:rPr>
                <w:b/>
                <w:szCs w:val="20"/>
              </w:rPr>
            </w:pPr>
            <w:r w:rsidRPr="000A4366">
              <w:rPr>
                <w:b/>
                <w:szCs w:val="20"/>
              </w:rPr>
              <w:t>Y</w:t>
            </w:r>
          </w:p>
        </w:tc>
        <w:tc>
          <w:tcPr>
            <w:tcW w:w="423" w:type="dxa"/>
            <w:vAlign w:val="center"/>
          </w:tcPr>
          <w:p w:rsidR="00C42470" w:rsidRPr="000A4366" w:rsidRDefault="00C42470" w:rsidP="009C1CB7">
            <w:pPr>
              <w:spacing w:before="40" w:after="40"/>
              <w:rPr>
                <w:b/>
                <w:szCs w:val="20"/>
              </w:rPr>
            </w:pPr>
            <w:r w:rsidRPr="000A4366">
              <w:rPr>
                <w:b/>
                <w:szCs w:val="20"/>
              </w:rPr>
              <w:t>Y</w:t>
            </w:r>
          </w:p>
        </w:tc>
        <w:tc>
          <w:tcPr>
            <w:tcW w:w="483" w:type="dxa"/>
            <w:vAlign w:val="center"/>
          </w:tcPr>
          <w:p w:rsidR="00C42470" w:rsidRPr="000A4366" w:rsidRDefault="00C42470" w:rsidP="009C1CB7">
            <w:pPr>
              <w:spacing w:before="40" w:after="40"/>
              <w:rPr>
                <w:b/>
                <w:szCs w:val="20"/>
              </w:rPr>
            </w:pPr>
            <w:r w:rsidRPr="000A4366">
              <w:rPr>
                <w:b/>
                <w:szCs w:val="20"/>
              </w:rPr>
              <w:t>Y</w:t>
            </w:r>
          </w:p>
        </w:tc>
        <w:tc>
          <w:tcPr>
            <w:tcW w:w="529" w:type="dxa"/>
            <w:vAlign w:val="center"/>
          </w:tcPr>
          <w:p w:rsidR="00C42470" w:rsidRPr="000A4366" w:rsidRDefault="00C42470" w:rsidP="009C1CB7">
            <w:pPr>
              <w:spacing w:before="40" w:after="40"/>
              <w:rPr>
                <w:b/>
                <w:szCs w:val="20"/>
              </w:rPr>
            </w:pPr>
            <w:r w:rsidRPr="000A4366">
              <w:rPr>
                <w:b/>
                <w:szCs w:val="20"/>
              </w:rPr>
              <w:t>Y</w:t>
            </w:r>
          </w:p>
        </w:tc>
      </w:tr>
    </w:tbl>
    <w:p w:rsidR="00C42470" w:rsidRPr="000A4366"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0A4366" w:rsidRPr="000A4366" w:rsidTr="00C42470">
        <w:trPr>
          <w:trHeight w:val="558"/>
        </w:trPr>
        <w:tc>
          <w:tcPr>
            <w:tcW w:w="5000" w:type="pct"/>
            <w:gridSpan w:val="2"/>
            <w:shd w:val="clear" w:color="auto" w:fill="ECE8D3"/>
            <w:vAlign w:val="center"/>
          </w:tcPr>
          <w:p w:rsidR="00DA39DC" w:rsidRPr="000A4366" w:rsidRDefault="00DA39DC" w:rsidP="00DA39DC">
            <w:pPr>
              <w:rPr>
                <w:sz w:val="20"/>
              </w:rPr>
            </w:pPr>
            <w:r w:rsidRPr="000A4366">
              <w:rPr>
                <w:b/>
                <w:sz w:val="20"/>
              </w:rPr>
              <w:t>Name of Company (2):</w:t>
            </w: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Registration Number:</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VAT Registration Number:</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Contact Person:</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Telephone Number:</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Fax Number:</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Email Address:</w:t>
            </w:r>
          </w:p>
        </w:tc>
        <w:tc>
          <w:tcPr>
            <w:tcW w:w="3530" w:type="pct"/>
            <w:vAlign w:val="center"/>
          </w:tcPr>
          <w:p w:rsidR="00DA39DC" w:rsidRPr="000A4366" w:rsidRDefault="00DA39DC" w:rsidP="00DA39DC">
            <w:pPr>
              <w:rPr>
                <w:sz w:val="20"/>
              </w:rPr>
            </w:pPr>
          </w:p>
        </w:tc>
      </w:tr>
      <w:tr w:rsidR="000A4366" w:rsidRPr="000A4366" w:rsidTr="00C42470">
        <w:trPr>
          <w:trHeight w:val="454"/>
        </w:trPr>
        <w:tc>
          <w:tcPr>
            <w:tcW w:w="1470" w:type="pct"/>
            <w:vAlign w:val="center"/>
          </w:tcPr>
          <w:p w:rsidR="00DA39DC" w:rsidRPr="000A4366" w:rsidRDefault="00DA39DC" w:rsidP="00DA39DC">
            <w:pPr>
              <w:rPr>
                <w:sz w:val="20"/>
              </w:rPr>
            </w:pPr>
            <w:r w:rsidRPr="000A4366">
              <w:rPr>
                <w:sz w:val="20"/>
              </w:rPr>
              <w:t>Postal Address:</w:t>
            </w:r>
          </w:p>
        </w:tc>
        <w:tc>
          <w:tcPr>
            <w:tcW w:w="3530" w:type="pct"/>
            <w:vAlign w:val="center"/>
          </w:tcPr>
          <w:p w:rsidR="00DA39DC" w:rsidRPr="000A4366" w:rsidRDefault="00DA39DC" w:rsidP="00DA39DC">
            <w:pPr>
              <w:rPr>
                <w:sz w:val="20"/>
              </w:rPr>
            </w:pPr>
          </w:p>
        </w:tc>
      </w:tr>
      <w:tr w:rsidR="00DA39DC" w:rsidRPr="000A4366" w:rsidTr="00C42470">
        <w:trPr>
          <w:trHeight w:val="980"/>
        </w:trPr>
        <w:tc>
          <w:tcPr>
            <w:tcW w:w="1470" w:type="pct"/>
          </w:tcPr>
          <w:p w:rsidR="00DA39DC" w:rsidRPr="000A4366" w:rsidRDefault="00DA39DC" w:rsidP="00DA39DC">
            <w:pPr>
              <w:spacing w:before="80" w:after="40"/>
              <w:rPr>
                <w:sz w:val="20"/>
              </w:rPr>
            </w:pPr>
            <w:r w:rsidRPr="000A4366">
              <w:rPr>
                <w:sz w:val="20"/>
              </w:rPr>
              <w:t>Physical Address:</w:t>
            </w:r>
          </w:p>
        </w:tc>
        <w:tc>
          <w:tcPr>
            <w:tcW w:w="3530" w:type="pct"/>
            <w:vAlign w:val="center"/>
          </w:tcPr>
          <w:p w:rsidR="00DA39DC" w:rsidRPr="000A4366" w:rsidRDefault="00DA39DC" w:rsidP="00DA39DC">
            <w:pPr>
              <w:rPr>
                <w:sz w:val="20"/>
              </w:rPr>
            </w:pPr>
          </w:p>
        </w:tc>
      </w:tr>
    </w:tbl>
    <w:p w:rsidR="00DA39DC" w:rsidRPr="000A4366"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HAS A TAX CLEARANCE AND PIN BEEN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6300" w:type="dxa"/>
            <w:tcBorders>
              <w:bottom w:val="single" w:sz="4" w:space="0" w:color="auto"/>
            </w:tcBorders>
          </w:tcPr>
          <w:p w:rsidR="00C42470" w:rsidRPr="000A4366" w:rsidRDefault="00C42470" w:rsidP="009C1CB7">
            <w:pPr>
              <w:spacing w:before="40" w:after="40"/>
              <w:rPr>
                <w:b/>
                <w:szCs w:val="20"/>
              </w:rPr>
            </w:pPr>
            <w:r w:rsidRPr="000A4366">
              <w:rPr>
                <w:b/>
              </w:rPr>
              <w:t>IF YES, PLEASE INDICATE THE EXPIRY DATE</w:t>
            </w:r>
          </w:p>
        </w:tc>
        <w:tc>
          <w:tcPr>
            <w:tcW w:w="425"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D</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M</w:t>
            </w:r>
          </w:p>
        </w:tc>
        <w:tc>
          <w:tcPr>
            <w:tcW w:w="424"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2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483"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c>
          <w:tcPr>
            <w:tcW w:w="529" w:type="dxa"/>
            <w:tcBorders>
              <w:bottom w:val="single" w:sz="4" w:space="0" w:color="auto"/>
            </w:tcBorders>
            <w:vAlign w:val="center"/>
          </w:tcPr>
          <w:p w:rsidR="00C42470" w:rsidRPr="000A4366" w:rsidRDefault="00C42470" w:rsidP="009C1CB7">
            <w:pPr>
              <w:spacing w:before="40" w:after="40"/>
              <w:jc w:val="center"/>
              <w:rPr>
                <w:b/>
                <w:szCs w:val="20"/>
              </w:rPr>
            </w:pPr>
            <w:r w:rsidRPr="000A4366">
              <w:rPr>
                <w:b/>
                <w:szCs w:val="20"/>
              </w:rPr>
              <w:t>Y</w:t>
            </w: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0A4366" w:rsidRPr="000A4366" w:rsidTr="009C1CB7">
        <w:tc>
          <w:tcPr>
            <w:tcW w:w="7148" w:type="dxa"/>
            <w:gridSpan w:val="3"/>
            <w:tcBorders>
              <w:bottom w:val="single" w:sz="4" w:space="0" w:color="auto"/>
              <w:right w:val="nil"/>
            </w:tcBorders>
          </w:tcPr>
          <w:p w:rsidR="00C42470" w:rsidRPr="000A4366" w:rsidRDefault="00C42470" w:rsidP="009C1CB7">
            <w:pPr>
              <w:spacing w:before="40" w:after="40"/>
              <w:rPr>
                <w:b/>
                <w:szCs w:val="20"/>
              </w:rPr>
            </w:pPr>
            <w:r w:rsidRPr="000A4366">
              <w:rPr>
                <w:b/>
              </w:rPr>
              <w:t>IS A VALID BBBEE CERTIFICATE BE</w:t>
            </w:r>
            <w:r w:rsidRPr="000A4366">
              <w:rPr>
                <w:b/>
                <w:szCs w:val="20"/>
              </w:rPr>
              <w:t>EN SUBMITTED?</w:t>
            </w:r>
          </w:p>
        </w:tc>
        <w:tc>
          <w:tcPr>
            <w:tcW w:w="846" w:type="dxa"/>
            <w:gridSpan w:val="2"/>
            <w:tcBorders>
              <w:left w:val="nil"/>
              <w:bottom w:val="single" w:sz="4" w:space="0" w:color="auto"/>
            </w:tcBorders>
          </w:tcPr>
          <w:p w:rsidR="00C42470" w:rsidRPr="000A4366" w:rsidRDefault="00C42470" w:rsidP="009C1CB7">
            <w:pPr>
              <w:spacing w:before="40" w:after="40"/>
              <w:jc w:val="right"/>
              <w:rPr>
                <w:b/>
                <w:szCs w:val="20"/>
              </w:rPr>
            </w:pPr>
            <w:r w:rsidRPr="000A4366">
              <w:rPr>
                <w:b/>
                <w:szCs w:val="20"/>
              </w:rPr>
              <w:t>Yes</w:t>
            </w:r>
          </w:p>
        </w:tc>
        <w:tc>
          <w:tcPr>
            <w:tcW w:w="424" w:type="dxa"/>
            <w:tcBorders>
              <w:bottom w:val="single" w:sz="4" w:space="0" w:color="auto"/>
            </w:tcBorders>
          </w:tcPr>
          <w:p w:rsidR="00C42470" w:rsidRPr="000A4366" w:rsidRDefault="00C42470" w:rsidP="009C1CB7">
            <w:pPr>
              <w:spacing w:before="40" w:after="40"/>
              <w:jc w:val="right"/>
              <w:rPr>
                <w:b/>
                <w:szCs w:val="20"/>
              </w:rPr>
            </w:pPr>
          </w:p>
        </w:tc>
        <w:tc>
          <w:tcPr>
            <w:tcW w:w="906" w:type="dxa"/>
            <w:gridSpan w:val="2"/>
            <w:tcBorders>
              <w:bottom w:val="single" w:sz="4" w:space="0" w:color="auto"/>
            </w:tcBorders>
          </w:tcPr>
          <w:p w:rsidR="00C42470" w:rsidRPr="000A4366" w:rsidRDefault="00C42470" w:rsidP="009C1CB7">
            <w:pPr>
              <w:spacing w:before="40" w:after="40"/>
              <w:jc w:val="right"/>
              <w:rPr>
                <w:b/>
                <w:szCs w:val="20"/>
              </w:rPr>
            </w:pPr>
            <w:r w:rsidRPr="000A4366">
              <w:rPr>
                <w:b/>
                <w:szCs w:val="20"/>
              </w:rPr>
              <w:t>No</w:t>
            </w:r>
          </w:p>
        </w:tc>
        <w:tc>
          <w:tcPr>
            <w:tcW w:w="529" w:type="dxa"/>
            <w:tcBorders>
              <w:bottom w:val="single" w:sz="4" w:space="0" w:color="auto"/>
            </w:tcBorders>
          </w:tcPr>
          <w:p w:rsidR="00C42470" w:rsidRPr="000A4366" w:rsidRDefault="00C42470" w:rsidP="009C1CB7">
            <w:pPr>
              <w:spacing w:before="40" w:after="40"/>
              <w:rPr>
                <w:b/>
                <w:szCs w:val="20"/>
              </w:rPr>
            </w:pPr>
          </w:p>
        </w:tc>
      </w:tr>
      <w:tr w:rsidR="000A4366" w:rsidRPr="000A4366" w:rsidTr="009C1CB7">
        <w:tc>
          <w:tcPr>
            <w:tcW w:w="9853" w:type="dxa"/>
            <w:gridSpan w:val="9"/>
            <w:tcBorders>
              <w:left w:val="nil"/>
              <w:right w:val="nil"/>
            </w:tcBorders>
          </w:tcPr>
          <w:p w:rsidR="00C42470" w:rsidRPr="000A4366" w:rsidRDefault="00C42470" w:rsidP="009C1CB7">
            <w:pPr>
              <w:spacing w:before="40" w:after="40"/>
              <w:rPr>
                <w:b/>
                <w:szCs w:val="20"/>
              </w:rPr>
            </w:pPr>
          </w:p>
        </w:tc>
      </w:tr>
      <w:tr w:rsidR="00C42470" w:rsidRPr="000A4366" w:rsidTr="009C1CB7">
        <w:tc>
          <w:tcPr>
            <w:tcW w:w="6300" w:type="dxa"/>
          </w:tcPr>
          <w:p w:rsidR="00C42470" w:rsidRPr="000A4366" w:rsidRDefault="00C42470" w:rsidP="009C1CB7">
            <w:pPr>
              <w:spacing w:before="40" w:after="40"/>
              <w:rPr>
                <w:b/>
                <w:szCs w:val="20"/>
              </w:rPr>
            </w:pPr>
            <w:r w:rsidRPr="000A4366">
              <w:rPr>
                <w:b/>
                <w:szCs w:val="20"/>
              </w:rPr>
              <w:t>IF YES, PLEASE INDICATE THE EXPIRY DATE</w:t>
            </w:r>
          </w:p>
        </w:tc>
        <w:tc>
          <w:tcPr>
            <w:tcW w:w="425"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D</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3" w:type="dxa"/>
            <w:vAlign w:val="center"/>
          </w:tcPr>
          <w:p w:rsidR="00C42470" w:rsidRPr="000A4366" w:rsidRDefault="00C42470" w:rsidP="009C1CB7">
            <w:pPr>
              <w:spacing w:before="40" w:after="40"/>
              <w:rPr>
                <w:b/>
                <w:szCs w:val="20"/>
              </w:rPr>
            </w:pPr>
            <w:r w:rsidRPr="000A4366">
              <w:rPr>
                <w:b/>
                <w:szCs w:val="20"/>
              </w:rPr>
              <w:t>M</w:t>
            </w:r>
          </w:p>
        </w:tc>
        <w:tc>
          <w:tcPr>
            <w:tcW w:w="424" w:type="dxa"/>
            <w:vAlign w:val="center"/>
          </w:tcPr>
          <w:p w:rsidR="00C42470" w:rsidRPr="000A4366" w:rsidRDefault="00C42470" w:rsidP="009C1CB7">
            <w:pPr>
              <w:spacing w:before="40" w:after="40"/>
              <w:rPr>
                <w:b/>
                <w:szCs w:val="20"/>
              </w:rPr>
            </w:pPr>
            <w:r w:rsidRPr="000A4366">
              <w:rPr>
                <w:b/>
                <w:szCs w:val="20"/>
              </w:rPr>
              <w:t>Y</w:t>
            </w:r>
          </w:p>
        </w:tc>
        <w:tc>
          <w:tcPr>
            <w:tcW w:w="423" w:type="dxa"/>
            <w:vAlign w:val="center"/>
          </w:tcPr>
          <w:p w:rsidR="00C42470" w:rsidRPr="000A4366" w:rsidRDefault="00C42470" w:rsidP="009C1CB7">
            <w:pPr>
              <w:spacing w:before="40" w:after="40"/>
              <w:rPr>
                <w:b/>
                <w:szCs w:val="20"/>
              </w:rPr>
            </w:pPr>
            <w:r w:rsidRPr="000A4366">
              <w:rPr>
                <w:b/>
                <w:szCs w:val="20"/>
              </w:rPr>
              <w:t>Y</w:t>
            </w:r>
          </w:p>
        </w:tc>
        <w:tc>
          <w:tcPr>
            <w:tcW w:w="483" w:type="dxa"/>
            <w:vAlign w:val="center"/>
          </w:tcPr>
          <w:p w:rsidR="00C42470" w:rsidRPr="000A4366" w:rsidRDefault="00C42470" w:rsidP="009C1CB7">
            <w:pPr>
              <w:spacing w:before="40" w:after="40"/>
              <w:rPr>
                <w:b/>
                <w:szCs w:val="20"/>
              </w:rPr>
            </w:pPr>
            <w:r w:rsidRPr="000A4366">
              <w:rPr>
                <w:b/>
                <w:szCs w:val="20"/>
              </w:rPr>
              <w:t>Y</w:t>
            </w:r>
          </w:p>
        </w:tc>
        <w:tc>
          <w:tcPr>
            <w:tcW w:w="529" w:type="dxa"/>
            <w:vAlign w:val="center"/>
          </w:tcPr>
          <w:p w:rsidR="00C42470" w:rsidRPr="000A4366" w:rsidRDefault="00C42470" w:rsidP="009C1CB7">
            <w:pPr>
              <w:spacing w:before="40" w:after="40"/>
              <w:rPr>
                <w:b/>
                <w:szCs w:val="20"/>
              </w:rPr>
            </w:pPr>
            <w:r w:rsidRPr="000A4366">
              <w:rPr>
                <w:b/>
                <w:szCs w:val="20"/>
              </w:rPr>
              <w:t>Y</w:t>
            </w:r>
          </w:p>
        </w:tc>
      </w:tr>
    </w:tbl>
    <w:p w:rsidR="00C42470" w:rsidRPr="000A4366"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0A4366" w:rsidRPr="000A4366" w:rsidTr="00C42470">
        <w:trPr>
          <w:trHeight w:val="472"/>
        </w:trPr>
        <w:tc>
          <w:tcPr>
            <w:tcW w:w="5000" w:type="pct"/>
            <w:gridSpan w:val="2"/>
            <w:shd w:val="clear" w:color="auto" w:fill="ECE8D3"/>
            <w:vAlign w:val="center"/>
          </w:tcPr>
          <w:p w:rsidR="00DA39DC" w:rsidRPr="000A4366" w:rsidRDefault="00DA39DC" w:rsidP="00DA39DC">
            <w:pPr>
              <w:rPr>
                <w:sz w:val="20"/>
              </w:rPr>
            </w:pPr>
            <w:r w:rsidRPr="000A4366">
              <w:rPr>
                <w:b/>
                <w:sz w:val="20"/>
              </w:rPr>
              <w:t>Name of Company (3):</w:t>
            </w: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Registration Number:</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VAT Registration Number:</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Contact Person:</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Telephone Number:</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Fax Number:</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lastRenderedPageBreak/>
              <w:t>Email Address:</w:t>
            </w:r>
          </w:p>
        </w:tc>
        <w:tc>
          <w:tcPr>
            <w:tcW w:w="3530" w:type="pct"/>
            <w:vAlign w:val="center"/>
          </w:tcPr>
          <w:p w:rsidR="00DA39DC" w:rsidRPr="000A4366" w:rsidRDefault="00DA39DC" w:rsidP="00DA39DC">
            <w:pPr>
              <w:rPr>
                <w:sz w:val="20"/>
              </w:rPr>
            </w:pPr>
          </w:p>
        </w:tc>
      </w:tr>
      <w:tr w:rsidR="000A4366" w:rsidRPr="000A4366" w:rsidTr="00C42470">
        <w:trPr>
          <w:trHeight w:val="472"/>
        </w:trPr>
        <w:tc>
          <w:tcPr>
            <w:tcW w:w="1470" w:type="pct"/>
            <w:vAlign w:val="center"/>
          </w:tcPr>
          <w:p w:rsidR="00DA39DC" w:rsidRPr="000A4366" w:rsidRDefault="00DA39DC" w:rsidP="00DA39DC">
            <w:pPr>
              <w:rPr>
                <w:sz w:val="20"/>
              </w:rPr>
            </w:pPr>
            <w:r w:rsidRPr="000A4366">
              <w:rPr>
                <w:sz w:val="20"/>
              </w:rPr>
              <w:t>Postal Address:</w:t>
            </w:r>
          </w:p>
        </w:tc>
        <w:tc>
          <w:tcPr>
            <w:tcW w:w="3530" w:type="pct"/>
            <w:vAlign w:val="center"/>
          </w:tcPr>
          <w:p w:rsidR="00DA39DC" w:rsidRPr="000A4366" w:rsidRDefault="00DA39DC" w:rsidP="00DA39DC">
            <w:pPr>
              <w:rPr>
                <w:sz w:val="20"/>
              </w:rPr>
            </w:pPr>
          </w:p>
        </w:tc>
      </w:tr>
      <w:tr w:rsidR="00DA39DC" w:rsidRPr="000A4366" w:rsidTr="00C42470">
        <w:trPr>
          <w:trHeight w:val="888"/>
        </w:trPr>
        <w:tc>
          <w:tcPr>
            <w:tcW w:w="1470" w:type="pct"/>
          </w:tcPr>
          <w:p w:rsidR="00DA39DC" w:rsidRPr="000A4366" w:rsidRDefault="00DA39DC" w:rsidP="00DA39DC">
            <w:pPr>
              <w:spacing w:before="80" w:after="40"/>
              <w:rPr>
                <w:sz w:val="20"/>
              </w:rPr>
            </w:pPr>
            <w:r w:rsidRPr="000A4366">
              <w:rPr>
                <w:sz w:val="20"/>
              </w:rPr>
              <w:t>Physical Address:</w:t>
            </w:r>
          </w:p>
        </w:tc>
        <w:tc>
          <w:tcPr>
            <w:tcW w:w="3530" w:type="pct"/>
            <w:vAlign w:val="center"/>
          </w:tcPr>
          <w:p w:rsidR="00DA39DC" w:rsidRPr="000A4366" w:rsidRDefault="00DA39DC" w:rsidP="00DA39DC">
            <w:pPr>
              <w:rPr>
                <w:sz w:val="20"/>
              </w:rPr>
            </w:pPr>
          </w:p>
        </w:tc>
      </w:tr>
    </w:tbl>
    <w:p w:rsidR="00DA39DC" w:rsidRPr="000A4366"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0A4366" w:rsidRPr="000A4366" w:rsidTr="00DA39DC">
        <w:tc>
          <w:tcPr>
            <w:tcW w:w="7148" w:type="dxa"/>
            <w:gridSpan w:val="3"/>
            <w:tcBorders>
              <w:bottom w:val="single" w:sz="4" w:space="0" w:color="auto"/>
              <w:right w:val="nil"/>
            </w:tcBorders>
          </w:tcPr>
          <w:p w:rsidR="00DA39DC" w:rsidRPr="000A4366" w:rsidRDefault="00DA39DC" w:rsidP="00DA39DC">
            <w:pPr>
              <w:spacing w:before="40" w:after="40"/>
              <w:rPr>
                <w:b/>
                <w:szCs w:val="20"/>
              </w:rPr>
            </w:pPr>
            <w:r w:rsidRPr="000A4366">
              <w:rPr>
                <w:b/>
              </w:rPr>
              <w:t>HAS A TAX CLEARANCE AND PIN BEEN SUBMITTED?</w:t>
            </w:r>
          </w:p>
        </w:tc>
        <w:tc>
          <w:tcPr>
            <w:tcW w:w="846" w:type="dxa"/>
            <w:gridSpan w:val="2"/>
            <w:tcBorders>
              <w:left w:val="nil"/>
              <w:bottom w:val="single" w:sz="4" w:space="0" w:color="auto"/>
            </w:tcBorders>
          </w:tcPr>
          <w:p w:rsidR="00DA39DC" w:rsidRPr="000A4366" w:rsidRDefault="00DA39DC" w:rsidP="00DA39DC">
            <w:pPr>
              <w:spacing w:before="40" w:after="40"/>
              <w:jc w:val="right"/>
              <w:rPr>
                <w:b/>
                <w:szCs w:val="20"/>
              </w:rPr>
            </w:pPr>
            <w:r w:rsidRPr="000A4366">
              <w:rPr>
                <w:b/>
                <w:szCs w:val="20"/>
              </w:rPr>
              <w:t>Yes</w:t>
            </w:r>
          </w:p>
        </w:tc>
        <w:tc>
          <w:tcPr>
            <w:tcW w:w="424" w:type="dxa"/>
            <w:tcBorders>
              <w:bottom w:val="single" w:sz="4" w:space="0" w:color="auto"/>
            </w:tcBorders>
          </w:tcPr>
          <w:p w:rsidR="00DA39DC" w:rsidRPr="000A4366" w:rsidRDefault="00DA39DC" w:rsidP="00DA39DC">
            <w:pPr>
              <w:spacing w:before="40" w:after="40"/>
              <w:rPr>
                <w:b/>
                <w:szCs w:val="20"/>
              </w:rPr>
            </w:pPr>
          </w:p>
        </w:tc>
        <w:tc>
          <w:tcPr>
            <w:tcW w:w="906" w:type="dxa"/>
            <w:gridSpan w:val="2"/>
            <w:tcBorders>
              <w:bottom w:val="single" w:sz="4" w:space="0" w:color="auto"/>
            </w:tcBorders>
          </w:tcPr>
          <w:p w:rsidR="00DA39DC" w:rsidRPr="000A4366" w:rsidRDefault="00DA39DC" w:rsidP="00DA39DC">
            <w:pPr>
              <w:spacing w:before="40" w:after="40"/>
              <w:jc w:val="right"/>
              <w:rPr>
                <w:b/>
                <w:szCs w:val="20"/>
              </w:rPr>
            </w:pPr>
            <w:r w:rsidRPr="000A4366">
              <w:rPr>
                <w:b/>
                <w:szCs w:val="20"/>
              </w:rPr>
              <w:t>No</w:t>
            </w:r>
          </w:p>
        </w:tc>
        <w:tc>
          <w:tcPr>
            <w:tcW w:w="529" w:type="dxa"/>
            <w:tcBorders>
              <w:bottom w:val="single" w:sz="4" w:space="0" w:color="auto"/>
            </w:tcBorders>
          </w:tcPr>
          <w:p w:rsidR="00DA39DC" w:rsidRPr="000A4366" w:rsidRDefault="00DA39DC" w:rsidP="00DA39DC">
            <w:pPr>
              <w:spacing w:before="40" w:after="40"/>
              <w:rPr>
                <w:b/>
                <w:szCs w:val="20"/>
              </w:rPr>
            </w:pPr>
          </w:p>
        </w:tc>
      </w:tr>
      <w:tr w:rsidR="000A4366" w:rsidRPr="000A4366" w:rsidTr="00DA39DC">
        <w:tc>
          <w:tcPr>
            <w:tcW w:w="9853" w:type="dxa"/>
            <w:gridSpan w:val="9"/>
            <w:tcBorders>
              <w:left w:val="nil"/>
              <w:right w:val="nil"/>
            </w:tcBorders>
          </w:tcPr>
          <w:p w:rsidR="00DA39DC" w:rsidRPr="000A4366" w:rsidRDefault="00DA39DC" w:rsidP="00DA39DC">
            <w:pPr>
              <w:spacing w:before="40" w:after="40"/>
              <w:rPr>
                <w:b/>
                <w:szCs w:val="20"/>
              </w:rPr>
            </w:pPr>
          </w:p>
        </w:tc>
      </w:tr>
      <w:tr w:rsidR="000A4366" w:rsidRPr="000A4366" w:rsidTr="00DA39DC">
        <w:tc>
          <w:tcPr>
            <w:tcW w:w="6300" w:type="dxa"/>
            <w:tcBorders>
              <w:bottom w:val="single" w:sz="4" w:space="0" w:color="auto"/>
            </w:tcBorders>
          </w:tcPr>
          <w:p w:rsidR="00DA39DC" w:rsidRPr="000A4366" w:rsidRDefault="00DA39DC" w:rsidP="00DA39DC">
            <w:pPr>
              <w:spacing w:before="40" w:after="40"/>
              <w:rPr>
                <w:b/>
                <w:szCs w:val="20"/>
              </w:rPr>
            </w:pPr>
            <w:r w:rsidRPr="000A4366">
              <w:rPr>
                <w:b/>
              </w:rPr>
              <w:t>IF YES, PLEASE INDICATE THE EXPIRY DATE</w:t>
            </w:r>
          </w:p>
        </w:tc>
        <w:tc>
          <w:tcPr>
            <w:tcW w:w="425"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D</w:t>
            </w:r>
          </w:p>
        </w:tc>
        <w:tc>
          <w:tcPr>
            <w:tcW w:w="423"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D</w:t>
            </w:r>
          </w:p>
        </w:tc>
        <w:tc>
          <w:tcPr>
            <w:tcW w:w="423"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M</w:t>
            </w:r>
          </w:p>
        </w:tc>
        <w:tc>
          <w:tcPr>
            <w:tcW w:w="423"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M</w:t>
            </w:r>
          </w:p>
        </w:tc>
        <w:tc>
          <w:tcPr>
            <w:tcW w:w="424"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Y</w:t>
            </w:r>
          </w:p>
        </w:tc>
        <w:tc>
          <w:tcPr>
            <w:tcW w:w="423"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Y</w:t>
            </w:r>
          </w:p>
        </w:tc>
        <w:tc>
          <w:tcPr>
            <w:tcW w:w="483"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Y</w:t>
            </w:r>
          </w:p>
        </w:tc>
        <w:tc>
          <w:tcPr>
            <w:tcW w:w="529" w:type="dxa"/>
            <w:tcBorders>
              <w:bottom w:val="single" w:sz="4" w:space="0" w:color="auto"/>
            </w:tcBorders>
            <w:vAlign w:val="center"/>
          </w:tcPr>
          <w:p w:rsidR="00DA39DC" w:rsidRPr="000A4366" w:rsidRDefault="00DA39DC" w:rsidP="00DA39DC">
            <w:pPr>
              <w:spacing w:before="40" w:after="40"/>
              <w:jc w:val="center"/>
              <w:rPr>
                <w:b/>
                <w:szCs w:val="20"/>
              </w:rPr>
            </w:pPr>
            <w:r w:rsidRPr="000A4366">
              <w:rPr>
                <w:b/>
                <w:szCs w:val="20"/>
              </w:rPr>
              <w:t>Y</w:t>
            </w:r>
          </w:p>
        </w:tc>
      </w:tr>
      <w:tr w:rsidR="000A4366" w:rsidRPr="000A4366" w:rsidTr="00DA39DC">
        <w:tc>
          <w:tcPr>
            <w:tcW w:w="9853" w:type="dxa"/>
            <w:gridSpan w:val="9"/>
            <w:tcBorders>
              <w:left w:val="nil"/>
              <w:right w:val="nil"/>
            </w:tcBorders>
          </w:tcPr>
          <w:p w:rsidR="00DA39DC" w:rsidRPr="000A4366" w:rsidRDefault="00DA39DC" w:rsidP="00DA39DC">
            <w:pPr>
              <w:spacing w:before="40" w:after="40"/>
              <w:rPr>
                <w:b/>
                <w:szCs w:val="20"/>
              </w:rPr>
            </w:pPr>
          </w:p>
        </w:tc>
      </w:tr>
      <w:tr w:rsidR="000A4366" w:rsidRPr="000A4366" w:rsidTr="00DA39DC">
        <w:tc>
          <w:tcPr>
            <w:tcW w:w="7148" w:type="dxa"/>
            <w:gridSpan w:val="3"/>
            <w:tcBorders>
              <w:bottom w:val="single" w:sz="4" w:space="0" w:color="auto"/>
              <w:right w:val="nil"/>
            </w:tcBorders>
          </w:tcPr>
          <w:p w:rsidR="00DA39DC" w:rsidRPr="000A4366" w:rsidRDefault="00DA39DC" w:rsidP="00DA39DC">
            <w:pPr>
              <w:spacing w:before="40" w:after="40"/>
              <w:rPr>
                <w:b/>
                <w:szCs w:val="20"/>
              </w:rPr>
            </w:pPr>
            <w:r w:rsidRPr="000A4366">
              <w:rPr>
                <w:b/>
              </w:rPr>
              <w:t>IS A VALID BBBEE CERTIFICATE BE</w:t>
            </w:r>
            <w:r w:rsidRPr="000A4366">
              <w:rPr>
                <w:b/>
                <w:szCs w:val="20"/>
              </w:rPr>
              <w:t>EN SUBMITTED?</w:t>
            </w:r>
          </w:p>
        </w:tc>
        <w:tc>
          <w:tcPr>
            <w:tcW w:w="846" w:type="dxa"/>
            <w:gridSpan w:val="2"/>
            <w:tcBorders>
              <w:left w:val="nil"/>
              <w:bottom w:val="single" w:sz="4" w:space="0" w:color="auto"/>
            </w:tcBorders>
          </w:tcPr>
          <w:p w:rsidR="00DA39DC" w:rsidRPr="000A4366" w:rsidRDefault="00DA39DC" w:rsidP="00DA39DC">
            <w:pPr>
              <w:spacing w:before="40" w:after="40"/>
              <w:jc w:val="right"/>
              <w:rPr>
                <w:b/>
                <w:szCs w:val="20"/>
              </w:rPr>
            </w:pPr>
            <w:r w:rsidRPr="000A4366">
              <w:rPr>
                <w:b/>
                <w:szCs w:val="20"/>
              </w:rPr>
              <w:t>Yes</w:t>
            </w:r>
          </w:p>
        </w:tc>
        <w:tc>
          <w:tcPr>
            <w:tcW w:w="424" w:type="dxa"/>
            <w:tcBorders>
              <w:bottom w:val="single" w:sz="4" w:space="0" w:color="auto"/>
            </w:tcBorders>
          </w:tcPr>
          <w:p w:rsidR="00DA39DC" w:rsidRPr="000A4366" w:rsidRDefault="00DA39DC" w:rsidP="00DA39DC">
            <w:pPr>
              <w:spacing w:before="40" w:after="40"/>
              <w:jc w:val="right"/>
              <w:rPr>
                <w:b/>
                <w:szCs w:val="20"/>
              </w:rPr>
            </w:pPr>
          </w:p>
        </w:tc>
        <w:tc>
          <w:tcPr>
            <w:tcW w:w="906" w:type="dxa"/>
            <w:gridSpan w:val="2"/>
            <w:tcBorders>
              <w:bottom w:val="single" w:sz="4" w:space="0" w:color="auto"/>
            </w:tcBorders>
          </w:tcPr>
          <w:p w:rsidR="00DA39DC" w:rsidRPr="000A4366" w:rsidRDefault="00DA39DC" w:rsidP="00DA39DC">
            <w:pPr>
              <w:spacing w:before="40" w:after="40"/>
              <w:jc w:val="right"/>
              <w:rPr>
                <w:b/>
                <w:szCs w:val="20"/>
              </w:rPr>
            </w:pPr>
            <w:r w:rsidRPr="000A4366">
              <w:rPr>
                <w:b/>
                <w:szCs w:val="20"/>
              </w:rPr>
              <w:t>No</w:t>
            </w:r>
          </w:p>
        </w:tc>
        <w:tc>
          <w:tcPr>
            <w:tcW w:w="529" w:type="dxa"/>
            <w:tcBorders>
              <w:bottom w:val="single" w:sz="4" w:space="0" w:color="auto"/>
            </w:tcBorders>
          </w:tcPr>
          <w:p w:rsidR="00DA39DC" w:rsidRPr="000A4366" w:rsidRDefault="00DA39DC" w:rsidP="00DA39DC">
            <w:pPr>
              <w:spacing w:before="40" w:after="40"/>
              <w:rPr>
                <w:b/>
                <w:szCs w:val="20"/>
              </w:rPr>
            </w:pPr>
          </w:p>
        </w:tc>
      </w:tr>
      <w:tr w:rsidR="000A4366" w:rsidRPr="000A4366" w:rsidTr="00DA39DC">
        <w:tc>
          <w:tcPr>
            <w:tcW w:w="9853" w:type="dxa"/>
            <w:gridSpan w:val="9"/>
            <w:tcBorders>
              <w:left w:val="nil"/>
              <w:right w:val="nil"/>
            </w:tcBorders>
          </w:tcPr>
          <w:p w:rsidR="00DA39DC" w:rsidRPr="000A4366" w:rsidRDefault="00DA39DC" w:rsidP="00DA39DC">
            <w:pPr>
              <w:spacing w:before="40" w:after="40"/>
              <w:rPr>
                <w:b/>
                <w:szCs w:val="20"/>
              </w:rPr>
            </w:pPr>
          </w:p>
        </w:tc>
      </w:tr>
      <w:tr w:rsidR="00DA39DC" w:rsidRPr="000A4366" w:rsidTr="00DA39DC">
        <w:tc>
          <w:tcPr>
            <w:tcW w:w="6300" w:type="dxa"/>
          </w:tcPr>
          <w:p w:rsidR="00DA39DC" w:rsidRPr="000A4366" w:rsidRDefault="00DA39DC" w:rsidP="00DA39DC">
            <w:pPr>
              <w:spacing w:before="40" w:after="40"/>
              <w:rPr>
                <w:b/>
                <w:szCs w:val="20"/>
              </w:rPr>
            </w:pPr>
            <w:r w:rsidRPr="000A4366">
              <w:rPr>
                <w:b/>
                <w:szCs w:val="20"/>
              </w:rPr>
              <w:t>IF YES, PLEASE INDICATE THE EXPIRY DATE</w:t>
            </w:r>
          </w:p>
        </w:tc>
        <w:tc>
          <w:tcPr>
            <w:tcW w:w="425" w:type="dxa"/>
            <w:vAlign w:val="center"/>
          </w:tcPr>
          <w:p w:rsidR="00DA39DC" w:rsidRPr="000A4366" w:rsidRDefault="00DA39DC" w:rsidP="00DA39DC">
            <w:pPr>
              <w:spacing w:before="40" w:after="40"/>
              <w:rPr>
                <w:b/>
                <w:szCs w:val="20"/>
              </w:rPr>
            </w:pPr>
            <w:r w:rsidRPr="000A4366">
              <w:rPr>
                <w:b/>
                <w:szCs w:val="20"/>
              </w:rPr>
              <w:t>D</w:t>
            </w:r>
          </w:p>
        </w:tc>
        <w:tc>
          <w:tcPr>
            <w:tcW w:w="423" w:type="dxa"/>
            <w:vAlign w:val="center"/>
          </w:tcPr>
          <w:p w:rsidR="00DA39DC" w:rsidRPr="000A4366" w:rsidRDefault="00DA39DC" w:rsidP="00DA39DC">
            <w:pPr>
              <w:spacing w:before="40" w:after="40"/>
              <w:rPr>
                <w:b/>
                <w:szCs w:val="20"/>
              </w:rPr>
            </w:pPr>
            <w:r w:rsidRPr="000A4366">
              <w:rPr>
                <w:b/>
                <w:szCs w:val="20"/>
              </w:rPr>
              <w:t>D</w:t>
            </w:r>
          </w:p>
        </w:tc>
        <w:tc>
          <w:tcPr>
            <w:tcW w:w="423" w:type="dxa"/>
            <w:vAlign w:val="center"/>
          </w:tcPr>
          <w:p w:rsidR="00DA39DC" w:rsidRPr="000A4366" w:rsidRDefault="00DA39DC" w:rsidP="00DA39DC">
            <w:pPr>
              <w:spacing w:before="40" w:after="40"/>
              <w:rPr>
                <w:b/>
                <w:szCs w:val="20"/>
              </w:rPr>
            </w:pPr>
            <w:r w:rsidRPr="000A4366">
              <w:rPr>
                <w:b/>
                <w:szCs w:val="20"/>
              </w:rPr>
              <w:t>M</w:t>
            </w:r>
          </w:p>
        </w:tc>
        <w:tc>
          <w:tcPr>
            <w:tcW w:w="423" w:type="dxa"/>
            <w:vAlign w:val="center"/>
          </w:tcPr>
          <w:p w:rsidR="00DA39DC" w:rsidRPr="000A4366" w:rsidRDefault="00DA39DC" w:rsidP="00DA39DC">
            <w:pPr>
              <w:spacing w:before="40" w:after="40"/>
              <w:rPr>
                <w:b/>
                <w:szCs w:val="20"/>
              </w:rPr>
            </w:pPr>
            <w:r w:rsidRPr="000A4366">
              <w:rPr>
                <w:b/>
                <w:szCs w:val="20"/>
              </w:rPr>
              <w:t>M</w:t>
            </w:r>
          </w:p>
        </w:tc>
        <w:tc>
          <w:tcPr>
            <w:tcW w:w="424" w:type="dxa"/>
            <w:vAlign w:val="center"/>
          </w:tcPr>
          <w:p w:rsidR="00DA39DC" w:rsidRPr="000A4366" w:rsidRDefault="00DA39DC" w:rsidP="00DA39DC">
            <w:pPr>
              <w:spacing w:before="40" w:after="40"/>
              <w:rPr>
                <w:b/>
                <w:szCs w:val="20"/>
              </w:rPr>
            </w:pPr>
            <w:r w:rsidRPr="000A4366">
              <w:rPr>
                <w:b/>
                <w:szCs w:val="20"/>
              </w:rPr>
              <w:t>Y</w:t>
            </w:r>
          </w:p>
        </w:tc>
        <w:tc>
          <w:tcPr>
            <w:tcW w:w="423" w:type="dxa"/>
            <w:vAlign w:val="center"/>
          </w:tcPr>
          <w:p w:rsidR="00DA39DC" w:rsidRPr="000A4366" w:rsidRDefault="00DA39DC" w:rsidP="00DA39DC">
            <w:pPr>
              <w:spacing w:before="40" w:after="40"/>
              <w:rPr>
                <w:b/>
                <w:szCs w:val="20"/>
              </w:rPr>
            </w:pPr>
            <w:r w:rsidRPr="000A4366">
              <w:rPr>
                <w:b/>
                <w:szCs w:val="20"/>
              </w:rPr>
              <w:t>Y</w:t>
            </w:r>
          </w:p>
        </w:tc>
        <w:tc>
          <w:tcPr>
            <w:tcW w:w="483" w:type="dxa"/>
            <w:vAlign w:val="center"/>
          </w:tcPr>
          <w:p w:rsidR="00DA39DC" w:rsidRPr="000A4366" w:rsidRDefault="00DA39DC" w:rsidP="00DA39DC">
            <w:pPr>
              <w:spacing w:before="40" w:after="40"/>
              <w:rPr>
                <w:b/>
                <w:szCs w:val="20"/>
              </w:rPr>
            </w:pPr>
            <w:r w:rsidRPr="000A4366">
              <w:rPr>
                <w:b/>
                <w:szCs w:val="20"/>
              </w:rPr>
              <w:t>Y</w:t>
            </w:r>
          </w:p>
        </w:tc>
        <w:tc>
          <w:tcPr>
            <w:tcW w:w="529" w:type="dxa"/>
            <w:vAlign w:val="center"/>
          </w:tcPr>
          <w:p w:rsidR="00DA39DC" w:rsidRPr="000A4366" w:rsidRDefault="00DA39DC" w:rsidP="00DA39DC">
            <w:pPr>
              <w:spacing w:before="40" w:after="40"/>
              <w:rPr>
                <w:b/>
                <w:szCs w:val="20"/>
              </w:rPr>
            </w:pPr>
            <w:r w:rsidRPr="000A4366">
              <w:rPr>
                <w:b/>
                <w:szCs w:val="20"/>
              </w:rPr>
              <w:t>Y</w:t>
            </w:r>
          </w:p>
        </w:tc>
      </w:tr>
    </w:tbl>
    <w:p w:rsidR="00DA39DC" w:rsidRPr="000A4366"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0A4366" w:rsidRPr="000A4366" w:rsidTr="00DA39DC">
        <w:tc>
          <w:tcPr>
            <w:tcW w:w="5000" w:type="pct"/>
            <w:gridSpan w:val="5"/>
            <w:tcBorders>
              <w:bottom w:val="nil"/>
            </w:tcBorders>
          </w:tcPr>
          <w:p w:rsidR="00DA39DC" w:rsidRPr="000A4366" w:rsidRDefault="00DA39DC" w:rsidP="00C42470">
            <w:pPr>
              <w:jc w:val="both"/>
              <w:rPr>
                <w:sz w:val="20"/>
                <w:szCs w:val="20"/>
              </w:rPr>
            </w:pPr>
            <w:r w:rsidRPr="000A4366">
              <w:rPr>
                <w:sz w:val="20"/>
                <w:szCs w:val="20"/>
              </w:rPr>
              <w:t>I CERTIFY THAT THE INFORMATION PROVIDED ON THIS FORM IS TRUE AND CORRECT.</w:t>
            </w:r>
          </w:p>
          <w:p w:rsidR="00DA39DC" w:rsidRPr="000A4366" w:rsidRDefault="00DA39DC" w:rsidP="00C42470">
            <w:pPr>
              <w:jc w:val="both"/>
              <w:rPr>
                <w:sz w:val="20"/>
                <w:szCs w:val="20"/>
              </w:rPr>
            </w:pPr>
            <w:r w:rsidRPr="000A4366">
              <w:rPr>
                <w:sz w:val="20"/>
                <w:szCs w:val="20"/>
              </w:rPr>
              <w:t>I FURTHER ACCEPT THAT, IN ADDITION TO CANCELLATION OF CONTRACT, ACTION MAY BE TAKEN AGAINST ME SHOULD THIS DECLARATION PROVE TO BE FALSE.</w:t>
            </w:r>
          </w:p>
          <w:p w:rsidR="00DA39DC" w:rsidRPr="000A4366" w:rsidRDefault="00DA39DC" w:rsidP="00DA39DC">
            <w:pPr>
              <w:rPr>
                <w:sz w:val="20"/>
                <w:szCs w:val="20"/>
              </w:rPr>
            </w:pPr>
          </w:p>
          <w:p w:rsidR="00DA39DC" w:rsidRPr="000A4366" w:rsidRDefault="00DA39DC" w:rsidP="00DA39DC">
            <w:pPr>
              <w:rPr>
                <w:sz w:val="20"/>
                <w:szCs w:val="20"/>
              </w:rPr>
            </w:pPr>
          </w:p>
          <w:p w:rsidR="00DA39DC" w:rsidRPr="000A4366" w:rsidRDefault="00DA39DC" w:rsidP="00DA39DC">
            <w:pPr>
              <w:rPr>
                <w:sz w:val="20"/>
                <w:szCs w:val="20"/>
              </w:rPr>
            </w:pPr>
          </w:p>
        </w:tc>
      </w:tr>
      <w:tr w:rsidR="000A4366" w:rsidRPr="000A4366" w:rsidTr="00DA39DC">
        <w:tc>
          <w:tcPr>
            <w:tcW w:w="2356" w:type="pct"/>
            <w:gridSpan w:val="2"/>
            <w:tcBorders>
              <w:top w:val="nil"/>
              <w:bottom w:val="single" w:sz="4" w:space="0" w:color="auto"/>
              <w:right w:val="nil"/>
            </w:tcBorders>
          </w:tcPr>
          <w:p w:rsidR="00DA39DC" w:rsidRPr="000A4366" w:rsidRDefault="00DA39DC" w:rsidP="00DA39DC">
            <w:pPr>
              <w:rPr>
                <w:sz w:val="20"/>
                <w:szCs w:val="20"/>
              </w:rPr>
            </w:pPr>
          </w:p>
          <w:p w:rsidR="00DA39DC" w:rsidRPr="000A4366" w:rsidRDefault="00DA39DC" w:rsidP="00DA39DC">
            <w:pPr>
              <w:rPr>
                <w:sz w:val="20"/>
                <w:szCs w:val="20"/>
              </w:rPr>
            </w:pPr>
          </w:p>
          <w:p w:rsidR="00DA39DC" w:rsidRPr="000A4366" w:rsidRDefault="00DA39DC" w:rsidP="00DA39DC">
            <w:pPr>
              <w:rPr>
                <w:sz w:val="20"/>
                <w:szCs w:val="20"/>
              </w:rPr>
            </w:pPr>
          </w:p>
        </w:tc>
        <w:tc>
          <w:tcPr>
            <w:tcW w:w="229" w:type="pct"/>
            <w:tcBorders>
              <w:top w:val="nil"/>
              <w:left w:val="nil"/>
              <w:bottom w:val="nil"/>
              <w:right w:val="nil"/>
            </w:tcBorders>
          </w:tcPr>
          <w:p w:rsidR="00DA39DC" w:rsidRPr="000A4366" w:rsidRDefault="00DA39DC" w:rsidP="00DA39DC">
            <w:pPr>
              <w:rPr>
                <w:sz w:val="20"/>
                <w:szCs w:val="20"/>
              </w:rPr>
            </w:pPr>
          </w:p>
        </w:tc>
        <w:tc>
          <w:tcPr>
            <w:tcW w:w="2416" w:type="pct"/>
            <w:gridSpan w:val="2"/>
            <w:tcBorders>
              <w:top w:val="nil"/>
              <w:left w:val="nil"/>
              <w:bottom w:val="single" w:sz="4" w:space="0" w:color="auto"/>
            </w:tcBorders>
          </w:tcPr>
          <w:p w:rsidR="00DA39DC" w:rsidRPr="000A4366" w:rsidRDefault="00DA39DC" w:rsidP="00DA39DC">
            <w:pPr>
              <w:rPr>
                <w:sz w:val="20"/>
                <w:szCs w:val="20"/>
              </w:rPr>
            </w:pPr>
          </w:p>
        </w:tc>
      </w:tr>
      <w:tr w:rsidR="000A4366" w:rsidRPr="000A4366" w:rsidTr="00DA39DC">
        <w:tc>
          <w:tcPr>
            <w:tcW w:w="2356" w:type="pct"/>
            <w:gridSpan w:val="2"/>
            <w:tcBorders>
              <w:bottom w:val="nil"/>
              <w:right w:val="nil"/>
            </w:tcBorders>
          </w:tcPr>
          <w:p w:rsidR="00DA39DC" w:rsidRPr="000A4366" w:rsidRDefault="00DA39DC" w:rsidP="00DA39DC">
            <w:pPr>
              <w:spacing w:before="40"/>
              <w:rPr>
                <w:sz w:val="20"/>
                <w:szCs w:val="20"/>
              </w:rPr>
            </w:pPr>
            <w:r w:rsidRPr="000A4366">
              <w:rPr>
                <w:b/>
                <w:sz w:val="20"/>
                <w:szCs w:val="20"/>
              </w:rPr>
              <w:t>SIGNATURE OF BIDDER (DULY AUTHORISED)</w:t>
            </w:r>
          </w:p>
        </w:tc>
        <w:tc>
          <w:tcPr>
            <w:tcW w:w="229" w:type="pct"/>
            <w:tcBorders>
              <w:top w:val="nil"/>
              <w:left w:val="nil"/>
              <w:bottom w:val="nil"/>
              <w:right w:val="nil"/>
            </w:tcBorders>
          </w:tcPr>
          <w:p w:rsidR="00DA39DC" w:rsidRPr="000A4366" w:rsidRDefault="00DA39DC" w:rsidP="00DA39DC">
            <w:pPr>
              <w:rPr>
                <w:sz w:val="20"/>
                <w:szCs w:val="20"/>
              </w:rPr>
            </w:pPr>
          </w:p>
        </w:tc>
        <w:tc>
          <w:tcPr>
            <w:tcW w:w="2416" w:type="pct"/>
            <w:gridSpan w:val="2"/>
            <w:tcBorders>
              <w:left w:val="nil"/>
              <w:bottom w:val="nil"/>
            </w:tcBorders>
          </w:tcPr>
          <w:p w:rsidR="00DA39DC" w:rsidRPr="000A4366" w:rsidRDefault="00DA39DC" w:rsidP="00DA39DC">
            <w:pPr>
              <w:spacing w:before="40"/>
              <w:rPr>
                <w:sz w:val="20"/>
                <w:szCs w:val="20"/>
              </w:rPr>
            </w:pPr>
            <w:r w:rsidRPr="000A4366">
              <w:rPr>
                <w:b/>
                <w:sz w:val="20"/>
                <w:szCs w:val="20"/>
              </w:rPr>
              <w:t>DATE</w:t>
            </w:r>
          </w:p>
          <w:p w:rsidR="00DA39DC" w:rsidRPr="000A4366" w:rsidRDefault="00DA39DC" w:rsidP="00DA39DC">
            <w:pPr>
              <w:rPr>
                <w:sz w:val="20"/>
                <w:szCs w:val="20"/>
              </w:rPr>
            </w:pPr>
          </w:p>
        </w:tc>
      </w:tr>
      <w:tr w:rsidR="000A4366" w:rsidRPr="000A4366" w:rsidTr="00DA39DC">
        <w:tc>
          <w:tcPr>
            <w:tcW w:w="1177" w:type="pct"/>
            <w:tcBorders>
              <w:top w:val="nil"/>
              <w:bottom w:val="nil"/>
              <w:right w:val="nil"/>
            </w:tcBorders>
          </w:tcPr>
          <w:p w:rsidR="00DA39DC" w:rsidRPr="000A4366" w:rsidRDefault="00DA39DC" w:rsidP="00DA39DC">
            <w:pPr>
              <w:rPr>
                <w:b/>
                <w:sz w:val="20"/>
                <w:szCs w:val="20"/>
              </w:rPr>
            </w:pPr>
          </w:p>
          <w:p w:rsidR="00DA39DC" w:rsidRPr="000A4366" w:rsidRDefault="00DA39DC" w:rsidP="00DA39DC">
            <w:pPr>
              <w:rPr>
                <w:b/>
                <w:sz w:val="20"/>
                <w:szCs w:val="20"/>
              </w:rPr>
            </w:pPr>
          </w:p>
          <w:p w:rsidR="00DA39DC" w:rsidRPr="000A4366"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0A4366" w:rsidRDefault="00DA39DC" w:rsidP="00DA39DC">
            <w:pPr>
              <w:rPr>
                <w:sz w:val="20"/>
                <w:szCs w:val="20"/>
              </w:rPr>
            </w:pPr>
          </w:p>
        </w:tc>
        <w:tc>
          <w:tcPr>
            <w:tcW w:w="1208" w:type="pct"/>
            <w:tcBorders>
              <w:top w:val="nil"/>
              <w:left w:val="nil"/>
              <w:bottom w:val="nil"/>
            </w:tcBorders>
          </w:tcPr>
          <w:p w:rsidR="00DA39DC" w:rsidRPr="000A4366" w:rsidRDefault="00DA39DC" w:rsidP="00DA39DC">
            <w:pPr>
              <w:rPr>
                <w:sz w:val="20"/>
                <w:szCs w:val="20"/>
              </w:rPr>
            </w:pPr>
          </w:p>
        </w:tc>
      </w:tr>
      <w:tr w:rsidR="00DA39DC" w:rsidRPr="000A4366" w:rsidTr="00DA39DC">
        <w:tc>
          <w:tcPr>
            <w:tcW w:w="5000" w:type="pct"/>
            <w:gridSpan w:val="5"/>
            <w:tcBorders>
              <w:top w:val="nil"/>
            </w:tcBorders>
          </w:tcPr>
          <w:p w:rsidR="00DA39DC" w:rsidRPr="000A4366" w:rsidRDefault="00DA39DC" w:rsidP="00DA39DC">
            <w:pPr>
              <w:spacing w:before="40"/>
              <w:jc w:val="center"/>
              <w:rPr>
                <w:b/>
                <w:sz w:val="20"/>
                <w:szCs w:val="20"/>
              </w:rPr>
            </w:pPr>
            <w:r w:rsidRPr="000A4366">
              <w:rPr>
                <w:b/>
                <w:sz w:val="20"/>
                <w:szCs w:val="20"/>
              </w:rPr>
              <w:t>CAPACITY UNDER WHICH THIS BID IS SIGNED</w:t>
            </w:r>
          </w:p>
          <w:p w:rsidR="00DA39DC" w:rsidRPr="000A4366" w:rsidRDefault="00DA39DC" w:rsidP="00DA39DC">
            <w:pPr>
              <w:jc w:val="center"/>
              <w:rPr>
                <w:sz w:val="20"/>
                <w:szCs w:val="20"/>
              </w:rPr>
            </w:pPr>
          </w:p>
        </w:tc>
      </w:tr>
    </w:tbl>
    <w:p w:rsidR="00881341" w:rsidRPr="000A4366" w:rsidRDefault="00881341" w:rsidP="00DA39DC"/>
    <w:p w:rsidR="00154CF0" w:rsidRDefault="00154CF0" w:rsidP="00881341">
      <w:pPr>
        <w:sectPr w:rsidR="00154CF0" w:rsidSect="004513DE">
          <w:footerReference w:type="default" r:id="rId14"/>
          <w:pgSz w:w="11906" w:h="16838" w:code="9"/>
          <w:pgMar w:top="851" w:right="851" w:bottom="851" w:left="1418" w:header="567" w:footer="0" w:gutter="0"/>
          <w:cols w:space="708"/>
          <w:docGrid w:linePitch="360"/>
        </w:sectPr>
      </w:pPr>
    </w:p>
    <w:p w:rsidR="00DE6E65" w:rsidRDefault="00DE6E65" w:rsidP="00C311C6">
      <w:pPr>
        <w:tabs>
          <w:tab w:val="left" w:pos="1790"/>
        </w:tabs>
      </w:pPr>
    </w:p>
    <w:p w:rsidR="00DE6E65" w:rsidRPr="00C311C6" w:rsidRDefault="00DE6E65" w:rsidP="00C311C6">
      <w:pPr>
        <w:tabs>
          <w:tab w:val="left" w:pos="1790"/>
        </w:tabs>
        <w:rPr>
          <w:b/>
        </w:rPr>
        <w:sectPr w:rsidR="00DE6E65" w:rsidRPr="00C311C6" w:rsidSect="00C311C6">
          <w:headerReference w:type="default" r:id="rId15"/>
          <w:pgSz w:w="11906" w:h="16838" w:code="9"/>
          <w:pgMar w:top="851" w:right="851" w:bottom="851" w:left="1418" w:header="567" w:footer="0" w:gutter="0"/>
          <w:cols w:space="708"/>
          <w:docGrid w:linePitch="360"/>
        </w:sectPr>
      </w:pPr>
      <w:r>
        <w:tab/>
      </w:r>
    </w:p>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DE6E65" w:rsidRDefault="00DE6E65" w:rsidP="00881341"/>
    <w:p w:rsidR="0054578C" w:rsidRPr="008501AA" w:rsidRDefault="0054578C" w:rsidP="00DE6E65">
      <w:pPr>
        <w:jc w:val="center"/>
        <w:rPr>
          <w:b/>
          <w:color w:val="000000" w:themeColor="text1"/>
          <w:sz w:val="40"/>
          <w:szCs w:val="40"/>
          <w:lang w:val="en-ZA"/>
        </w:rPr>
      </w:pPr>
      <w:r w:rsidRPr="008501AA">
        <w:rPr>
          <w:b/>
          <w:color w:val="000000" w:themeColor="text1"/>
          <w:sz w:val="40"/>
          <w:szCs w:val="40"/>
          <w:lang w:val="en-ZA"/>
        </w:rPr>
        <w:t xml:space="preserve">Cost Breakdown Guidelines </w:t>
      </w:r>
    </w:p>
    <w:p w:rsidR="0054578C" w:rsidRDefault="0054578C" w:rsidP="009A1A1E">
      <w:pPr>
        <w:jc w:val="center"/>
        <w:rPr>
          <w:b/>
          <w:color w:val="000000" w:themeColor="text1"/>
          <w:sz w:val="40"/>
          <w:szCs w:val="40"/>
          <w:lang w:val="en-ZA"/>
        </w:rPr>
      </w:pPr>
      <w:r w:rsidRPr="008501AA">
        <w:rPr>
          <w:b/>
          <w:color w:val="000000" w:themeColor="text1"/>
          <w:sz w:val="40"/>
          <w:szCs w:val="40"/>
          <w:lang w:val="en-ZA"/>
        </w:rPr>
        <w:t xml:space="preserve">Please Refer to Annexure C </w:t>
      </w:r>
    </w:p>
    <w:p w:rsidR="008501AA" w:rsidRDefault="008501AA" w:rsidP="009A1A1E">
      <w:pPr>
        <w:jc w:val="center"/>
        <w:rPr>
          <w:b/>
          <w:color w:val="000000" w:themeColor="text1"/>
          <w:sz w:val="40"/>
          <w:szCs w:val="40"/>
          <w:lang w:val="en-ZA"/>
        </w:rPr>
        <w:sectPr w:rsidR="008501AA" w:rsidSect="00542377">
          <w:headerReference w:type="default" r:id="rId16"/>
          <w:pgSz w:w="11906" w:h="16838" w:code="9"/>
          <w:pgMar w:top="851" w:right="851" w:bottom="851" w:left="1418" w:header="567" w:footer="0" w:gutter="0"/>
          <w:cols w:space="708"/>
          <w:docGrid w:linePitch="360"/>
        </w:sectPr>
      </w:pPr>
    </w:p>
    <w:p w:rsidR="008501AA" w:rsidRDefault="008501AA" w:rsidP="009A1A1E">
      <w:pPr>
        <w:jc w:val="center"/>
        <w:rPr>
          <w:b/>
          <w:color w:val="000000" w:themeColor="text1"/>
          <w:sz w:val="40"/>
          <w:szCs w:val="40"/>
          <w:lang w:val="en-ZA"/>
        </w:rPr>
      </w:pPr>
    </w:p>
    <w:p w:rsidR="00AE19C7" w:rsidRDefault="00AE19C7" w:rsidP="00C311C6">
      <w:pPr>
        <w:tabs>
          <w:tab w:val="left" w:pos="580"/>
        </w:tabs>
        <w:rPr>
          <w:b/>
          <w:color w:val="000000" w:themeColor="text1"/>
          <w:sz w:val="40"/>
          <w:szCs w:val="40"/>
          <w:lang w:val="en-ZA"/>
        </w:rPr>
      </w:pPr>
      <w:r>
        <w:rPr>
          <w:b/>
          <w:color w:val="000000" w:themeColor="text1"/>
          <w:sz w:val="40"/>
          <w:szCs w:val="40"/>
          <w:lang w:val="en-ZA"/>
        </w:rPr>
        <w:tab/>
      </w:r>
      <w:r w:rsidRPr="00C311C6">
        <w:rPr>
          <w:b/>
          <w:color w:val="000000" w:themeColor="text1"/>
          <w:sz w:val="32"/>
          <w:szCs w:val="40"/>
          <w:lang w:val="en-ZA"/>
        </w:rPr>
        <w:t>Annexure C: Cost Breakdown Guidelines</w:t>
      </w:r>
    </w:p>
    <w:tbl>
      <w:tblPr>
        <w:tblStyle w:val="TableGrid1"/>
        <w:tblW w:w="5000" w:type="pct"/>
        <w:tblLook w:val="04A0" w:firstRow="1" w:lastRow="0" w:firstColumn="1" w:lastColumn="0" w:noHBand="0" w:noVBand="1"/>
      </w:tblPr>
      <w:tblGrid>
        <w:gridCol w:w="562"/>
        <w:gridCol w:w="4355"/>
        <w:gridCol w:w="1028"/>
        <w:gridCol w:w="1839"/>
        <w:gridCol w:w="1843"/>
      </w:tblGrid>
      <w:tr w:rsidR="00AE19C7" w:rsidRPr="00B16F32" w:rsidTr="00970B35">
        <w:tc>
          <w:tcPr>
            <w:tcW w:w="292" w:type="pct"/>
            <w:shd w:val="clear" w:color="auto" w:fill="E7E6E6" w:themeFill="background2"/>
            <w:vAlign w:val="center"/>
          </w:tcPr>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w:t>
            </w:r>
          </w:p>
        </w:tc>
        <w:tc>
          <w:tcPr>
            <w:tcW w:w="2262" w:type="pct"/>
            <w:tcBorders>
              <w:bottom w:val="single" w:sz="4" w:space="0" w:color="auto"/>
            </w:tcBorders>
            <w:shd w:val="clear" w:color="auto" w:fill="E7E6E6" w:themeFill="background2"/>
            <w:vAlign w:val="center"/>
          </w:tcPr>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Pr>
                <w:rFonts w:cs="Times New Roman"/>
                <w:b/>
                <w:iCs w:val="0"/>
                <w:sz w:val="18"/>
                <w:szCs w:val="20"/>
                <w:lang w:eastAsia="en-US"/>
              </w:rPr>
              <w:t>Aspects of Scope of Service</w:t>
            </w:r>
          </w:p>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p>
        </w:tc>
        <w:tc>
          <w:tcPr>
            <w:tcW w:w="534" w:type="pct"/>
            <w:tcBorders>
              <w:bottom w:val="single" w:sz="4" w:space="0" w:color="auto"/>
            </w:tcBorders>
            <w:shd w:val="clear" w:color="auto" w:fill="E7E6E6" w:themeFill="background2"/>
            <w:vAlign w:val="center"/>
          </w:tcPr>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Quantity</w:t>
            </w:r>
          </w:p>
        </w:tc>
        <w:tc>
          <w:tcPr>
            <w:tcW w:w="955" w:type="pct"/>
            <w:shd w:val="clear" w:color="auto" w:fill="E7E6E6" w:themeFill="background2"/>
            <w:vAlign w:val="center"/>
          </w:tcPr>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Unit Price</w:t>
            </w:r>
          </w:p>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in ZAR</w:t>
            </w:r>
          </w:p>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(Excl. VAT)</w:t>
            </w:r>
          </w:p>
        </w:tc>
        <w:tc>
          <w:tcPr>
            <w:tcW w:w="957" w:type="pct"/>
            <w:shd w:val="clear" w:color="auto" w:fill="E7E6E6" w:themeFill="background2"/>
            <w:vAlign w:val="center"/>
          </w:tcPr>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Sub Total</w:t>
            </w:r>
          </w:p>
          <w:p w:rsidR="00AE19C7" w:rsidRPr="00B16F32" w:rsidRDefault="00AE19C7" w:rsidP="00970B35">
            <w:pPr>
              <w:tabs>
                <w:tab w:val="left" w:pos="567"/>
              </w:tabs>
              <w:spacing w:before="60" w:after="60" w:line="276" w:lineRule="auto"/>
              <w:jc w:val="center"/>
              <w:outlineLvl w:val="9"/>
              <w:rPr>
                <w:rFonts w:cs="Times New Roman"/>
                <w:b/>
                <w:iCs w:val="0"/>
                <w:sz w:val="18"/>
                <w:szCs w:val="20"/>
                <w:lang w:eastAsia="en-US"/>
              </w:rPr>
            </w:pPr>
            <w:r w:rsidRPr="00B16F32">
              <w:rPr>
                <w:rFonts w:cs="Times New Roman"/>
                <w:b/>
                <w:iCs w:val="0"/>
                <w:sz w:val="18"/>
                <w:szCs w:val="20"/>
                <w:lang w:eastAsia="en-US"/>
              </w:rPr>
              <w:t>in ZAR</w:t>
            </w:r>
          </w:p>
        </w:tc>
      </w:tr>
      <w:tr w:rsidR="00AE19C7" w:rsidRPr="00B16F32" w:rsidTr="00970B35">
        <w:tc>
          <w:tcPr>
            <w:tcW w:w="292" w:type="pct"/>
            <w:shd w:val="clear" w:color="auto" w:fill="auto"/>
            <w:vAlign w:val="center"/>
          </w:tcPr>
          <w:p w:rsidR="00AE19C7" w:rsidRPr="00B16F32" w:rsidRDefault="00AE19C7" w:rsidP="00970B35">
            <w:pPr>
              <w:spacing w:line="276" w:lineRule="auto"/>
              <w:jc w:val="center"/>
              <w:rPr>
                <w:sz w:val="18"/>
              </w:rPr>
            </w:pPr>
            <w:r w:rsidRPr="00B16F32">
              <w:rPr>
                <w:sz w:val="18"/>
              </w:rPr>
              <w:t>1</w:t>
            </w:r>
          </w:p>
        </w:tc>
        <w:tc>
          <w:tcPr>
            <w:tcW w:w="2262" w:type="pct"/>
            <w:shd w:val="clear" w:color="auto" w:fill="auto"/>
            <w:vAlign w:val="center"/>
          </w:tcPr>
          <w:p w:rsidR="00AE19C7" w:rsidRPr="00B16F32" w:rsidRDefault="00AE19C7" w:rsidP="00AE19C7">
            <w:pPr>
              <w:rPr>
                <w:sz w:val="18"/>
              </w:rPr>
            </w:pPr>
            <w:r>
              <w:rPr>
                <w:sz w:val="18"/>
              </w:rPr>
              <w:t>Mobilization and I</w:t>
            </w:r>
            <w:r w:rsidRPr="00B16F32">
              <w:rPr>
                <w:sz w:val="18"/>
              </w:rPr>
              <w:t>nception</w:t>
            </w:r>
          </w:p>
        </w:tc>
        <w:tc>
          <w:tcPr>
            <w:tcW w:w="534" w:type="pct"/>
            <w:shd w:val="clear" w:color="auto" w:fill="auto"/>
            <w:vAlign w:val="center"/>
          </w:tcPr>
          <w:p w:rsidR="00AE19C7" w:rsidRPr="00B16F32" w:rsidRDefault="00AE19C7" w:rsidP="00970B35">
            <w:pPr>
              <w:spacing w:line="276" w:lineRule="auto"/>
              <w:jc w:val="center"/>
              <w:rPr>
                <w:sz w:val="18"/>
              </w:rPr>
            </w:pPr>
            <w:r w:rsidRPr="00B16F32">
              <w:rPr>
                <w:sz w:val="18"/>
              </w:rPr>
              <w:t>1</w:t>
            </w:r>
          </w:p>
        </w:tc>
        <w:tc>
          <w:tcPr>
            <w:tcW w:w="955" w:type="pct"/>
            <w:shd w:val="clear" w:color="auto" w:fill="auto"/>
            <w:vAlign w:val="center"/>
          </w:tcPr>
          <w:p w:rsidR="00AE19C7" w:rsidRPr="00B16F32" w:rsidRDefault="00AE19C7" w:rsidP="00970B35">
            <w:pPr>
              <w:spacing w:line="276" w:lineRule="auto"/>
              <w:jc w:val="right"/>
              <w:rPr>
                <w:sz w:val="18"/>
              </w:rPr>
            </w:pPr>
          </w:p>
        </w:tc>
        <w:tc>
          <w:tcPr>
            <w:tcW w:w="957" w:type="pct"/>
            <w:shd w:val="clear" w:color="auto" w:fill="auto"/>
            <w:vAlign w:val="center"/>
          </w:tcPr>
          <w:p w:rsidR="00AE19C7" w:rsidRPr="00B16F32" w:rsidRDefault="00AE19C7" w:rsidP="00970B35">
            <w:pPr>
              <w:spacing w:line="276" w:lineRule="auto"/>
              <w:jc w:val="right"/>
              <w:rPr>
                <w:sz w:val="18"/>
              </w:rPr>
            </w:pPr>
          </w:p>
        </w:tc>
      </w:tr>
      <w:tr w:rsidR="00AE19C7" w:rsidRPr="00B16F32" w:rsidTr="00970B35">
        <w:tc>
          <w:tcPr>
            <w:tcW w:w="292" w:type="pct"/>
            <w:shd w:val="clear" w:color="auto" w:fill="auto"/>
            <w:vAlign w:val="center"/>
          </w:tcPr>
          <w:p w:rsidR="00AE19C7" w:rsidRPr="00B16F32" w:rsidRDefault="00AE19C7" w:rsidP="00970B35">
            <w:pPr>
              <w:spacing w:line="276" w:lineRule="auto"/>
              <w:jc w:val="center"/>
              <w:rPr>
                <w:sz w:val="18"/>
              </w:rPr>
            </w:pPr>
            <w:r w:rsidRPr="00B16F32">
              <w:rPr>
                <w:sz w:val="18"/>
              </w:rPr>
              <w:t>2</w:t>
            </w:r>
          </w:p>
        </w:tc>
        <w:tc>
          <w:tcPr>
            <w:tcW w:w="2262" w:type="pct"/>
            <w:shd w:val="clear" w:color="auto" w:fill="auto"/>
            <w:vAlign w:val="center"/>
          </w:tcPr>
          <w:p w:rsidR="00AE19C7" w:rsidRPr="00B16F32" w:rsidRDefault="00AE19C7" w:rsidP="00970B35">
            <w:pPr>
              <w:spacing w:line="276" w:lineRule="auto"/>
              <w:rPr>
                <w:sz w:val="18"/>
              </w:rPr>
            </w:pPr>
            <w:r>
              <w:rPr>
                <w:sz w:val="18"/>
              </w:rPr>
              <w:t>Data Collection and Interviews</w:t>
            </w:r>
          </w:p>
        </w:tc>
        <w:tc>
          <w:tcPr>
            <w:tcW w:w="534" w:type="pct"/>
            <w:shd w:val="clear" w:color="auto" w:fill="auto"/>
            <w:vAlign w:val="center"/>
          </w:tcPr>
          <w:p w:rsidR="00AE19C7" w:rsidRPr="00B16F32" w:rsidRDefault="00AE19C7" w:rsidP="00970B35">
            <w:pPr>
              <w:spacing w:line="276" w:lineRule="auto"/>
              <w:jc w:val="center"/>
              <w:rPr>
                <w:sz w:val="18"/>
              </w:rPr>
            </w:pPr>
            <w:r w:rsidRPr="00B16F32">
              <w:rPr>
                <w:sz w:val="18"/>
              </w:rPr>
              <w:t>1</w:t>
            </w:r>
          </w:p>
        </w:tc>
        <w:tc>
          <w:tcPr>
            <w:tcW w:w="955" w:type="pct"/>
            <w:shd w:val="clear" w:color="auto" w:fill="auto"/>
            <w:vAlign w:val="center"/>
          </w:tcPr>
          <w:p w:rsidR="00AE19C7" w:rsidRPr="00B16F32" w:rsidRDefault="00AE19C7" w:rsidP="00970B35">
            <w:pPr>
              <w:spacing w:line="276" w:lineRule="auto"/>
              <w:jc w:val="right"/>
              <w:rPr>
                <w:sz w:val="18"/>
              </w:rPr>
            </w:pPr>
          </w:p>
        </w:tc>
        <w:tc>
          <w:tcPr>
            <w:tcW w:w="957" w:type="pct"/>
            <w:shd w:val="clear" w:color="auto" w:fill="auto"/>
            <w:vAlign w:val="center"/>
          </w:tcPr>
          <w:p w:rsidR="00AE19C7" w:rsidRPr="00B16F32" w:rsidRDefault="00AE19C7" w:rsidP="00970B35">
            <w:pPr>
              <w:spacing w:line="276" w:lineRule="auto"/>
              <w:jc w:val="right"/>
              <w:rPr>
                <w:sz w:val="18"/>
              </w:rPr>
            </w:pPr>
          </w:p>
        </w:tc>
      </w:tr>
      <w:tr w:rsidR="00AE19C7" w:rsidRPr="00B16F32" w:rsidTr="00970B35">
        <w:tc>
          <w:tcPr>
            <w:tcW w:w="292" w:type="pct"/>
            <w:shd w:val="clear" w:color="auto" w:fill="auto"/>
            <w:vAlign w:val="center"/>
          </w:tcPr>
          <w:p w:rsidR="00AE19C7" w:rsidRPr="00B16F32" w:rsidRDefault="00AE19C7" w:rsidP="00970B35">
            <w:pPr>
              <w:jc w:val="center"/>
              <w:rPr>
                <w:sz w:val="18"/>
              </w:rPr>
            </w:pPr>
            <w:r w:rsidRPr="00B16F32">
              <w:rPr>
                <w:sz w:val="18"/>
              </w:rPr>
              <w:t>3</w:t>
            </w:r>
          </w:p>
        </w:tc>
        <w:tc>
          <w:tcPr>
            <w:tcW w:w="2262" w:type="pct"/>
            <w:shd w:val="clear" w:color="auto" w:fill="auto"/>
            <w:vAlign w:val="center"/>
          </w:tcPr>
          <w:p w:rsidR="00AE19C7" w:rsidRPr="00B16F32" w:rsidRDefault="00AE19C7" w:rsidP="00970B35">
            <w:pPr>
              <w:rPr>
                <w:sz w:val="18"/>
              </w:rPr>
            </w:pPr>
            <w:r>
              <w:rPr>
                <w:sz w:val="18"/>
              </w:rPr>
              <w:t>Due Diligence Report Review</w:t>
            </w:r>
          </w:p>
        </w:tc>
        <w:tc>
          <w:tcPr>
            <w:tcW w:w="534" w:type="pct"/>
            <w:shd w:val="clear" w:color="auto" w:fill="auto"/>
            <w:vAlign w:val="center"/>
          </w:tcPr>
          <w:p w:rsidR="00AE19C7" w:rsidRPr="00B16F32" w:rsidRDefault="00AE19C7" w:rsidP="00970B35">
            <w:pPr>
              <w:jc w:val="center"/>
              <w:rPr>
                <w:sz w:val="18"/>
              </w:rPr>
            </w:pPr>
            <w:r w:rsidRPr="00B16F32">
              <w:rPr>
                <w:sz w:val="18"/>
              </w:rPr>
              <w:t>1</w:t>
            </w:r>
          </w:p>
        </w:tc>
        <w:tc>
          <w:tcPr>
            <w:tcW w:w="955" w:type="pct"/>
            <w:shd w:val="clear" w:color="auto" w:fill="auto"/>
            <w:vAlign w:val="center"/>
          </w:tcPr>
          <w:p w:rsidR="00AE19C7" w:rsidRPr="00B16F32" w:rsidRDefault="00AE19C7" w:rsidP="00970B35">
            <w:pPr>
              <w:jc w:val="right"/>
              <w:rPr>
                <w:sz w:val="18"/>
              </w:rPr>
            </w:pPr>
          </w:p>
        </w:tc>
        <w:tc>
          <w:tcPr>
            <w:tcW w:w="957" w:type="pct"/>
            <w:shd w:val="clear" w:color="auto" w:fill="auto"/>
            <w:vAlign w:val="center"/>
          </w:tcPr>
          <w:p w:rsidR="00AE19C7" w:rsidRPr="00B16F32" w:rsidRDefault="00AE19C7" w:rsidP="00970B35">
            <w:pPr>
              <w:jc w:val="right"/>
              <w:rPr>
                <w:sz w:val="18"/>
              </w:rPr>
            </w:pPr>
          </w:p>
        </w:tc>
      </w:tr>
      <w:tr w:rsidR="00AE19C7" w:rsidRPr="00B16F32" w:rsidTr="00970B35">
        <w:tc>
          <w:tcPr>
            <w:tcW w:w="292" w:type="pct"/>
            <w:shd w:val="clear" w:color="auto" w:fill="auto"/>
            <w:vAlign w:val="center"/>
          </w:tcPr>
          <w:p w:rsidR="00AE19C7" w:rsidRPr="00B16F32" w:rsidRDefault="00AE19C7" w:rsidP="00970B35">
            <w:pPr>
              <w:spacing w:line="276" w:lineRule="auto"/>
              <w:jc w:val="center"/>
              <w:rPr>
                <w:sz w:val="18"/>
              </w:rPr>
            </w:pPr>
            <w:r w:rsidRPr="00B16F32">
              <w:rPr>
                <w:sz w:val="18"/>
              </w:rPr>
              <w:t>4</w:t>
            </w:r>
          </w:p>
        </w:tc>
        <w:tc>
          <w:tcPr>
            <w:tcW w:w="2262" w:type="pct"/>
            <w:shd w:val="clear" w:color="auto" w:fill="auto"/>
            <w:vAlign w:val="center"/>
          </w:tcPr>
          <w:p w:rsidR="00AE19C7" w:rsidRPr="00B16F32" w:rsidRDefault="00AE19C7" w:rsidP="00AE19C7">
            <w:pPr>
              <w:spacing w:line="276" w:lineRule="auto"/>
              <w:rPr>
                <w:sz w:val="18"/>
              </w:rPr>
            </w:pPr>
            <w:r>
              <w:rPr>
                <w:sz w:val="18"/>
              </w:rPr>
              <w:t>Final Review and Closeout</w:t>
            </w:r>
          </w:p>
        </w:tc>
        <w:tc>
          <w:tcPr>
            <w:tcW w:w="534" w:type="pct"/>
            <w:shd w:val="clear" w:color="auto" w:fill="auto"/>
            <w:vAlign w:val="center"/>
          </w:tcPr>
          <w:p w:rsidR="00AE19C7" w:rsidRPr="00B16F32" w:rsidRDefault="00AE19C7" w:rsidP="00970B35">
            <w:pPr>
              <w:spacing w:line="276" w:lineRule="auto"/>
              <w:jc w:val="center"/>
              <w:rPr>
                <w:sz w:val="18"/>
              </w:rPr>
            </w:pPr>
            <w:r w:rsidRPr="00B16F32">
              <w:rPr>
                <w:sz w:val="18"/>
              </w:rPr>
              <w:t>1</w:t>
            </w:r>
          </w:p>
        </w:tc>
        <w:tc>
          <w:tcPr>
            <w:tcW w:w="955" w:type="pct"/>
            <w:shd w:val="clear" w:color="auto" w:fill="auto"/>
            <w:vAlign w:val="center"/>
          </w:tcPr>
          <w:p w:rsidR="00AE19C7" w:rsidRPr="00B16F32" w:rsidRDefault="00AE19C7" w:rsidP="00970B35">
            <w:pPr>
              <w:spacing w:line="276" w:lineRule="auto"/>
              <w:jc w:val="right"/>
              <w:rPr>
                <w:sz w:val="18"/>
              </w:rPr>
            </w:pPr>
          </w:p>
        </w:tc>
        <w:tc>
          <w:tcPr>
            <w:tcW w:w="957" w:type="pct"/>
            <w:shd w:val="clear" w:color="auto" w:fill="auto"/>
            <w:vAlign w:val="center"/>
          </w:tcPr>
          <w:p w:rsidR="00AE19C7" w:rsidRPr="00B16F32" w:rsidRDefault="00AE19C7" w:rsidP="00970B35">
            <w:pPr>
              <w:spacing w:line="276" w:lineRule="auto"/>
              <w:jc w:val="right"/>
              <w:rPr>
                <w:sz w:val="18"/>
              </w:rPr>
            </w:pPr>
          </w:p>
        </w:tc>
      </w:tr>
      <w:tr w:rsidR="00AE19C7" w:rsidRPr="00B16F32" w:rsidTr="00970B35">
        <w:tc>
          <w:tcPr>
            <w:tcW w:w="292" w:type="pct"/>
            <w:shd w:val="clear" w:color="auto" w:fill="auto"/>
            <w:vAlign w:val="center"/>
          </w:tcPr>
          <w:p w:rsidR="00AE19C7" w:rsidRPr="00B16F32" w:rsidRDefault="00AE19C7" w:rsidP="00970B35">
            <w:pPr>
              <w:jc w:val="center"/>
              <w:rPr>
                <w:sz w:val="18"/>
              </w:rPr>
            </w:pPr>
            <w:r w:rsidRPr="00B16F32">
              <w:rPr>
                <w:sz w:val="18"/>
              </w:rPr>
              <w:t>5</w:t>
            </w:r>
          </w:p>
        </w:tc>
        <w:tc>
          <w:tcPr>
            <w:tcW w:w="2262" w:type="pct"/>
            <w:shd w:val="clear" w:color="auto" w:fill="auto"/>
            <w:vAlign w:val="center"/>
          </w:tcPr>
          <w:p w:rsidR="00AE19C7" w:rsidRPr="00B16F32" w:rsidRDefault="00AE19C7" w:rsidP="00970B35">
            <w:pPr>
              <w:rPr>
                <w:sz w:val="18"/>
              </w:rPr>
            </w:pPr>
            <w:r>
              <w:rPr>
                <w:sz w:val="18"/>
              </w:rPr>
              <w:t>Report printing and Submission</w:t>
            </w:r>
          </w:p>
        </w:tc>
        <w:tc>
          <w:tcPr>
            <w:tcW w:w="534" w:type="pct"/>
            <w:shd w:val="clear" w:color="auto" w:fill="auto"/>
            <w:vAlign w:val="center"/>
          </w:tcPr>
          <w:p w:rsidR="00AE19C7" w:rsidRPr="00B16F32" w:rsidRDefault="00AE19C7" w:rsidP="00970B35">
            <w:pPr>
              <w:jc w:val="center"/>
              <w:rPr>
                <w:sz w:val="18"/>
              </w:rPr>
            </w:pPr>
            <w:r>
              <w:rPr>
                <w:sz w:val="18"/>
              </w:rPr>
              <w:t>2</w:t>
            </w:r>
          </w:p>
        </w:tc>
        <w:tc>
          <w:tcPr>
            <w:tcW w:w="955" w:type="pct"/>
            <w:shd w:val="clear" w:color="auto" w:fill="auto"/>
            <w:vAlign w:val="center"/>
          </w:tcPr>
          <w:p w:rsidR="00AE19C7" w:rsidRPr="00B16F32" w:rsidRDefault="00AE19C7" w:rsidP="00970B35">
            <w:pPr>
              <w:jc w:val="right"/>
              <w:rPr>
                <w:sz w:val="18"/>
              </w:rPr>
            </w:pPr>
          </w:p>
        </w:tc>
        <w:tc>
          <w:tcPr>
            <w:tcW w:w="957" w:type="pct"/>
            <w:shd w:val="clear" w:color="auto" w:fill="auto"/>
            <w:vAlign w:val="center"/>
          </w:tcPr>
          <w:p w:rsidR="00AE19C7" w:rsidRPr="00B16F32" w:rsidRDefault="00AE19C7" w:rsidP="00970B35">
            <w:pPr>
              <w:jc w:val="right"/>
              <w:rPr>
                <w:sz w:val="18"/>
              </w:rPr>
            </w:pPr>
          </w:p>
        </w:tc>
      </w:tr>
      <w:tr w:rsidR="00AE19C7" w:rsidRPr="00B16F32" w:rsidTr="00970B35">
        <w:tc>
          <w:tcPr>
            <w:tcW w:w="4043" w:type="pct"/>
            <w:gridSpan w:val="4"/>
            <w:shd w:val="clear" w:color="auto" w:fill="auto"/>
            <w:vAlign w:val="center"/>
          </w:tcPr>
          <w:p w:rsidR="00AE19C7" w:rsidRPr="00B16F32" w:rsidRDefault="00AE19C7" w:rsidP="00970B35">
            <w:pPr>
              <w:spacing w:line="276" w:lineRule="auto"/>
              <w:jc w:val="right"/>
              <w:rPr>
                <w:b/>
                <w:sz w:val="18"/>
              </w:rPr>
            </w:pPr>
            <w:r w:rsidRPr="00B16F32">
              <w:rPr>
                <w:b/>
                <w:sz w:val="18"/>
              </w:rPr>
              <w:t>TOTAL:</w:t>
            </w:r>
          </w:p>
        </w:tc>
        <w:tc>
          <w:tcPr>
            <w:tcW w:w="957" w:type="pct"/>
            <w:shd w:val="clear" w:color="auto" w:fill="auto"/>
            <w:vAlign w:val="center"/>
          </w:tcPr>
          <w:p w:rsidR="00AE19C7" w:rsidRPr="00B16F32" w:rsidRDefault="00AE19C7" w:rsidP="00970B35">
            <w:pPr>
              <w:spacing w:line="276" w:lineRule="auto"/>
              <w:jc w:val="right"/>
              <w:rPr>
                <w:sz w:val="18"/>
              </w:rPr>
            </w:pPr>
          </w:p>
        </w:tc>
      </w:tr>
    </w:tbl>
    <w:p w:rsidR="00AE19C7" w:rsidRPr="008501AA" w:rsidRDefault="00AE19C7" w:rsidP="009A1A1E">
      <w:pPr>
        <w:jc w:val="center"/>
        <w:rPr>
          <w:b/>
          <w:color w:val="000000" w:themeColor="text1"/>
          <w:sz w:val="40"/>
          <w:szCs w:val="40"/>
          <w:lang w:val="en-ZA"/>
        </w:rPr>
      </w:pPr>
    </w:p>
    <w:sectPr w:rsidR="00AE19C7" w:rsidRPr="008501AA" w:rsidSect="00C311C6">
      <w:headerReference w:type="default" r:id="rId17"/>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40A" w:rsidRDefault="006A740A" w:rsidP="00CD1845">
      <w:pPr>
        <w:spacing w:before="0" w:after="0" w:line="240" w:lineRule="auto"/>
      </w:pPr>
      <w:r>
        <w:separator/>
      </w:r>
    </w:p>
    <w:p w:rsidR="006A740A" w:rsidRDefault="006A740A"/>
  </w:endnote>
  <w:endnote w:type="continuationSeparator" w:id="0">
    <w:p w:rsidR="006A740A" w:rsidRDefault="006A740A" w:rsidP="00CD1845">
      <w:pPr>
        <w:spacing w:before="0" w:after="0" w:line="240" w:lineRule="auto"/>
      </w:pPr>
      <w:r>
        <w:continuationSeparator/>
      </w:r>
    </w:p>
    <w:p w:rsidR="006A740A" w:rsidRDefault="006A7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82" w:rsidRPr="000C2C64" w:rsidRDefault="00FB4782">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F50F7">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F50F7">
      <w:rPr>
        <w:noProof/>
        <w:color w:val="A6A6A6" w:themeColor="background1" w:themeShade="A6"/>
      </w:rPr>
      <w:t>1</w:t>
    </w:r>
    <w:r>
      <w:rPr>
        <w:noProof/>
        <w:color w:val="A6A6A6" w:themeColor="background1" w:themeShade="A6"/>
      </w:rPr>
      <w:fldChar w:fldCharType="end"/>
    </w:r>
  </w:p>
  <w:p w:rsidR="00FB4782" w:rsidRDefault="00FB4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40A" w:rsidRDefault="006A740A" w:rsidP="00CD1845">
      <w:pPr>
        <w:spacing w:before="0" w:after="0" w:line="240" w:lineRule="auto"/>
      </w:pPr>
      <w:r>
        <w:separator/>
      </w:r>
    </w:p>
    <w:p w:rsidR="006A740A" w:rsidRDefault="006A740A"/>
  </w:footnote>
  <w:footnote w:type="continuationSeparator" w:id="0">
    <w:p w:rsidR="006A740A" w:rsidRDefault="006A740A" w:rsidP="00CD1845">
      <w:pPr>
        <w:spacing w:before="0" w:after="0" w:line="240" w:lineRule="auto"/>
      </w:pPr>
      <w:r>
        <w:continuationSeparator/>
      </w:r>
    </w:p>
    <w:p w:rsidR="006A740A" w:rsidRDefault="006A7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82" w:rsidRPr="002A304D" w:rsidRDefault="00FB4782">
    <w:pPr>
      <w:pStyle w:val="Header"/>
      <w:rPr>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82" w:rsidRPr="009A1A1E" w:rsidRDefault="00FB4782" w:rsidP="009A1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82" w:rsidRPr="009A1A1E" w:rsidRDefault="00FB4782" w:rsidP="009A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28C64A9"/>
    <w:multiLevelType w:val="hybridMultilevel"/>
    <w:tmpl w:val="1D26BED2"/>
    <w:lvl w:ilvl="0" w:tplc="5952022E">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F85230"/>
    <w:multiLevelType w:val="multilevel"/>
    <w:tmpl w:val="568CB83A"/>
    <w:lvl w:ilvl="0">
      <w:start w:val="1"/>
      <w:numFmt w:val="decimal"/>
      <w:lvlText w:val="%1."/>
      <w:lvlJc w:val="left"/>
      <w:pPr>
        <w:ind w:left="781" w:hanging="533"/>
      </w:pPr>
      <w:rPr>
        <w:rFonts w:ascii="Arial" w:eastAsia="Arial" w:hAnsi="Arial" w:cs="Arial" w:hint="default"/>
        <w:b/>
        <w:bCs/>
        <w:i w:val="0"/>
        <w:iCs w:val="0"/>
        <w:spacing w:val="-2"/>
        <w:w w:val="99"/>
        <w:sz w:val="21"/>
        <w:szCs w:val="21"/>
        <w:lang w:val="en-US" w:eastAsia="en-US" w:bidi="ar-SA"/>
      </w:rPr>
    </w:lvl>
    <w:lvl w:ilvl="1">
      <w:start w:val="1"/>
      <w:numFmt w:val="decimal"/>
      <w:lvlText w:val="%1.%2"/>
      <w:lvlJc w:val="left"/>
      <w:pPr>
        <w:ind w:left="781" w:hanging="533"/>
      </w:pPr>
      <w:rPr>
        <w:rFonts w:ascii="Arial" w:eastAsia="Arial" w:hAnsi="Arial" w:cs="Arial" w:hint="default"/>
        <w:b/>
        <w:bCs/>
        <w:i w:val="0"/>
        <w:iCs w:val="0"/>
        <w:spacing w:val="-2"/>
        <w:w w:val="99"/>
        <w:sz w:val="21"/>
        <w:szCs w:val="21"/>
        <w:lang w:val="en-US" w:eastAsia="en-US" w:bidi="ar-SA"/>
      </w:rPr>
    </w:lvl>
    <w:lvl w:ilvl="2">
      <w:numFmt w:val="bullet"/>
      <w:lvlText w:val="•"/>
      <w:lvlJc w:val="left"/>
      <w:pPr>
        <w:ind w:left="2536" w:hanging="533"/>
      </w:pPr>
      <w:rPr>
        <w:rFonts w:hint="default"/>
        <w:lang w:val="en-US" w:eastAsia="en-US" w:bidi="ar-SA"/>
      </w:rPr>
    </w:lvl>
    <w:lvl w:ilvl="3">
      <w:numFmt w:val="bullet"/>
      <w:lvlText w:val="•"/>
      <w:lvlJc w:val="left"/>
      <w:pPr>
        <w:ind w:left="3414" w:hanging="533"/>
      </w:pPr>
      <w:rPr>
        <w:rFonts w:hint="default"/>
        <w:lang w:val="en-US" w:eastAsia="en-US" w:bidi="ar-SA"/>
      </w:rPr>
    </w:lvl>
    <w:lvl w:ilvl="4">
      <w:numFmt w:val="bullet"/>
      <w:lvlText w:val="•"/>
      <w:lvlJc w:val="left"/>
      <w:pPr>
        <w:ind w:left="4292" w:hanging="533"/>
      </w:pPr>
      <w:rPr>
        <w:rFonts w:hint="default"/>
        <w:lang w:val="en-US" w:eastAsia="en-US" w:bidi="ar-SA"/>
      </w:rPr>
    </w:lvl>
    <w:lvl w:ilvl="5">
      <w:numFmt w:val="bullet"/>
      <w:lvlText w:val="•"/>
      <w:lvlJc w:val="left"/>
      <w:pPr>
        <w:ind w:left="5170" w:hanging="533"/>
      </w:pPr>
      <w:rPr>
        <w:rFonts w:hint="default"/>
        <w:lang w:val="en-US" w:eastAsia="en-US" w:bidi="ar-SA"/>
      </w:rPr>
    </w:lvl>
    <w:lvl w:ilvl="6">
      <w:numFmt w:val="bullet"/>
      <w:lvlText w:val="•"/>
      <w:lvlJc w:val="left"/>
      <w:pPr>
        <w:ind w:left="6048" w:hanging="533"/>
      </w:pPr>
      <w:rPr>
        <w:rFonts w:hint="default"/>
        <w:lang w:val="en-US" w:eastAsia="en-US" w:bidi="ar-SA"/>
      </w:rPr>
    </w:lvl>
    <w:lvl w:ilvl="7">
      <w:numFmt w:val="bullet"/>
      <w:lvlText w:val="•"/>
      <w:lvlJc w:val="left"/>
      <w:pPr>
        <w:ind w:left="6926" w:hanging="533"/>
      </w:pPr>
      <w:rPr>
        <w:rFonts w:hint="default"/>
        <w:lang w:val="en-US" w:eastAsia="en-US" w:bidi="ar-SA"/>
      </w:rPr>
    </w:lvl>
    <w:lvl w:ilvl="8">
      <w:numFmt w:val="bullet"/>
      <w:lvlText w:val="•"/>
      <w:lvlJc w:val="left"/>
      <w:pPr>
        <w:ind w:left="7804" w:hanging="533"/>
      </w:pPr>
      <w:rPr>
        <w:rFonts w:hint="default"/>
        <w:lang w:val="en-US" w:eastAsia="en-US" w:bidi="ar-SA"/>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2C0D3207"/>
    <w:multiLevelType w:val="hybridMultilevel"/>
    <w:tmpl w:val="DCAC308A"/>
    <w:lvl w:ilvl="0" w:tplc="9B2EE4E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309" w:hanging="360"/>
      </w:pPr>
      <w:rPr>
        <w:rFonts w:ascii="Courier New" w:hAnsi="Courier New" w:cs="Courier New" w:hint="default"/>
      </w:rPr>
    </w:lvl>
    <w:lvl w:ilvl="2" w:tplc="1C090005" w:tentative="1">
      <w:start w:val="1"/>
      <w:numFmt w:val="bullet"/>
      <w:lvlText w:val=""/>
      <w:lvlJc w:val="left"/>
      <w:pPr>
        <w:ind w:left="2029" w:hanging="360"/>
      </w:pPr>
      <w:rPr>
        <w:rFonts w:ascii="Wingdings" w:hAnsi="Wingdings" w:hint="default"/>
      </w:rPr>
    </w:lvl>
    <w:lvl w:ilvl="3" w:tplc="1C090001" w:tentative="1">
      <w:start w:val="1"/>
      <w:numFmt w:val="bullet"/>
      <w:lvlText w:val=""/>
      <w:lvlJc w:val="left"/>
      <w:pPr>
        <w:ind w:left="2749" w:hanging="360"/>
      </w:pPr>
      <w:rPr>
        <w:rFonts w:ascii="Symbol" w:hAnsi="Symbol" w:hint="default"/>
      </w:rPr>
    </w:lvl>
    <w:lvl w:ilvl="4" w:tplc="1C090003" w:tentative="1">
      <w:start w:val="1"/>
      <w:numFmt w:val="bullet"/>
      <w:lvlText w:val="o"/>
      <w:lvlJc w:val="left"/>
      <w:pPr>
        <w:ind w:left="3469" w:hanging="360"/>
      </w:pPr>
      <w:rPr>
        <w:rFonts w:ascii="Courier New" w:hAnsi="Courier New" w:cs="Courier New" w:hint="default"/>
      </w:rPr>
    </w:lvl>
    <w:lvl w:ilvl="5" w:tplc="1C090005" w:tentative="1">
      <w:start w:val="1"/>
      <w:numFmt w:val="bullet"/>
      <w:lvlText w:val=""/>
      <w:lvlJc w:val="left"/>
      <w:pPr>
        <w:ind w:left="4189" w:hanging="360"/>
      </w:pPr>
      <w:rPr>
        <w:rFonts w:ascii="Wingdings" w:hAnsi="Wingdings" w:hint="default"/>
      </w:rPr>
    </w:lvl>
    <w:lvl w:ilvl="6" w:tplc="1C090001" w:tentative="1">
      <w:start w:val="1"/>
      <w:numFmt w:val="bullet"/>
      <w:lvlText w:val=""/>
      <w:lvlJc w:val="left"/>
      <w:pPr>
        <w:ind w:left="4909" w:hanging="360"/>
      </w:pPr>
      <w:rPr>
        <w:rFonts w:ascii="Symbol" w:hAnsi="Symbol" w:hint="default"/>
      </w:rPr>
    </w:lvl>
    <w:lvl w:ilvl="7" w:tplc="1C090003" w:tentative="1">
      <w:start w:val="1"/>
      <w:numFmt w:val="bullet"/>
      <w:lvlText w:val="o"/>
      <w:lvlJc w:val="left"/>
      <w:pPr>
        <w:ind w:left="5629" w:hanging="360"/>
      </w:pPr>
      <w:rPr>
        <w:rFonts w:ascii="Courier New" w:hAnsi="Courier New" w:cs="Courier New" w:hint="default"/>
      </w:rPr>
    </w:lvl>
    <w:lvl w:ilvl="8" w:tplc="1C090005" w:tentative="1">
      <w:start w:val="1"/>
      <w:numFmt w:val="bullet"/>
      <w:lvlText w:val=""/>
      <w:lvlJc w:val="left"/>
      <w:pPr>
        <w:ind w:left="6349" w:hanging="360"/>
      </w:pPr>
      <w:rPr>
        <w:rFonts w:ascii="Wingdings" w:hAnsi="Wingdings" w:hint="default"/>
      </w:rPr>
    </w:lvl>
  </w:abstractNum>
  <w:abstractNum w:abstractNumId="8" w15:restartNumberingAfterBreak="0">
    <w:nsid w:val="2D751F4C"/>
    <w:multiLevelType w:val="multilevel"/>
    <w:tmpl w:val="0FC66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B249B2"/>
    <w:multiLevelType w:val="hybridMultilevel"/>
    <w:tmpl w:val="DA0A3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897EE2"/>
    <w:multiLevelType w:val="multilevel"/>
    <w:tmpl w:val="07F82C7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C162E3"/>
    <w:multiLevelType w:val="hybridMultilevel"/>
    <w:tmpl w:val="D16E1FC0"/>
    <w:lvl w:ilvl="0" w:tplc="1C09000F">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2" w15:restartNumberingAfterBreak="0">
    <w:nsid w:val="2ED2712F"/>
    <w:multiLevelType w:val="hybridMultilevel"/>
    <w:tmpl w:val="C640F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0973B08"/>
    <w:multiLevelType w:val="hybridMultilevel"/>
    <w:tmpl w:val="A46C312A"/>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5" w15:restartNumberingAfterBreak="0">
    <w:nsid w:val="309A4D19"/>
    <w:multiLevelType w:val="hybridMultilevel"/>
    <w:tmpl w:val="0EB0C980"/>
    <w:lvl w:ilvl="0" w:tplc="9B2EE4E6">
      <w:numFmt w:val="bullet"/>
      <w:lvlText w:val="-"/>
      <w:lvlJc w:val="left"/>
      <w:pPr>
        <w:ind w:left="1211" w:hanging="360"/>
      </w:pPr>
      <w:rPr>
        <w:rFonts w:ascii="Arial" w:eastAsia="Times New Roman" w:hAnsi="Aria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38AB297C"/>
    <w:multiLevelType w:val="hybridMultilevel"/>
    <w:tmpl w:val="057E2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A4F33B5"/>
    <w:multiLevelType w:val="hybridMultilevel"/>
    <w:tmpl w:val="DBE2FFD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CE85EBC"/>
    <w:multiLevelType w:val="hybridMultilevel"/>
    <w:tmpl w:val="ACE431CC"/>
    <w:lvl w:ilvl="0" w:tplc="636EC99A">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790270E"/>
    <w:multiLevelType w:val="hybridMultilevel"/>
    <w:tmpl w:val="338E3182"/>
    <w:lvl w:ilvl="0" w:tplc="AF0E1CFC">
      <w:start w:val="1"/>
      <w:numFmt w:val="lowerLetter"/>
      <w:lvlText w:val="%1)"/>
      <w:lvlJc w:val="left"/>
      <w:pPr>
        <w:ind w:left="511" w:hanging="360"/>
      </w:pPr>
      <w:rPr>
        <w:rFonts w:hint="default"/>
      </w:rPr>
    </w:lvl>
    <w:lvl w:ilvl="1" w:tplc="1C090019" w:tentative="1">
      <w:start w:val="1"/>
      <w:numFmt w:val="lowerLetter"/>
      <w:lvlText w:val="%2."/>
      <w:lvlJc w:val="left"/>
      <w:pPr>
        <w:ind w:left="1231" w:hanging="360"/>
      </w:pPr>
    </w:lvl>
    <w:lvl w:ilvl="2" w:tplc="1C09001B" w:tentative="1">
      <w:start w:val="1"/>
      <w:numFmt w:val="lowerRoman"/>
      <w:lvlText w:val="%3."/>
      <w:lvlJc w:val="right"/>
      <w:pPr>
        <w:ind w:left="1951" w:hanging="180"/>
      </w:pPr>
    </w:lvl>
    <w:lvl w:ilvl="3" w:tplc="1C09000F" w:tentative="1">
      <w:start w:val="1"/>
      <w:numFmt w:val="decimal"/>
      <w:lvlText w:val="%4."/>
      <w:lvlJc w:val="left"/>
      <w:pPr>
        <w:ind w:left="2671" w:hanging="360"/>
      </w:pPr>
    </w:lvl>
    <w:lvl w:ilvl="4" w:tplc="1C090019" w:tentative="1">
      <w:start w:val="1"/>
      <w:numFmt w:val="lowerLetter"/>
      <w:lvlText w:val="%5."/>
      <w:lvlJc w:val="left"/>
      <w:pPr>
        <w:ind w:left="3391" w:hanging="360"/>
      </w:pPr>
    </w:lvl>
    <w:lvl w:ilvl="5" w:tplc="1C09001B" w:tentative="1">
      <w:start w:val="1"/>
      <w:numFmt w:val="lowerRoman"/>
      <w:lvlText w:val="%6."/>
      <w:lvlJc w:val="right"/>
      <w:pPr>
        <w:ind w:left="4111" w:hanging="180"/>
      </w:pPr>
    </w:lvl>
    <w:lvl w:ilvl="6" w:tplc="1C09000F" w:tentative="1">
      <w:start w:val="1"/>
      <w:numFmt w:val="decimal"/>
      <w:lvlText w:val="%7."/>
      <w:lvlJc w:val="left"/>
      <w:pPr>
        <w:ind w:left="4831" w:hanging="360"/>
      </w:pPr>
    </w:lvl>
    <w:lvl w:ilvl="7" w:tplc="1C090019" w:tentative="1">
      <w:start w:val="1"/>
      <w:numFmt w:val="lowerLetter"/>
      <w:lvlText w:val="%8."/>
      <w:lvlJc w:val="left"/>
      <w:pPr>
        <w:ind w:left="5551" w:hanging="360"/>
      </w:pPr>
    </w:lvl>
    <w:lvl w:ilvl="8" w:tplc="1C09001B" w:tentative="1">
      <w:start w:val="1"/>
      <w:numFmt w:val="lowerRoman"/>
      <w:lvlText w:val="%9."/>
      <w:lvlJc w:val="right"/>
      <w:pPr>
        <w:ind w:left="6271"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6B283312"/>
    <w:multiLevelType w:val="hybridMultilevel"/>
    <w:tmpl w:val="372E68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E493623"/>
    <w:multiLevelType w:val="hybridMultilevel"/>
    <w:tmpl w:val="3146C6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32E02C2"/>
    <w:multiLevelType w:val="hybridMultilevel"/>
    <w:tmpl w:val="FB882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9923486"/>
    <w:multiLevelType w:val="hybridMultilevel"/>
    <w:tmpl w:val="567AF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5"/>
  </w:num>
  <w:num w:numId="3">
    <w:abstractNumId w:val="4"/>
  </w:num>
  <w:num w:numId="4">
    <w:abstractNumId w:val="20"/>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10"/>
  </w:num>
  <w:num w:numId="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0"/>
  </w:num>
  <w:num w:numId="1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3">
    <w:abstractNumId w:val="27"/>
  </w:num>
  <w:num w:numId="14">
    <w:abstractNumId w:val="16"/>
  </w:num>
  <w:num w:numId="15">
    <w:abstractNumId w:val="25"/>
  </w:num>
  <w:num w:numId="16">
    <w:abstractNumId w:val="24"/>
  </w:num>
  <w:num w:numId="17">
    <w:abstractNumId w:val="13"/>
  </w:num>
  <w:num w:numId="18">
    <w:abstractNumId w:val="1"/>
  </w:num>
  <w:num w:numId="19">
    <w:abstractNumId w:val="18"/>
  </w:num>
  <w:num w:numId="20">
    <w:abstractNumId w:val="14"/>
  </w:num>
  <w:num w:numId="21">
    <w:abstractNumId w:val="11"/>
  </w:num>
  <w:num w:numId="22">
    <w:abstractNumId w:val="8"/>
  </w:num>
  <w:num w:numId="23">
    <w:abstractNumId w:val="2"/>
  </w:num>
  <w:num w:numId="24">
    <w:abstractNumId w:val="31"/>
  </w:num>
  <w:num w:numId="25">
    <w:abstractNumId w:val="28"/>
  </w:num>
  <w:num w:numId="26">
    <w:abstractNumId w:val="17"/>
  </w:num>
  <w:num w:numId="27">
    <w:abstractNumId w:val="30"/>
  </w:num>
  <w:num w:numId="28">
    <w:abstractNumId w:val="29"/>
  </w:num>
  <w:num w:numId="29">
    <w:abstractNumId w:val="12"/>
  </w:num>
  <w:num w:numId="30">
    <w:abstractNumId w:val="9"/>
  </w:num>
  <w:num w:numId="31">
    <w:abstractNumId w:val="19"/>
  </w:num>
  <w:num w:numId="32">
    <w:abstractNumId w:val="15"/>
  </w:num>
  <w:num w:numId="33">
    <w:abstractNumId w:val="7"/>
  </w:num>
  <w:num w:numId="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512C"/>
    <w:rsid w:val="0002557B"/>
    <w:rsid w:val="00025BF2"/>
    <w:rsid w:val="0002680D"/>
    <w:rsid w:val="000324A9"/>
    <w:rsid w:val="00032E12"/>
    <w:rsid w:val="00036394"/>
    <w:rsid w:val="00042CBC"/>
    <w:rsid w:val="00056E94"/>
    <w:rsid w:val="0006650E"/>
    <w:rsid w:val="00076A81"/>
    <w:rsid w:val="00081095"/>
    <w:rsid w:val="00094A57"/>
    <w:rsid w:val="000955AD"/>
    <w:rsid w:val="000A20D6"/>
    <w:rsid w:val="000A211B"/>
    <w:rsid w:val="000A4366"/>
    <w:rsid w:val="000B02CF"/>
    <w:rsid w:val="000B07DB"/>
    <w:rsid w:val="000B2C99"/>
    <w:rsid w:val="000C2C64"/>
    <w:rsid w:val="000C44C2"/>
    <w:rsid w:val="000C4CAB"/>
    <w:rsid w:val="000D007C"/>
    <w:rsid w:val="000D03F8"/>
    <w:rsid w:val="000E7226"/>
    <w:rsid w:val="000F5041"/>
    <w:rsid w:val="000F6CD7"/>
    <w:rsid w:val="00100E7B"/>
    <w:rsid w:val="001159D7"/>
    <w:rsid w:val="001173B9"/>
    <w:rsid w:val="0012087A"/>
    <w:rsid w:val="00124855"/>
    <w:rsid w:val="00125CC8"/>
    <w:rsid w:val="00130CEA"/>
    <w:rsid w:val="001364A0"/>
    <w:rsid w:val="00137086"/>
    <w:rsid w:val="0014350A"/>
    <w:rsid w:val="001445BC"/>
    <w:rsid w:val="00154CF0"/>
    <w:rsid w:val="00155EAC"/>
    <w:rsid w:val="0016152A"/>
    <w:rsid w:val="00167703"/>
    <w:rsid w:val="00170C62"/>
    <w:rsid w:val="00182118"/>
    <w:rsid w:val="00183AC8"/>
    <w:rsid w:val="001845DC"/>
    <w:rsid w:val="001A0B85"/>
    <w:rsid w:val="001A3965"/>
    <w:rsid w:val="001A39E3"/>
    <w:rsid w:val="001A7488"/>
    <w:rsid w:val="001B0F75"/>
    <w:rsid w:val="001B218A"/>
    <w:rsid w:val="001B46B9"/>
    <w:rsid w:val="001C0355"/>
    <w:rsid w:val="001C7DBF"/>
    <w:rsid w:val="001D0780"/>
    <w:rsid w:val="001D0CDB"/>
    <w:rsid w:val="001D4236"/>
    <w:rsid w:val="001D4B40"/>
    <w:rsid w:val="00211272"/>
    <w:rsid w:val="00213098"/>
    <w:rsid w:val="00213B92"/>
    <w:rsid w:val="0021630F"/>
    <w:rsid w:val="00222530"/>
    <w:rsid w:val="002269A4"/>
    <w:rsid w:val="00231D93"/>
    <w:rsid w:val="00232FDC"/>
    <w:rsid w:val="002339A0"/>
    <w:rsid w:val="00245F58"/>
    <w:rsid w:val="0024789E"/>
    <w:rsid w:val="002602E1"/>
    <w:rsid w:val="002643E9"/>
    <w:rsid w:val="00264F10"/>
    <w:rsid w:val="00272969"/>
    <w:rsid w:val="002734D4"/>
    <w:rsid w:val="0027565A"/>
    <w:rsid w:val="002820D5"/>
    <w:rsid w:val="00285E8C"/>
    <w:rsid w:val="00290964"/>
    <w:rsid w:val="00290ADA"/>
    <w:rsid w:val="00290E61"/>
    <w:rsid w:val="00292449"/>
    <w:rsid w:val="002953A1"/>
    <w:rsid w:val="002A304D"/>
    <w:rsid w:val="002A6115"/>
    <w:rsid w:val="002B210A"/>
    <w:rsid w:val="002C2E40"/>
    <w:rsid w:val="002C45AC"/>
    <w:rsid w:val="002D3216"/>
    <w:rsid w:val="002E0CB1"/>
    <w:rsid w:val="002E4065"/>
    <w:rsid w:val="002E7505"/>
    <w:rsid w:val="002E7DFD"/>
    <w:rsid w:val="002F2FD6"/>
    <w:rsid w:val="002F37E7"/>
    <w:rsid w:val="002F50F7"/>
    <w:rsid w:val="002F62A9"/>
    <w:rsid w:val="0030524C"/>
    <w:rsid w:val="00323F3D"/>
    <w:rsid w:val="003259E7"/>
    <w:rsid w:val="003276C8"/>
    <w:rsid w:val="00327D0A"/>
    <w:rsid w:val="00330A4C"/>
    <w:rsid w:val="003320AE"/>
    <w:rsid w:val="00333EB7"/>
    <w:rsid w:val="00337F27"/>
    <w:rsid w:val="00341D90"/>
    <w:rsid w:val="003421E0"/>
    <w:rsid w:val="00344C78"/>
    <w:rsid w:val="003517A3"/>
    <w:rsid w:val="0035282C"/>
    <w:rsid w:val="00352AD3"/>
    <w:rsid w:val="00353BAA"/>
    <w:rsid w:val="00354032"/>
    <w:rsid w:val="0035761A"/>
    <w:rsid w:val="00360FAB"/>
    <w:rsid w:val="00373840"/>
    <w:rsid w:val="00377080"/>
    <w:rsid w:val="00384954"/>
    <w:rsid w:val="00386287"/>
    <w:rsid w:val="00390F49"/>
    <w:rsid w:val="003912DA"/>
    <w:rsid w:val="00395CAC"/>
    <w:rsid w:val="003A0023"/>
    <w:rsid w:val="003A0631"/>
    <w:rsid w:val="003A17FD"/>
    <w:rsid w:val="003A235B"/>
    <w:rsid w:val="003A585C"/>
    <w:rsid w:val="003A6821"/>
    <w:rsid w:val="003B0F32"/>
    <w:rsid w:val="003B5673"/>
    <w:rsid w:val="003B7B81"/>
    <w:rsid w:val="003C7A92"/>
    <w:rsid w:val="003C7B94"/>
    <w:rsid w:val="003D49BF"/>
    <w:rsid w:val="003D5ADD"/>
    <w:rsid w:val="003D5B63"/>
    <w:rsid w:val="003D68B7"/>
    <w:rsid w:val="003E010E"/>
    <w:rsid w:val="003E10BA"/>
    <w:rsid w:val="003E7586"/>
    <w:rsid w:val="003E7A9E"/>
    <w:rsid w:val="003F7CED"/>
    <w:rsid w:val="00401A2E"/>
    <w:rsid w:val="0041057C"/>
    <w:rsid w:val="00410FD2"/>
    <w:rsid w:val="00414D47"/>
    <w:rsid w:val="00422DF2"/>
    <w:rsid w:val="00434691"/>
    <w:rsid w:val="004513DE"/>
    <w:rsid w:val="0045269F"/>
    <w:rsid w:val="00454760"/>
    <w:rsid w:val="00455C11"/>
    <w:rsid w:val="00456ED1"/>
    <w:rsid w:val="0046111A"/>
    <w:rsid w:val="0046365A"/>
    <w:rsid w:val="0047318E"/>
    <w:rsid w:val="0047600F"/>
    <w:rsid w:val="00483884"/>
    <w:rsid w:val="00484FDB"/>
    <w:rsid w:val="00487FAC"/>
    <w:rsid w:val="0049380E"/>
    <w:rsid w:val="004A5619"/>
    <w:rsid w:val="004B2699"/>
    <w:rsid w:val="004B3FB7"/>
    <w:rsid w:val="004C2044"/>
    <w:rsid w:val="004C2478"/>
    <w:rsid w:val="004C2B5D"/>
    <w:rsid w:val="004C2CA9"/>
    <w:rsid w:val="004C7C23"/>
    <w:rsid w:val="004D2A5D"/>
    <w:rsid w:val="004D4729"/>
    <w:rsid w:val="004D7299"/>
    <w:rsid w:val="004E279C"/>
    <w:rsid w:val="004E3B62"/>
    <w:rsid w:val="004F1225"/>
    <w:rsid w:val="00513265"/>
    <w:rsid w:val="00517EB5"/>
    <w:rsid w:val="0052110F"/>
    <w:rsid w:val="00524DC8"/>
    <w:rsid w:val="00531D97"/>
    <w:rsid w:val="0053294D"/>
    <w:rsid w:val="00542377"/>
    <w:rsid w:val="00544FC3"/>
    <w:rsid w:val="0054578C"/>
    <w:rsid w:val="00545F71"/>
    <w:rsid w:val="0055026D"/>
    <w:rsid w:val="0055231C"/>
    <w:rsid w:val="00554C52"/>
    <w:rsid w:val="00555C00"/>
    <w:rsid w:val="005570CB"/>
    <w:rsid w:val="00560401"/>
    <w:rsid w:val="0056450F"/>
    <w:rsid w:val="00572925"/>
    <w:rsid w:val="00575122"/>
    <w:rsid w:val="0058386F"/>
    <w:rsid w:val="0058651E"/>
    <w:rsid w:val="0058701E"/>
    <w:rsid w:val="005A6B8B"/>
    <w:rsid w:val="005A7E89"/>
    <w:rsid w:val="005B1E63"/>
    <w:rsid w:val="005B1F78"/>
    <w:rsid w:val="005C13AE"/>
    <w:rsid w:val="005C3E6E"/>
    <w:rsid w:val="005D06E6"/>
    <w:rsid w:val="005D1192"/>
    <w:rsid w:val="005D49AB"/>
    <w:rsid w:val="005D5D35"/>
    <w:rsid w:val="005D6018"/>
    <w:rsid w:val="005F6040"/>
    <w:rsid w:val="005F7F05"/>
    <w:rsid w:val="006026B8"/>
    <w:rsid w:val="0060723D"/>
    <w:rsid w:val="00607AB4"/>
    <w:rsid w:val="0061109C"/>
    <w:rsid w:val="00615E19"/>
    <w:rsid w:val="00617670"/>
    <w:rsid w:val="00622AAE"/>
    <w:rsid w:val="006233BC"/>
    <w:rsid w:val="00623F1D"/>
    <w:rsid w:val="0062446E"/>
    <w:rsid w:val="0062720A"/>
    <w:rsid w:val="00631448"/>
    <w:rsid w:val="00640125"/>
    <w:rsid w:val="00640CAA"/>
    <w:rsid w:val="006477D6"/>
    <w:rsid w:val="0065079A"/>
    <w:rsid w:val="0065128E"/>
    <w:rsid w:val="00656EA3"/>
    <w:rsid w:val="006621E2"/>
    <w:rsid w:val="00665A43"/>
    <w:rsid w:val="00667955"/>
    <w:rsid w:val="0067202A"/>
    <w:rsid w:val="00674C44"/>
    <w:rsid w:val="00674E3E"/>
    <w:rsid w:val="00676612"/>
    <w:rsid w:val="006A0C50"/>
    <w:rsid w:val="006A1D0F"/>
    <w:rsid w:val="006A1F7A"/>
    <w:rsid w:val="006A2702"/>
    <w:rsid w:val="006A2FBC"/>
    <w:rsid w:val="006A5BD3"/>
    <w:rsid w:val="006A740A"/>
    <w:rsid w:val="006B2595"/>
    <w:rsid w:val="006B719C"/>
    <w:rsid w:val="006C25DE"/>
    <w:rsid w:val="006C6B13"/>
    <w:rsid w:val="006D555D"/>
    <w:rsid w:val="006E040B"/>
    <w:rsid w:val="006E2147"/>
    <w:rsid w:val="006E2467"/>
    <w:rsid w:val="006E7A53"/>
    <w:rsid w:val="006F114D"/>
    <w:rsid w:val="006F23DE"/>
    <w:rsid w:val="006F4915"/>
    <w:rsid w:val="007061B0"/>
    <w:rsid w:val="00707082"/>
    <w:rsid w:val="00710289"/>
    <w:rsid w:val="0071217A"/>
    <w:rsid w:val="0071520B"/>
    <w:rsid w:val="00721E26"/>
    <w:rsid w:val="00723DEA"/>
    <w:rsid w:val="00730B1E"/>
    <w:rsid w:val="00735C80"/>
    <w:rsid w:val="00747E1A"/>
    <w:rsid w:val="00751686"/>
    <w:rsid w:val="00753D7A"/>
    <w:rsid w:val="007609BF"/>
    <w:rsid w:val="007622D8"/>
    <w:rsid w:val="00763542"/>
    <w:rsid w:val="00763702"/>
    <w:rsid w:val="007638A8"/>
    <w:rsid w:val="007641D7"/>
    <w:rsid w:val="00765515"/>
    <w:rsid w:val="00773E13"/>
    <w:rsid w:val="00774358"/>
    <w:rsid w:val="00776FAD"/>
    <w:rsid w:val="00782964"/>
    <w:rsid w:val="00784B99"/>
    <w:rsid w:val="00787754"/>
    <w:rsid w:val="007937E0"/>
    <w:rsid w:val="00794B6D"/>
    <w:rsid w:val="00795676"/>
    <w:rsid w:val="007C6D39"/>
    <w:rsid w:val="007D4404"/>
    <w:rsid w:val="007D66F8"/>
    <w:rsid w:val="007D6F0B"/>
    <w:rsid w:val="007E091F"/>
    <w:rsid w:val="007F64A7"/>
    <w:rsid w:val="007F76FB"/>
    <w:rsid w:val="00806C82"/>
    <w:rsid w:val="00813A84"/>
    <w:rsid w:val="00826ADB"/>
    <w:rsid w:val="0082767A"/>
    <w:rsid w:val="00827707"/>
    <w:rsid w:val="00830E30"/>
    <w:rsid w:val="00832F82"/>
    <w:rsid w:val="008346F6"/>
    <w:rsid w:val="008406F2"/>
    <w:rsid w:val="00840DA5"/>
    <w:rsid w:val="00844159"/>
    <w:rsid w:val="00845EE8"/>
    <w:rsid w:val="00846654"/>
    <w:rsid w:val="008501AA"/>
    <w:rsid w:val="00852D80"/>
    <w:rsid w:val="008610B6"/>
    <w:rsid w:val="00864BFE"/>
    <w:rsid w:val="00866B94"/>
    <w:rsid w:val="00870C67"/>
    <w:rsid w:val="00874BFF"/>
    <w:rsid w:val="008753D1"/>
    <w:rsid w:val="008804FE"/>
    <w:rsid w:val="00881341"/>
    <w:rsid w:val="0088306C"/>
    <w:rsid w:val="008868F6"/>
    <w:rsid w:val="00886BE5"/>
    <w:rsid w:val="00895020"/>
    <w:rsid w:val="008970C0"/>
    <w:rsid w:val="008A0405"/>
    <w:rsid w:val="008A1DCF"/>
    <w:rsid w:val="008A22D5"/>
    <w:rsid w:val="008B157E"/>
    <w:rsid w:val="008B21E3"/>
    <w:rsid w:val="008B29C4"/>
    <w:rsid w:val="008B5178"/>
    <w:rsid w:val="008B6833"/>
    <w:rsid w:val="008D0EED"/>
    <w:rsid w:val="008D5104"/>
    <w:rsid w:val="008D5C64"/>
    <w:rsid w:val="008D7AE1"/>
    <w:rsid w:val="008E203F"/>
    <w:rsid w:val="008E26FB"/>
    <w:rsid w:val="008E5269"/>
    <w:rsid w:val="008F1EF2"/>
    <w:rsid w:val="008F6C51"/>
    <w:rsid w:val="00905170"/>
    <w:rsid w:val="00905AE4"/>
    <w:rsid w:val="00910881"/>
    <w:rsid w:val="00910C2B"/>
    <w:rsid w:val="00910C2C"/>
    <w:rsid w:val="009125F9"/>
    <w:rsid w:val="00912C98"/>
    <w:rsid w:val="009171F1"/>
    <w:rsid w:val="00926678"/>
    <w:rsid w:val="00931917"/>
    <w:rsid w:val="00933319"/>
    <w:rsid w:val="00945759"/>
    <w:rsid w:val="00947567"/>
    <w:rsid w:val="00966EA2"/>
    <w:rsid w:val="00970B35"/>
    <w:rsid w:val="00971B10"/>
    <w:rsid w:val="0097210C"/>
    <w:rsid w:val="00977E0F"/>
    <w:rsid w:val="0098277B"/>
    <w:rsid w:val="009942A6"/>
    <w:rsid w:val="00995B11"/>
    <w:rsid w:val="009A0927"/>
    <w:rsid w:val="009A1A1E"/>
    <w:rsid w:val="009A1AF8"/>
    <w:rsid w:val="009A3CE0"/>
    <w:rsid w:val="009A4BE0"/>
    <w:rsid w:val="009B06AF"/>
    <w:rsid w:val="009B06E8"/>
    <w:rsid w:val="009C03CD"/>
    <w:rsid w:val="009C1CB7"/>
    <w:rsid w:val="009D0A5D"/>
    <w:rsid w:val="009D1A94"/>
    <w:rsid w:val="009D2CA9"/>
    <w:rsid w:val="009D79A3"/>
    <w:rsid w:val="009E11C1"/>
    <w:rsid w:val="009E22B6"/>
    <w:rsid w:val="009E2B01"/>
    <w:rsid w:val="009E6182"/>
    <w:rsid w:val="009F70F8"/>
    <w:rsid w:val="00A13D23"/>
    <w:rsid w:val="00A17B9F"/>
    <w:rsid w:val="00A24779"/>
    <w:rsid w:val="00A276E8"/>
    <w:rsid w:val="00A350D3"/>
    <w:rsid w:val="00A3535E"/>
    <w:rsid w:val="00A41DB3"/>
    <w:rsid w:val="00A42E16"/>
    <w:rsid w:val="00A646A3"/>
    <w:rsid w:val="00A64742"/>
    <w:rsid w:val="00A64BCA"/>
    <w:rsid w:val="00A65E4B"/>
    <w:rsid w:val="00A66E07"/>
    <w:rsid w:val="00A728C1"/>
    <w:rsid w:val="00A831DE"/>
    <w:rsid w:val="00A83372"/>
    <w:rsid w:val="00A8668E"/>
    <w:rsid w:val="00A9008F"/>
    <w:rsid w:val="00A92150"/>
    <w:rsid w:val="00A946E5"/>
    <w:rsid w:val="00AA2519"/>
    <w:rsid w:val="00AB18ED"/>
    <w:rsid w:val="00AB3FE5"/>
    <w:rsid w:val="00AB5CE3"/>
    <w:rsid w:val="00AB60DA"/>
    <w:rsid w:val="00AB75D0"/>
    <w:rsid w:val="00AC5AAB"/>
    <w:rsid w:val="00AD0079"/>
    <w:rsid w:val="00AD5A47"/>
    <w:rsid w:val="00AE1249"/>
    <w:rsid w:val="00AE19C7"/>
    <w:rsid w:val="00B01F21"/>
    <w:rsid w:val="00B02EAA"/>
    <w:rsid w:val="00B101BB"/>
    <w:rsid w:val="00B20625"/>
    <w:rsid w:val="00B21512"/>
    <w:rsid w:val="00B24500"/>
    <w:rsid w:val="00B549A0"/>
    <w:rsid w:val="00B549F2"/>
    <w:rsid w:val="00B629F5"/>
    <w:rsid w:val="00B64EF1"/>
    <w:rsid w:val="00B6512B"/>
    <w:rsid w:val="00B83E99"/>
    <w:rsid w:val="00B86DD3"/>
    <w:rsid w:val="00B87D31"/>
    <w:rsid w:val="00B90755"/>
    <w:rsid w:val="00B92A9B"/>
    <w:rsid w:val="00BA4024"/>
    <w:rsid w:val="00BA549A"/>
    <w:rsid w:val="00BB06C4"/>
    <w:rsid w:val="00BB0E4C"/>
    <w:rsid w:val="00BC1A90"/>
    <w:rsid w:val="00BC499C"/>
    <w:rsid w:val="00BC7666"/>
    <w:rsid w:val="00BD1649"/>
    <w:rsid w:val="00BD4520"/>
    <w:rsid w:val="00BD70A3"/>
    <w:rsid w:val="00BE284A"/>
    <w:rsid w:val="00BE3A26"/>
    <w:rsid w:val="00BE55D8"/>
    <w:rsid w:val="00BE6089"/>
    <w:rsid w:val="00BF3410"/>
    <w:rsid w:val="00C01C2C"/>
    <w:rsid w:val="00C13E41"/>
    <w:rsid w:val="00C15789"/>
    <w:rsid w:val="00C1777E"/>
    <w:rsid w:val="00C17C0F"/>
    <w:rsid w:val="00C21F7D"/>
    <w:rsid w:val="00C253A8"/>
    <w:rsid w:val="00C311C6"/>
    <w:rsid w:val="00C37509"/>
    <w:rsid w:val="00C37554"/>
    <w:rsid w:val="00C42470"/>
    <w:rsid w:val="00C429C7"/>
    <w:rsid w:val="00C444FF"/>
    <w:rsid w:val="00C541F9"/>
    <w:rsid w:val="00C75B7C"/>
    <w:rsid w:val="00C77111"/>
    <w:rsid w:val="00C77334"/>
    <w:rsid w:val="00C81AFA"/>
    <w:rsid w:val="00C821F8"/>
    <w:rsid w:val="00C92C3A"/>
    <w:rsid w:val="00C95C94"/>
    <w:rsid w:val="00C95F2F"/>
    <w:rsid w:val="00CA1DC2"/>
    <w:rsid w:val="00CA4CDE"/>
    <w:rsid w:val="00CA4DBB"/>
    <w:rsid w:val="00CB01CB"/>
    <w:rsid w:val="00CC5CBB"/>
    <w:rsid w:val="00CD1845"/>
    <w:rsid w:val="00CD1863"/>
    <w:rsid w:val="00CD3071"/>
    <w:rsid w:val="00CD5B2C"/>
    <w:rsid w:val="00CE1CB7"/>
    <w:rsid w:val="00CF7D91"/>
    <w:rsid w:val="00D009F8"/>
    <w:rsid w:val="00D02382"/>
    <w:rsid w:val="00D116B1"/>
    <w:rsid w:val="00D17F88"/>
    <w:rsid w:val="00D25348"/>
    <w:rsid w:val="00D32065"/>
    <w:rsid w:val="00D36B06"/>
    <w:rsid w:val="00D36F9C"/>
    <w:rsid w:val="00D42DD7"/>
    <w:rsid w:val="00D43783"/>
    <w:rsid w:val="00D43C55"/>
    <w:rsid w:val="00D512FE"/>
    <w:rsid w:val="00D52537"/>
    <w:rsid w:val="00D5351B"/>
    <w:rsid w:val="00D55A3B"/>
    <w:rsid w:val="00D61FB8"/>
    <w:rsid w:val="00D6488C"/>
    <w:rsid w:val="00D6628B"/>
    <w:rsid w:val="00D82017"/>
    <w:rsid w:val="00D87C32"/>
    <w:rsid w:val="00D907E9"/>
    <w:rsid w:val="00D91107"/>
    <w:rsid w:val="00D97E4C"/>
    <w:rsid w:val="00DA39DC"/>
    <w:rsid w:val="00DB218C"/>
    <w:rsid w:val="00DB2196"/>
    <w:rsid w:val="00DB2A3E"/>
    <w:rsid w:val="00DB77DD"/>
    <w:rsid w:val="00DD3BA3"/>
    <w:rsid w:val="00DD6400"/>
    <w:rsid w:val="00DD7DE3"/>
    <w:rsid w:val="00DE03CA"/>
    <w:rsid w:val="00DE5E68"/>
    <w:rsid w:val="00DE6E65"/>
    <w:rsid w:val="00DF2191"/>
    <w:rsid w:val="00DF40BE"/>
    <w:rsid w:val="00DF6DAA"/>
    <w:rsid w:val="00E00069"/>
    <w:rsid w:val="00E006DF"/>
    <w:rsid w:val="00E03B36"/>
    <w:rsid w:val="00E0536F"/>
    <w:rsid w:val="00E07922"/>
    <w:rsid w:val="00E16A45"/>
    <w:rsid w:val="00E24E05"/>
    <w:rsid w:val="00E25BF8"/>
    <w:rsid w:val="00E31D21"/>
    <w:rsid w:val="00E40364"/>
    <w:rsid w:val="00E415FA"/>
    <w:rsid w:val="00E43C4C"/>
    <w:rsid w:val="00E5165A"/>
    <w:rsid w:val="00E6236C"/>
    <w:rsid w:val="00E63B93"/>
    <w:rsid w:val="00E6441B"/>
    <w:rsid w:val="00E6458C"/>
    <w:rsid w:val="00E661B7"/>
    <w:rsid w:val="00E7099B"/>
    <w:rsid w:val="00E7380E"/>
    <w:rsid w:val="00E87E22"/>
    <w:rsid w:val="00E9599A"/>
    <w:rsid w:val="00E95E5F"/>
    <w:rsid w:val="00EA2284"/>
    <w:rsid w:val="00EA60FE"/>
    <w:rsid w:val="00EB32E4"/>
    <w:rsid w:val="00EC0A3D"/>
    <w:rsid w:val="00EC22C1"/>
    <w:rsid w:val="00EC4BD5"/>
    <w:rsid w:val="00ED05FB"/>
    <w:rsid w:val="00ED60C8"/>
    <w:rsid w:val="00ED76CB"/>
    <w:rsid w:val="00ED79CD"/>
    <w:rsid w:val="00EE56F7"/>
    <w:rsid w:val="00EE7B57"/>
    <w:rsid w:val="00EF0568"/>
    <w:rsid w:val="00EF0E25"/>
    <w:rsid w:val="00EF5D67"/>
    <w:rsid w:val="00F01342"/>
    <w:rsid w:val="00F02CA8"/>
    <w:rsid w:val="00F03945"/>
    <w:rsid w:val="00F0479D"/>
    <w:rsid w:val="00F1094B"/>
    <w:rsid w:val="00F12532"/>
    <w:rsid w:val="00F25752"/>
    <w:rsid w:val="00F25FF6"/>
    <w:rsid w:val="00F2669A"/>
    <w:rsid w:val="00F3718B"/>
    <w:rsid w:val="00F4239F"/>
    <w:rsid w:val="00F46E0A"/>
    <w:rsid w:val="00F4769E"/>
    <w:rsid w:val="00F514FD"/>
    <w:rsid w:val="00F51B54"/>
    <w:rsid w:val="00F60389"/>
    <w:rsid w:val="00F616A4"/>
    <w:rsid w:val="00F770CF"/>
    <w:rsid w:val="00F80D24"/>
    <w:rsid w:val="00F92025"/>
    <w:rsid w:val="00F96EE7"/>
    <w:rsid w:val="00FA0BBA"/>
    <w:rsid w:val="00FA4A35"/>
    <w:rsid w:val="00FB1E06"/>
    <w:rsid w:val="00FB2A60"/>
    <w:rsid w:val="00FB4782"/>
    <w:rsid w:val="00FC5B79"/>
    <w:rsid w:val="00FC611D"/>
    <w:rsid w:val="00FD6F9E"/>
    <w:rsid w:val="00FE5435"/>
    <w:rsid w:val="00FE5DE9"/>
    <w:rsid w:val="00FF21F7"/>
    <w:rsid w:val="00FF2734"/>
    <w:rsid w:val="00FF499E"/>
    <w:rsid w:val="00FF7CB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163D"/>
  <w15:docId w15:val="{DE7468DE-2001-4B42-AA55-8185CC39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SASSA List Paragraph,SASSA Part Heading"/>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6"/>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F96EE7"/>
    <w:pPr>
      <w:numPr>
        <w:ilvl w:val="1"/>
        <w:numId w:val="6"/>
      </w:numPr>
      <w:spacing w:line="240" w:lineRule="auto"/>
      <w:outlineLvl w:val="1"/>
    </w:pPr>
    <w:rPr>
      <w:b/>
      <w:caps/>
      <w:sz w:val="24"/>
    </w:rPr>
  </w:style>
  <w:style w:type="paragraph" w:styleId="Index3">
    <w:name w:val="index 3"/>
    <w:basedOn w:val="Normal"/>
    <w:next w:val="1Paragraph"/>
    <w:autoRedefine/>
    <w:uiPriority w:val="99"/>
    <w:unhideWhenUsed/>
    <w:qFormat/>
    <w:rsid w:val="00F96EE7"/>
    <w:pPr>
      <w:numPr>
        <w:ilvl w:val="2"/>
        <w:numId w:val="12"/>
      </w:numPr>
      <w:spacing w:before="160" w:after="100" w:line="240" w:lineRule="auto"/>
      <w:outlineLvl w:val="2"/>
    </w:pPr>
    <w:rPr>
      <w:b/>
    </w:rPr>
  </w:style>
  <w:style w:type="paragraph" w:styleId="Index4">
    <w:name w:val="index 4"/>
    <w:basedOn w:val="Normal"/>
    <w:autoRedefine/>
    <w:uiPriority w:val="99"/>
    <w:unhideWhenUsed/>
    <w:qFormat/>
    <w:rsid w:val="002269A4"/>
    <w:pPr>
      <w:numPr>
        <w:ilvl w:val="3"/>
        <w:numId w:val="6"/>
      </w:numPr>
      <w:jc w:val="both"/>
    </w:pPr>
    <w:rPr>
      <w:color w:val="FF0000"/>
    </w:r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unhideWhenUsed/>
    <w:rsid w:val="00DA39DC"/>
    <w:pPr>
      <w:ind w:left="283"/>
    </w:pPr>
  </w:style>
  <w:style w:type="character" w:customStyle="1" w:styleId="BodyTextIndentChar">
    <w:name w:val="Body Text Indent Char"/>
    <w:basedOn w:val="DefaultParagraphFont"/>
    <w:link w:val="BodyTextIndent"/>
    <w:uiPriority w:val="99"/>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617670"/>
    <w:rPr>
      <w:sz w:val="16"/>
      <w:szCs w:val="16"/>
    </w:rPr>
  </w:style>
  <w:style w:type="paragraph" w:styleId="CommentSubject">
    <w:name w:val="annotation subject"/>
    <w:basedOn w:val="CommentText"/>
    <w:next w:val="CommentText"/>
    <w:link w:val="CommentSubjectChar"/>
    <w:semiHidden/>
    <w:unhideWhenUsed/>
    <w:rsid w:val="00617670"/>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617670"/>
    <w:rPr>
      <w:rFonts w:ascii="Arial" w:hAnsi="Arial" w:cs="Arial"/>
      <w:b/>
      <w:bCs/>
      <w:iCs/>
      <w:sz w:val="20"/>
      <w:szCs w:val="20"/>
      <w:lang w:val="en-GB" w:eastAsia="en-ZA"/>
    </w:rPr>
  </w:style>
  <w:style w:type="paragraph" w:customStyle="1" w:styleId="Default">
    <w:name w:val="Default"/>
    <w:rsid w:val="00FF7CB9"/>
    <w:pPr>
      <w:autoSpaceDE w:val="0"/>
      <w:autoSpaceDN w:val="0"/>
      <w:adjustRightInd w:val="0"/>
      <w:spacing w:after="0" w:line="240" w:lineRule="auto"/>
    </w:pPr>
    <w:rPr>
      <w:rFonts w:ascii="Arial" w:eastAsia="Calibri" w:hAnsi="Arial" w:cs="Arial"/>
      <w:color w:val="000000"/>
      <w:sz w:val="24"/>
      <w:szCs w:val="24"/>
    </w:rPr>
  </w:style>
  <w:style w:type="paragraph" w:customStyle="1" w:styleId="NoParagraphStyle">
    <w:name w:val="[No Paragraph Style]"/>
    <w:rsid w:val="002B210A"/>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ListParagraphChar">
    <w:name w:val="List Paragraph Char"/>
    <w:aliases w:val="SASSA List Paragraph Char,SASSA Part Heading Char"/>
    <w:basedOn w:val="DefaultParagraphFont"/>
    <w:link w:val="ListParagraph"/>
    <w:uiPriority w:val="34"/>
    <w:locked/>
    <w:rsid w:val="00947567"/>
    <w:rPr>
      <w:rFonts w:ascii="Arial" w:hAnsi="Arial" w:cs="Arial"/>
      <w:iCs/>
      <w:lang w:val="en-GB" w:eastAsia="en-ZA"/>
    </w:rPr>
  </w:style>
  <w:style w:type="table" w:customStyle="1" w:styleId="TableGrid11">
    <w:name w:val="Table Grid11"/>
    <w:basedOn w:val="TableNormal"/>
    <w:next w:val="TableGrid"/>
    <w:uiPriority w:val="59"/>
    <w:rsid w:val="006C6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F1094B"/>
  </w:style>
  <w:style w:type="character" w:customStyle="1" w:styleId="BodyTextChar">
    <w:name w:val="Body Text Char"/>
    <w:basedOn w:val="DefaultParagraphFont"/>
    <w:link w:val="BodyText"/>
    <w:uiPriority w:val="1"/>
    <w:semiHidden/>
    <w:rsid w:val="00F1094B"/>
    <w:rPr>
      <w:rFonts w:ascii="Arial" w:hAnsi="Arial" w:cs="Arial"/>
      <w:iCs/>
      <w:lang w:val="en-GB" w:eastAsia="en-ZA"/>
    </w:rPr>
  </w:style>
  <w:style w:type="character" w:customStyle="1" w:styleId="ui-provider">
    <w:name w:val="ui-provider"/>
    <w:basedOn w:val="DefaultParagraphFont"/>
    <w:rsid w:val="00344C78"/>
  </w:style>
  <w:style w:type="paragraph" w:styleId="Revision">
    <w:name w:val="Revision"/>
    <w:hidden/>
    <w:uiPriority w:val="99"/>
    <w:semiHidden/>
    <w:rsid w:val="001C7DBF"/>
    <w:pPr>
      <w:spacing w:after="0" w:line="240" w:lineRule="auto"/>
    </w:pPr>
    <w:rPr>
      <w:rFonts w:ascii="Arial" w:hAnsi="Arial" w:cs="Arial"/>
      <w:iCs/>
      <w:lang w:val="en-GB" w:eastAsia="en-ZA"/>
    </w:rPr>
  </w:style>
  <w:style w:type="table" w:customStyle="1" w:styleId="TableGrid1">
    <w:name w:val="Table Grid1"/>
    <w:basedOn w:val="TableNormal"/>
    <w:next w:val="TableGrid"/>
    <w:uiPriority w:val="59"/>
    <w:rsid w:val="00AE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34259">
      <w:bodyDiv w:val="1"/>
      <w:marLeft w:val="0"/>
      <w:marRight w:val="0"/>
      <w:marTop w:val="0"/>
      <w:marBottom w:val="0"/>
      <w:divBdr>
        <w:top w:val="none" w:sz="0" w:space="0" w:color="auto"/>
        <w:left w:val="none" w:sz="0" w:space="0" w:color="auto"/>
        <w:bottom w:val="none" w:sz="0" w:space="0" w:color="auto"/>
        <w:right w:val="none" w:sz="0" w:space="0" w:color="auto"/>
      </w:divBdr>
    </w:div>
    <w:div w:id="17351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necs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m@necsa.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FA7DCC1A72E44D904E320E1092858E" ma:contentTypeVersion="12" ma:contentTypeDescription="Create a new document." ma:contentTypeScope="" ma:versionID="de633a2c7176f1dd6e23a155103d6e7b">
  <xsd:schema xmlns:xsd="http://www.w3.org/2001/XMLSchema" xmlns:xs="http://www.w3.org/2001/XMLSchema" xmlns:p="http://schemas.microsoft.com/office/2006/metadata/properties" xmlns:ns2="7cad6d70-2d2e-4a86-92f1-49fdc13640eb" xmlns:ns3="097b54ee-4210-434a-9af0-ab238a087ef1" targetNamespace="http://schemas.microsoft.com/office/2006/metadata/properties" ma:root="true" ma:fieldsID="2ed139d62d89be08ddeec5e8d3c5130a" ns2:_="" ns3:_="">
    <xsd:import namespace="7cad6d70-2d2e-4a86-92f1-49fdc13640eb"/>
    <xsd:import namespace="097b54ee-4210-434a-9af0-ab238a08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6d70-2d2e-4a86-92f1-49fdc1364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b54ee-4210-434a-9af0-ab238a087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C745-988E-4A9A-A119-E301463FC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DF433E-E3F5-4C3F-BF2B-C7434955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6d70-2d2e-4a86-92f1-49fdc13640eb"/>
    <ds:schemaRef ds:uri="097b54ee-4210-434a-9af0-ab238a08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1A80A-E0FD-4C13-AF99-C17AFF884368}">
  <ds:schemaRefs>
    <ds:schemaRef ds:uri="http://schemas.microsoft.com/sharepoint/v3/contenttype/forms"/>
  </ds:schemaRefs>
</ds:datastoreItem>
</file>

<file path=customXml/itemProps4.xml><?xml version="1.0" encoding="utf-8"?>
<ds:datastoreItem xmlns:ds="http://schemas.openxmlformats.org/officeDocument/2006/customXml" ds:itemID="{C14ABB2E-5487-429E-997D-99CC91E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2</cp:revision>
  <cp:lastPrinted>2021-08-17T05:21:00Z</cp:lastPrinted>
  <dcterms:created xsi:type="dcterms:W3CDTF">2024-05-10T18:21:00Z</dcterms:created>
  <dcterms:modified xsi:type="dcterms:W3CDTF">2024-05-10T18:21:00Z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0x010100F5FA7DCC1A72E44D904E320E1092858E</vt:lpwstr>
  </property>
</Properties>
</file>