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97" w:type="dxa"/>
        <w:jc w:val="center"/>
        <w:tblLook w:val="04A0" w:firstRow="1" w:lastRow="0" w:firstColumn="1" w:lastColumn="0" w:noHBand="0" w:noVBand="1"/>
      </w:tblPr>
      <w:tblGrid>
        <w:gridCol w:w="5116"/>
        <w:gridCol w:w="2126"/>
        <w:gridCol w:w="7655"/>
      </w:tblGrid>
      <w:tr w:rsidR="00A41BC6" w:rsidRPr="00A41BC6" w14:paraId="4177263B" w14:textId="77777777" w:rsidTr="005F2710">
        <w:trPr>
          <w:trHeight w:val="439"/>
          <w:jc w:val="center"/>
        </w:trPr>
        <w:tc>
          <w:tcPr>
            <w:tcW w:w="5116" w:type="dxa"/>
            <w:vMerge w:val="restart"/>
          </w:tcPr>
          <w:p w14:paraId="4C893A74" w14:textId="77777777" w:rsidR="00A41BC6" w:rsidRPr="00A41BC6" w:rsidRDefault="00A41BC6" w:rsidP="00A41BC6">
            <w:pPr>
              <w:rPr>
                <w:rFonts w:ascii="Arial" w:eastAsia="Calibri" w:hAnsi="Arial" w:cs="Arial"/>
                <w:b/>
                <w:bCs/>
              </w:rPr>
            </w:pPr>
            <w:r w:rsidRPr="00A41BC6">
              <w:rPr>
                <w:rFonts w:ascii="Arial" w:eastAsia="Calibri" w:hAnsi="Arial" w:cs="Arial"/>
                <w:b/>
                <w:bCs/>
              </w:rPr>
              <w:t>To whom it may concern</w:t>
            </w:r>
          </w:p>
        </w:tc>
        <w:tc>
          <w:tcPr>
            <w:tcW w:w="2126" w:type="dxa"/>
          </w:tcPr>
          <w:p w14:paraId="47945087"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Date</w:t>
            </w:r>
          </w:p>
        </w:tc>
        <w:tc>
          <w:tcPr>
            <w:tcW w:w="7655" w:type="dxa"/>
          </w:tcPr>
          <w:p w14:paraId="1FE22376" w14:textId="5FF151AA" w:rsidR="00A41BC6" w:rsidRPr="00F7608A" w:rsidRDefault="00F7608A" w:rsidP="00A41BC6">
            <w:pPr>
              <w:rPr>
                <w:rFonts w:ascii="Arial" w:eastAsia="Calibri" w:hAnsi="Arial" w:cs="Arial"/>
              </w:rPr>
            </w:pPr>
            <w:r w:rsidRPr="00F7608A">
              <w:rPr>
                <w:rFonts w:ascii="Arial" w:eastAsia="Calibri" w:hAnsi="Arial" w:cs="Arial"/>
              </w:rPr>
              <w:t>08 August 2025</w:t>
            </w:r>
          </w:p>
        </w:tc>
      </w:tr>
      <w:tr w:rsidR="00A41BC6" w:rsidRPr="00A41BC6" w14:paraId="08D31B03" w14:textId="77777777" w:rsidTr="005F2710">
        <w:trPr>
          <w:trHeight w:val="439"/>
          <w:jc w:val="center"/>
        </w:trPr>
        <w:tc>
          <w:tcPr>
            <w:tcW w:w="5116" w:type="dxa"/>
            <w:vMerge/>
          </w:tcPr>
          <w:p w14:paraId="13028066" w14:textId="77777777" w:rsidR="00A41BC6" w:rsidRPr="00A41BC6" w:rsidRDefault="00A41BC6" w:rsidP="00A41BC6">
            <w:pPr>
              <w:rPr>
                <w:rFonts w:ascii="Arial" w:eastAsia="Calibri" w:hAnsi="Arial" w:cs="Arial"/>
                <w:b/>
                <w:bCs/>
                <w:sz w:val="28"/>
                <w:szCs w:val="28"/>
                <w:u w:val="single"/>
              </w:rPr>
            </w:pPr>
          </w:p>
        </w:tc>
        <w:tc>
          <w:tcPr>
            <w:tcW w:w="2126" w:type="dxa"/>
          </w:tcPr>
          <w:p w14:paraId="62049029"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Enquiries</w:t>
            </w:r>
          </w:p>
        </w:tc>
        <w:tc>
          <w:tcPr>
            <w:tcW w:w="7655" w:type="dxa"/>
          </w:tcPr>
          <w:p w14:paraId="641B5D31" w14:textId="015B2801" w:rsidR="00A41BC6" w:rsidRPr="00F7608A" w:rsidRDefault="00F7608A" w:rsidP="00A41BC6">
            <w:pPr>
              <w:rPr>
                <w:rFonts w:ascii="Arial" w:eastAsia="Calibri" w:hAnsi="Arial" w:cs="Arial"/>
              </w:rPr>
            </w:pPr>
            <w:r>
              <w:rPr>
                <w:rFonts w:ascii="Arial" w:eastAsia="Calibri" w:hAnsi="Arial" w:cs="Arial"/>
              </w:rPr>
              <w:t>Samuel Sekese</w:t>
            </w:r>
          </w:p>
        </w:tc>
      </w:tr>
      <w:tr w:rsidR="00A41BC6" w:rsidRPr="00A41BC6" w14:paraId="6D5659FE" w14:textId="77777777" w:rsidTr="005F2710">
        <w:trPr>
          <w:trHeight w:val="439"/>
          <w:jc w:val="center"/>
        </w:trPr>
        <w:tc>
          <w:tcPr>
            <w:tcW w:w="5116" w:type="dxa"/>
            <w:vMerge/>
          </w:tcPr>
          <w:p w14:paraId="25BFFF62" w14:textId="77777777" w:rsidR="00A41BC6" w:rsidRPr="00A41BC6" w:rsidRDefault="00A41BC6" w:rsidP="00A41BC6">
            <w:pPr>
              <w:rPr>
                <w:rFonts w:ascii="Arial" w:eastAsia="Calibri" w:hAnsi="Arial" w:cs="Arial"/>
                <w:b/>
                <w:bCs/>
                <w:sz w:val="28"/>
                <w:szCs w:val="28"/>
                <w:u w:val="single"/>
              </w:rPr>
            </w:pPr>
          </w:p>
        </w:tc>
        <w:tc>
          <w:tcPr>
            <w:tcW w:w="2126" w:type="dxa"/>
          </w:tcPr>
          <w:p w14:paraId="51B51C68"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E-mail address</w:t>
            </w:r>
          </w:p>
        </w:tc>
        <w:tc>
          <w:tcPr>
            <w:tcW w:w="7655" w:type="dxa"/>
          </w:tcPr>
          <w:p w14:paraId="2C0F9866" w14:textId="3BD6D23F" w:rsidR="00A41BC6" w:rsidRPr="0043690C" w:rsidRDefault="00F7608A" w:rsidP="00A41BC6">
            <w:pPr>
              <w:rPr>
                <w:rFonts w:ascii="Arial" w:eastAsia="Calibri" w:hAnsi="Arial" w:cs="Arial"/>
              </w:rPr>
            </w:pPr>
            <w:r w:rsidRPr="0043690C">
              <w:rPr>
                <w:rFonts w:ascii="Arial" w:eastAsia="Calibri" w:hAnsi="Arial" w:cs="Arial"/>
              </w:rPr>
              <w:t>sekeses</w:t>
            </w:r>
            <w:r w:rsidR="00E16B7D" w:rsidRPr="0043690C">
              <w:rPr>
                <w:rFonts w:ascii="Arial" w:eastAsia="Calibri" w:hAnsi="Arial" w:cs="Arial"/>
              </w:rPr>
              <w:t>@ntcsa.co.za</w:t>
            </w:r>
          </w:p>
        </w:tc>
      </w:tr>
    </w:tbl>
    <w:p w14:paraId="24C7566B" w14:textId="5B57BDDB" w:rsidR="00A41BC6" w:rsidRPr="00A41BC6" w:rsidRDefault="00A41BC6" w:rsidP="00A41BC6">
      <w:pPr>
        <w:spacing w:before="360" w:line="240" w:lineRule="auto"/>
        <w:ind w:left="709" w:hanging="709"/>
        <w:rPr>
          <w:rFonts w:ascii="Arial" w:eastAsia="Times New Roman" w:hAnsi="Arial" w:cs="Arial"/>
          <w:lang w:val="en-US"/>
        </w:rPr>
      </w:pPr>
      <w:r w:rsidRPr="00A41BC6">
        <w:rPr>
          <w:rFonts w:ascii="Arial" w:eastAsia="Times New Roman" w:hAnsi="Arial" w:cs="Arial"/>
          <w:lang w:val="en-US"/>
        </w:rPr>
        <w:t>Dear Sir/Madam</w:t>
      </w:r>
    </w:p>
    <w:tbl>
      <w:tblPr>
        <w:tblStyle w:val="TableGrid"/>
        <w:tblW w:w="15069" w:type="dxa"/>
        <w:jc w:val="center"/>
        <w:tblLook w:val="04A0" w:firstRow="1" w:lastRow="0" w:firstColumn="1" w:lastColumn="0" w:noHBand="0" w:noVBand="1"/>
      </w:tblPr>
      <w:tblGrid>
        <w:gridCol w:w="3871"/>
        <w:gridCol w:w="11198"/>
      </w:tblGrid>
      <w:tr w:rsidR="00A41BC6" w:rsidRPr="00A41BC6" w14:paraId="76896201" w14:textId="77777777" w:rsidTr="005F2710">
        <w:trPr>
          <w:trHeight w:val="414"/>
          <w:jc w:val="center"/>
        </w:trPr>
        <w:tc>
          <w:tcPr>
            <w:tcW w:w="3871" w:type="dxa"/>
          </w:tcPr>
          <w:p w14:paraId="0E4B0524" w14:textId="06C9E3AE"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Request for Enquiry N</w:t>
            </w:r>
            <w:r w:rsidR="007F627F">
              <w:rPr>
                <w:rFonts w:ascii="Arial" w:eastAsia="Calibri" w:hAnsi="Arial" w:cs="Arial"/>
                <w:b/>
                <w:bCs/>
              </w:rPr>
              <w:t>umber</w:t>
            </w:r>
          </w:p>
        </w:tc>
        <w:tc>
          <w:tcPr>
            <w:tcW w:w="11198" w:type="dxa"/>
          </w:tcPr>
          <w:p w14:paraId="6F10E761" w14:textId="77E9C6B9" w:rsidR="00A41BC6" w:rsidRPr="0043690C" w:rsidRDefault="00E16B7D" w:rsidP="00A41BC6">
            <w:pPr>
              <w:rPr>
                <w:rFonts w:ascii="Arial" w:eastAsia="Calibri" w:hAnsi="Arial" w:cs="Arial"/>
              </w:rPr>
            </w:pPr>
            <w:r w:rsidRPr="0043690C">
              <w:rPr>
                <w:rFonts w:ascii="Arial" w:eastAsia="Calibri" w:hAnsi="Arial" w:cs="Arial"/>
              </w:rPr>
              <w:t>E1584NTCSAMWP-R</w:t>
            </w:r>
          </w:p>
        </w:tc>
      </w:tr>
      <w:tr w:rsidR="00A41BC6" w:rsidRPr="00A41BC6" w14:paraId="11EC01B1" w14:textId="77777777" w:rsidTr="005F2710">
        <w:trPr>
          <w:trHeight w:val="414"/>
          <w:jc w:val="center"/>
        </w:trPr>
        <w:tc>
          <w:tcPr>
            <w:tcW w:w="3871" w:type="dxa"/>
          </w:tcPr>
          <w:p w14:paraId="0F81C49D"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Description / Project Title</w:t>
            </w:r>
          </w:p>
        </w:tc>
        <w:tc>
          <w:tcPr>
            <w:tcW w:w="11198" w:type="dxa"/>
          </w:tcPr>
          <w:p w14:paraId="27C4674A" w14:textId="0BF9C9EB" w:rsidR="00E16B7D" w:rsidRPr="0043690C" w:rsidRDefault="00E16B7D" w:rsidP="00E16B7D">
            <w:pPr>
              <w:rPr>
                <w:rFonts w:ascii="Arial" w:eastAsia="Calibri" w:hAnsi="Arial" w:cs="Arial"/>
              </w:rPr>
            </w:pPr>
            <w:r w:rsidRPr="0043690C">
              <w:rPr>
                <w:rFonts w:ascii="Arial" w:eastAsia="Calibri" w:hAnsi="Arial" w:cs="Arial"/>
              </w:rPr>
              <w:t>The provision of professional engineering services to NTCSA</w:t>
            </w:r>
          </w:p>
          <w:p w14:paraId="00608571" w14:textId="34BB5A13" w:rsidR="00A41BC6" w:rsidRPr="0043690C" w:rsidRDefault="00E16B7D" w:rsidP="00E16B7D">
            <w:pPr>
              <w:rPr>
                <w:rFonts w:ascii="Arial" w:eastAsia="Calibri" w:hAnsi="Arial" w:cs="Arial"/>
                <w:b/>
                <w:bCs/>
                <w:u w:val="single"/>
              </w:rPr>
            </w:pPr>
            <w:r w:rsidRPr="0043690C">
              <w:rPr>
                <w:rFonts w:ascii="Arial" w:eastAsia="Calibri" w:hAnsi="Arial" w:cs="Arial"/>
              </w:rPr>
              <w:t>on an “as and when required basis” for a period of five (5) years</w:t>
            </w:r>
          </w:p>
        </w:tc>
      </w:tr>
      <w:tr w:rsidR="00A41BC6" w:rsidRPr="00A41BC6" w14:paraId="03CDDAC9" w14:textId="77777777" w:rsidTr="005F2710">
        <w:trPr>
          <w:trHeight w:val="414"/>
          <w:jc w:val="center"/>
        </w:trPr>
        <w:tc>
          <w:tcPr>
            <w:tcW w:w="3871" w:type="dxa"/>
          </w:tcPr>
          <w:p w14:paraId="26099B47" w14:textId="4C3C9FFA"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 xml:space="preserve">Tender </w:t>
            </w:r>
            <w:r w:rsidR="007F627F" w:rsidRPr="00A41BC6">
              <w:rPr>
                <w:rFonts w:ascii="Arial" w:eastAsia="Calibri" w:hAnsi="Arial" w:cs="Arial"/>
                <w:b/>
                <w:bCs/>
              </w:rPr>
              <w:t>Questions Closing Date</w:t>
            </w:r>
          </w:p>
        </w:tc>
        <w:tc>
          <w:tcPr>
            <w:tcW w:w="11198" w:type="dxa"/>
          </w:tcPr>
          <w:p w14:paraId="5996A892" w14:textId="39E0143B" w:rsidR="00A41BC6" w:rsidRPr="0043690C" w:rsidRDefault="0043690C" w:rsidP="00A41BC6">
            <w:pPr>
              <w:rPr>
                <w:rFonts w:ascii="Arial" w:eastAsia="Calibri" w:hAnsi="Arial" w:cs="Arial"/>
              </w:rPr>
            </w:pPr>
            <w:r w:rsidRPr="0043690C">
              <w:rPr>
                <w:rFonts w:ascii="Arial" w:eastAsia="Calibri" w:hAnsi="Arial" w:cs="Arial"/>
              </w:rPr>
              <w:t>03 September 2025</w:t>
            </w:r>
          </w:p>
        </w:tc>
      </w:tr>
    </w:tbl>
    <w:p w14:paraId="0B4EFA29" w14:textId="77777777" w:rsidR="00A41BC6" w:rsidRPr="00A41BC6" w:rsidRDefault="00A41BC6" w:rsidP="00A41BC6">
      <w:pPr>
        <w:spacing w:after="160" w:line="259" w:lineRule="auto"/>
        <w:rPr>
          <w:rFonts w:ascii="Arial" w:eastAsia="Calibri" w:hAnsi="Arial" w:cs="Arial"/>
          <w:b/>
          <w:bCs/>
          <w:sz w:val="24"/>
          <w:szCs w:val="24"/>
          <w:u w:val="single"/>
        </w:rPr>
      </w:pPr>
    </w:p>
    <w:tbl>
      <w:tblPr>
        <w:tblStyle w:val="TableGrid"/>
        <w:tblW w:w="15160" w:type="dxa"/>
        <w:jc w:val="center"/>
        <w:tblLook w:val="04A0" w:firstRow="1" w:lastRow="0" w:firstColumn="1" w:lastColumn="0" w:noHBand="0" w:noVBand="1"/>
      </w:tblPr>
      <w:tblGrid>
        <w:gridCol w:w="710"/>
        <w:gridCol w:w="7096"/>
        <w:gridCol w:w="7146"/>
        <w:gridCol w:w="1363"/>
      </w:tblGrid>
      <w:tr w:rsidR="00E16B7D" w:rsidRPr="00A41BC6" w14:paraId="114B9B41" w14:textId="77777777" w:rsidTr="005F2710">
        <w:trPr>
          <w:trHeight w:val="405"/>
          <w:jc w:val="center"/>
        </w:trPr>
        <w:tc>
          <w:tcPr>
            <w:tcW w:w="851" w:type="dxa"/>
          </w:tcPr>
          <w:p w14:paraId="6FDF9FA7"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Item </w:t>
            </w:r>
          </w:p>
        </w:tc>
        <w:tc>
          <w:tcPr>
            <w:tcW w:w="6588" w:type="dxa"/>
          </w:tcPr>
          <w:p w14:paraId="70FCC2A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Questions </w:t>
            </w:r>
          </w:p>
        </w:tc>
        <w:tc>
          <w:tcPr>
            <w:tcW w:w="5326" w:type="dxa"/>
          </w:tcPr>
          <w:p w14:paraId="2BC54E2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Answers </w:t>
            </w:r>
          </w:p>
        </w:tc>
        <w:tc>
          <w:tcPr>
            <w:tcW w:w="2395" w:type="dxa"/>
          </w:tcPr>
          <w:p w14:paraId="4B54DA68" w14:textId="6F1440C4"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Clarity </w:t>
            </w:r>
            <w:r w:rsidR="00F12613" w:rsidRPr="00A41BC6">
              <w:rPr>
                <w:rFonts w:ascii="Arial" w:eastAsia="Calibri" w:hAnsi="Arial" w:cs="Arial"/>
                <w:b/>
                <w:bCs/>
                <w:sz w:val="24"/>
                <w:szCs w:val="24"/>
                <w:lang w:val="en-US"/>
              </w:rPr>
              <w:t xml:space="preserve">Published Dates </w:t>
            </w:r>
          </w:p>
        </w:tc>
      </w:tr>
      <w:tr w:rsidR="00E16B7D" w:rsidRPr="00A41BC6" w14:paraId="1A2F2229" w14:textId="77777777" w:rsidTr="005F2710">
        <w:trPr>
          <w:trHeight w:val="405"/>
          <w:jc w:val="center"/>
        </w:trPr>
        <w:tc>
          <w:tcPr>
            <w:tcW w:w="851" w:type="dxa"/>
          </w:tcPr>
          <w:p w14:paraId="1C8FCD6E"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351A34D6" w14:textId="77777777" w:rsidR="00E16B7D" w:rsidRPr="00E16B7D" w:rsidRDefault="00E16B7D" w:rsidP="00E16B7D">
            <w:pPr>
              <w:rPr>
                <w:rFonts w:ascii="Arial" w:eastAsia="Calibri" w:hAnsi="Arial" w:cs="Arial"/>
              </w:rPr>
            </w:pPr>
            <w:r w:rsidRPr="00E16B7D">
              <w:rPr>
                <w:rFonts w:ascii="Arial" w:eastAsia="Calibri" w:hAnsi="Arial" w:cs="Arial"/>
              </w:rPr>
              <w:t xml:space="preserve">As we pursue to align operational activities with the opportunity objectives, it is important for us to understand the scope and limitations surrounding the deployment of personnel and assets beyond the immediate project boundaries. </w:t>
            </w:r>
            <w:proofErr w:type="gramStart"/>
            <w:r w:rsidRPr="00E16B7D">
              <w:rPr>
                <w:rFonts w:ascii="Arial" w:eastAsia="Calibri" w:hAnsi="Arial" w:cs="Arial"/>
              </w:rPr>
              <w:t>In particular, we</w:t>
            </w:r>
            <w:proofErr w:type="gramEnd"/>
            <w:r w:rsidRPr="00E16B7D">
              <w:rPr>
                <w:rFonts w:ascii="Arial" w:eastAsia="Calibri" w:hAnsi="Arial" w:cs="Arial"/>
              </w:rPr>
              <w:t xml:space="preserve"> would appreciate guidance on:</w:t>
            </w:r>
          </w:p>
          <w:p w14:paraId="4969BE7F" w14:textId="77777777" w:rsidR="00E16B7D" w:rsidRPr="00E16B7D" w:rsidRDefault="00E16B7D" w:rsidP="00E16B7D">
            <w:pPr>
              <w:numPr>
                <w:ilvl w:val="0"/>
                <w:numId w:val="6"/>
              </w:numPr>
              <w:rPr>
                <w:rFonts w:ascii="Arial" w:eastAsia="Calibri" w:hAnsi="Arial" w:cs="Arial"/>
              </w:rPr>
            </w:pPr>
            <w:r w:rsidRPr="00E16B7D">
              <w:rPr>
                <w:rFonts w:ascii="Arial" w:eastAsia="Calibri" w:hAnsi="Arial" w:cs="Arial"/>
              </w:rPr>
              <w:t>The extent to which seconded individuals,  located outside of the project area, may engage with resources or facilities</w:t>
            </w:r>
          </w:p>
          <w:p w14:paraId="78BDF649" w14:textId="77777777" w:rsidR="00E16B7D" w:rsidRPr="00E16B7D" w:rsidRDefault="00E16B7D" w:rsidP="00E16B7D">
            <w:pPr>
              <w:numPr>
                <w:ilvl w:val="0"/>
                <w:numId w:val="6"/>
              </w:numPr>
              <w:rPr>
                <w:rFonts w:ascii="Arial" w:eastAsia="Calibri" w:hAnsi="Arial" w:cs="Arial"/>
              </w:rPr>
            </w:pPr>
            <w:r w:rsidRPr="00E16B7D">
              <w:rPr>
                <w:rFonts w:ascii="Arial" w:eastAsia="Calibri" w:hAnsi="Arial" w:cs="Arial"/>
              </w:rPr>
              <w:t>Any procedural or compliance requirements that must be observed</w:t>
            </w:r>
          </w:p>
          <w:p w14:paraId="2A9E3ACB" w14:textId="77777777" w:rsidR="00E16B7D" w:rsidRPr="00E16B7D" w:rsidRDefault="00E16B7D" w:rsidP="00E16B7D">
            <w:pPr>
              <w:numPr>
                <w:ilvl w:val="0"/>
                <w:numId w:val="6"/>
              </w:numPr>
              <w:rPr>
                <w:rFonts w:ascii="Arial" w:eastAsia="Calibri" w:hAnsi="Arial" w:cs="Arial"/>
              </w:rPr>
            </w:pPr>
            <w:r w:rsidRPr="00E16B7D">
              <w:rPr>
                <w:rFonts w:ascii="Arial" w:eastAsia="Calibri" w:hAnsi="Arial" w:cs="Arial"/>
              </w:rPr>
              <w:t>How such arrangements align with contractual obligations and project governance</w:t>
            </w:r>
          </w:p>
          <w:p w14:paraId="53C8AD02" w14:textId="1342435C" w:rsidR="00A41BC6" w:rsidRPr="00A41BC6" w:rsidRDefault="00E16B7D" w:rsidP="00E16B7D">
            <w:pPr>
              <w:rPr>
                <w:rFonts w:ascii="Arial" w:eastAsia="Calibri" w:hAnsi="Arial" w:cs="Arial"/>
                <w:lang w:val="en-US"/>
              </w:rPr>
            </w:pPr>
            <w:r w:rsidRPr="00E16B7D">
              <w:rPr>
                <w:rFonts w:ascii="Arial" w:eastAsia="Calibri" w:hAnsi="Arial" w:cs="Arial"/>
              </w:rPr>
              <w:lastRenderedPageBreak/>
              <w:t>Your insights on this matter will help ensure that we remain compliant and efficient in our approach. Please let us know if a meeting would be beneficial to discuss this further</w:t>
            </w:r>
          </w:p>
        </w:tc>
        <w:tc>
          <w:tcPr>
            <w:tcW w:w="5326" w:type="dxa"/>
          </w:tcPr>
          <w:p w14:paraId="51499CF4" w14:textId="77777777" w:rsidR="00E16B7D" w:rsidRPr="00E16B7D" w:rsidRDefault="00E16B7D" w:rsidP="00E16B7D">
            <w:pPr>
              <w:rPr>
                <w:rFonts w:ascii="Arial" w:eastAsia="Calibri" w:hAnsi="Arial" w:cs="Arial"/>
              </w:rPr>
            </w:pPr>
            <w:proofErr w:type="gramStart"/>
            <w:r w:rsidRPr="00E16B7D">
              <w:rPr>
                <w:rFonts w:ascii="Arial" w:eastAsia="Calibri" w:hAnsi="Arial" w:cs="Arial"/>
              </w:rPr>
              <w:lastRenderedPageBreak/>
              <w:t>The majority of</w:t>
            </w:r>
            <w:proofErr w:type="gramEnd"/>
            <w:r w:rsidRPr="00E16B7D">
              <w:rPr>
                <w:rFonts w:ascii="Arial" w:eastAsia="Calibri" w:hAnsi="Arial" w:cs="Arial"/>
              </w:rPr>
              <w:t xml:space="preserve"> the work under this contract will be task-based, with resources expected to report to Eskom offices at Megawatt Park as their primary location.</w:t>
            </w:r>
          </w:p>
          <w:p w14:paraId="10172984" w14:textId="77777777" w:rsidR="00E16B7D" w:rsidRPr="00E16B7D" w:rsidRDefault="00E16B7D" w:rsidP="00E16B7D">
            <w:pPr>
              <w:rPr>
                <w:rFonts w:ascii="Arial" w:eastAsia="Calibri" w:hAnsi="Arial" w:cs="Arial"/>
              </w:rPr>
            </w:pPr>
          </w:p>
          <w:p w14:paraId="63A05D81" w14:textId="77777777" w:rsidR="00E16B7D" w:rsidRPr="00E16B7D" w:rsidRDefault="00E16B7D" w:rsidP="00E16B7D">
            <w:pPr>
              <w:rPr>
                <w:rFonts w:ascii="Arial" w:eastAsia="Calibri" w:hAnsi="Arial" w:cs="Arial"/>
              </w:rPr>
            </w:pPr>
            <w:r w:rsidRPr="00E16B7D">
              <w:rPr>
                <w:rFonts w:ascii="Arial" w:eastAsia="Calibri" w:hAnsi="Arial" w:cs="Arial"/>
              </w:rPr>
              <w:t>For site-based or activity-specific roles (such as Site Supervisors) deployment will be guided by the nature of the assignment. In these cases, the request will specify the site location, and the employee will be required to report directly to that site for the duration of the activity.</w:t>
            </w:r>
          </w:p>
          <w:p w14:paraId="1A3012AE" w14:textId="77777777" w:rsidR="00E16B7D" w:rsidRPr="00E16B7D" w:rsidRDefault="00E16B7D" w:rsidP="00E16B7D">
            <w:pPr>
              <w:rPr>
                <w:rFonts w:ascii="Arial" w:eastAsia="Calibri" w:hAnsi="Arial" w:cs="Arial"/>
              </w:rPr>
            </w:pPr>
          </w:p>
          <w:p w14:paraId="41495781" w14:textId="77777777" w:rsidR="00E16B7D" w:rsidRPr="00E16B7D" w:rsidRDefault="00E16B7D" w:rsidP="00E16B7D">
            <w:pPr>
              <w:rPr>
                <w:rFonts w:ascii="Arial" w:eastAsia="Calibri" w:hAnsi="Arial" w:cs="Arial"/>
              </w:rPr>
            </w:pPr>
            <w:r w:rsidRPr="00E16B7D">
              <w:rPr>
                <w:rFonts w:ascii="Arial" w:eastAsia="Calibri" w:hAnsi="Arial" w:cs="Arial"/>
              </w:rPr>
              <w:t>To address your points more directly:</w:t>
            </w:r>
          </w:p>
          <w:p w14:paraId="35AED5D7" w14:textId="77777777" w:rsidR="00E16B7D" w:rsidRPr="00E16B7D" w:rsidRDefault="00E16B7D" w:rsidP="00E16B7D">
            <w:pPr>
              <w:numPr>
                <w:ilvl w:val="0"/>
                <w:numId w:val="7"/>
              </w:numPr>
              <w:rPr>
                <w:rFonts w:ascii="Arial" w:eastAsia="Calibri" w:hAnsi="Arial" w:cs="Arial"/>
              </w:rPr>
            </w:pPr>
            <w:r w:rsidRPr="00E16B7D">
              <w:rPr>
                <w:rFonts w:ascii="Arial" w:eastAsia="Calibri" w:hAnsi="Arial" w:cs="Arial"/>
              </w:rPr>
              <w:t xml:space="preserve">Seconded individuals located outside of Johannesburg may participate, provided they are able to report to Megawatt Park </w:t>
            </w:r>
            <w:r w:rsidRPr="00E16B7D">
              <w:rPr>
                <w:rFonts w:ascii="Arial" w:eastAsia="Calibri" w:hAnsi="Arial" w:cs="Arial"/>
              </w:rPr>
              <w:lastRenderedPageBreak/>
              <w:t>(or the designated site) as and when required. Remote work is not envisaged as the default arrangement.</w:t>
            </w:r>
          </w:p>
          <w:p w14:paraId="0F4E7B1D" w14:textId="77777777" w:rsidR="00E16B7D" w:rsidRPr="00E16B7D" w:rsidRDefault="00E16B7D" w:rsidP="00E16B7D">
            <w:pPr>
              <w:numPr>
                <w:ilvl w:val="0"/>
                <w:numId w:val="7"/>
              </w:numPr>
              <w:rPr>
                <w:rFonts w:ascii="Arial" w:eastAsia="Calibri" w:hAnsi="Arial" w:cs="Arial"/>
              </w:rPr>
            </w:pPr>
            <w:r w:rsidRPr="00E16B7D">
              <w:rPr>
                <w:rFonts w:ascii="Arial" w:eastAsia="Calibri" w:hAnsi="Arial" w:cs="Arial"/>
              </w:rPr>
              <w:t>Compliance and procedural requirements remain as per standard Eskom protocols, including security clearance, access control, and adherence to Eskom site-specific HSE and operational guidelines.</w:t>
            </w:r>
          </w:p>
          <w:p w14:paraId="50D5D17D" w14:textId="77777777" w:rsidR="00E16B7D" w:rsidRPr="00E16B7D" w:rsidRDefault="00E16B7D" w:rsidP="00E16B7D">
            <w:pPr>
              <w:numPr>
                <w:ilvl w:val="0"/>
                <w:numId w:val="7"/>
              </w:numPr>
              <w:rPr>
                <w:rFonts w:ascii="Arial" w:eastAsia="Calibri" w:hAnsi="Arial" w:cs="Arial"/>
              </w:rPr>
            </w:pPr>
            <w:r w:rsidRPr="00E16B7D">
              <w:rPr>
                <w:rFonts w:ascii="Arial" w:eastAsia="Calibri" w:hAnsi="Arial" w:cs="Arial"/>
              </w:rPr>
              <w:t>This approach aligns with the contractual intent and governance framework, ensuring accountability and consistency across all technical and field activities.</w:t>
            </w:r>
          </w:p>
          <w:p w14:paraId="54A1FA78" w14:textId="77777777" w:rsidR="00A41BC6" w:rsidRPr="00A41BC6" w:rsidRDefault="00A41BC6" w:rsidP="00A41BC6">
            <w:pPr>
              <w:rPr>
                <w:rFonts w:ascii="Arial" w:eastAsia="Calibri" w:hAnsi="Arial" w:cs="Arial"/>
                <w:lang w:val="en-US"/>
              </w:rPr>
            </w:pPr>
          </w:p>
        </w:tc>
        <w:tc>
          <w:tcPr>
            <w:tcW w:w="2395" w:type="dxa"/>
          </w:tcPr>
          <w:p w14:paraId="6512B824" w14:textId="77777777" w:rsidR="00A41BC6" w:rsidRPr="00A41BC6" w:rsidRDefault="00A41BC6" w:rsidP="00A41BC6">
            <w:pPr>
              <w:rPr>
                <w:rFonts w:ascii="Arial" w:eastAsia="Calibri" w:hAnsi="Arial" w:cs="Arial"/>
                <w:lang w:val="en-US"/>
              </w:rPr>
            </w:pPr>
          </w:p>
        </w:tc>
      </w:tr>
      <w:tr w:rsidR="00E16B7D" w:rsidRPr="00A41BC6" w14:paraId="5A73B458" w14:textId="77777777" w:rsidTr="005F2710">
        <w:trPr>
          <w:trHeight w:val="405"/>
          <w:jc w:val="center"/>
        </w:trPr>
        <w:tc>
          <w:tcPr>
            <w:tcW w:w="851" w:type="dxa"/>
          </w:tcPr>
          <w:p w14:paraId="1D3E33A6"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12F82C36" w14:textId="77777777" w:rsidR="00E16B7D" w:rsidRPr="00E16B7D" w:rsidRDefault="00E16B7D" w:rsidP="00E16B7D">
            <w:pPr>
              <w:rPr>
                <w:rFonts w:ascii="Arial" w:eastAsia="Calibri" w:hAnsi="Arial" w:cs="Arial"/>
              </w:rPr>
            </w:pPr>
            <w:r w:rsidRPr="00E16B7D">
              <w:rPr>
                <w:rFonts w:ascii="Arial" w:eastAsia="Calibri" w:hAnsi="Arial" w:cs="Arial"/>
              </w:rPr>
              <w:t>Please see questions below and kindly assist.</w:t>
            </w:r>
          </w:p>
          <w:p w14:paraId="55C4C7D7" w14:textId="77777777" w:rsidR="00E16B7D" w:rsidRPr="00E16B7D" w:rsidRDefault="00E16B7D" w:rsidP="00E16B7D">
            <w:pPr>
              <w:rPr>
                <w:rFonts w:ascii="Arial" w:eastAsia="Calibri" w:hAnsi="Arial" w:cs="Arial"/>
              </w:rPr>
            </w:pPr>
          </w:p>
          <w:p w14:paraId="79337418" w14:textId="388F3D1B" w:rsidR="00E16B7D" w:rsidRPr="00E16B7D" w:rsidRDefault="00E16B7D" w:rsidP="00E16B7D">
            <w:pPr>
              <w:rPr>
                <w:rFonts w:ascii="Arial" w:eastAsia="Calibri" w:hAnsi="Arial" w:cs="Arial"/>
              </w:rPr>
            </w:pPr>
            <w:r>
              <w:rPr>
                <w:rFonts w:ascii="Arial" w:eastAsia="Calibri" w:hAnsi="Arial" w:cs="Arial"/>
              </w:rPr>
              <w:t>-</w:t>
            </w:r>
            <w:r w:rsidRPr="00E16B7D">
              <w:rPr>
                <w:rFonts w:ascii="Arial" w:eastAsia="Calibri" w:hAnsi="Arial" w:cs="Arial"/>
              </w:rPr>
              <w:t xml:space="preserve">There is a discrepancy between the years of experience required for each discipline in the </w:t>
            </w:r>
            <w:r w:rsidRPr="00E16B7D">
              <w:rPr>
                <w:rFonts w:ascii="Arial" w:eastAsia="Calibri" w:hAnsi="Arial" w:cs="Arial"/>
                <w:i/>
                <w:iCs/>
              </w:rPr>
              <w:t xml:space="preserve">Evaluation Criteria </w:t>
            </w:r>
            <w:r w:rsidRPr="00E16B7D">
              <w:rPr>
                <w:rFonts w:ascii="Arial" w:eastAsia="Calibri" w:hAnsi="Arial" w:cs="Arial"/>
              </w:rPr>
              <w:t>compared to</w:t>
            </w:r>
            <w:r w:rsidRPr="00E16B7D">
              <w:rPr>
                <w:rFonts w:ascii="Arial" w:eastAsia="Calibri" w:hAnsi="Arial" w:cs="Arial"/>
                <w:i/>
                <w:iCs/>
              </w:rPr>
              <w:t xml:space="preserve"> Annexure C: Engineering Job Profiles.</w:t>
            </w:r>
            <w:r w:rsidRPr="00E16B7D">
              <w:rPr>
                <w:rFonts w:ascii="Arial" w:eastAsia="Calibri" w:hAnsi="Arial" w:cs="Arial"/>
              </w:rPr>
              <w:t xml:space="preserve"> The evaluation criteria </w:t>
            </w:r>
            <w:proofErr w:type="gramStart"/>
            <w:r w:rsidRPr="00E16B7D">
              <w:rPr>
                <w:rFonts w:ascii="Arial" w:eastAsia="Calibri" w:hAnsi="Arial" w:cs="Arial"/>
              </w:rPr>
              <w:t>says</w:t>
            </w:r>
            <w:proofErr w:type="gramEnd"/>
            <w:r w:rsidRPr="00E16B7D">
              <w:rPr>
                <w:rFonts w:ascii="Arial" w:eastAsia="Calibri" w:hAnsi="Arial" w:cs="Arial"/>
              </w:rPr>
              <w:t xml:space="preserve"> the Chief Engineer must have 10 years of experience, but the Evaluation Criteria says 16 years for maximum points.</w:t>
            </w:r>
          </w:p>
          <w:p w14:paraId="45F9B9A0" w14:textId="77777777" w:rsidR="00E16B7D" w:rsidRPr="00E16B7D" w:rsidRDefault="00E16B7D" w:rsidP="00E16B7D">
            <w:pPr>
              <w:rPr>
                <w:rFonts w:ascii="Arial" w:eastAsia="Calibri" w:hAnsi="Arial" w:cs="Arial"/>
              </w:rPr>
            </w:pPr>
          </w:p>
          <w:p w14:paraId="765015FB" w14:textId="6A28019C" w:rsidR="00A41BC6" w:rsidRPr="00A41BC6" w:rsidRDefault="00E16B7D" w:rsidP="00E16B7D">
            <w:pPr>
              <w:rPr>
                <w:rFonts w:ascii="Arial" w:eastAsia="Calibri" w:hAnsi="Arial" w:cs="Arial"/>
                <w:lang w:val="en-US"/>
              </w:rPr>
            </w:pPr>
            <w:r>
              <w:rPr>
                <w:rFonts w:ascii="Arial" w:eastAsia="Calibri" w:hAnsi="Arial" w:cs="Arial"/>
              </w:rPr>
              <w:t>-</w:t>
            </w:r>
            <w:r w:rsidRPr="00E16B7D">
              <w:rPr>
                <w:rFonts w:ascii="Arial" w:eastAsia="Calibri" w:hAnsi="Arial" w:cs="Arial"/>
              </w:rPr>
              <w:t xml:space="preserve">There is also a discrepancy between the years of experience required for the Senior/Support Engineer for each discipline in the </w:t>
            </w:r>
            <w:r w:rsidRPr="00E16B7D">
              <w:rPr>
                <w:rFonts w:ascii="Arial" w:eastAsia="Calibri" w:hAnsi="Arial" w:cs="Arial"/>
                <w:i/>
                <w:iCs/>
              </w:rPr>
              <w:t xml:space="preserve">Evaluation Criteria, </w:t>
            </w:r>
            <w:r w:rsidRPr="00E16B7D">
              <w:rPr>
                <w:rFonts w:ascii="Arial" w:eastAsia="Calibri" w:hAnsi="Arial" w:cs="Arial"/>
              </w:rPr>
              <w:t>compared to</w:t>
            </w:r>
            <w:r w:rsidRPr="00E16B7D">
              <w:rPr>
                <w:rFonts w:ascii="Arial" w:eastAsia="Calibri" w:hAnsi="Arial" w:cs="Arial"/>
                <w:i/>
                <w:iCs/>
              </w:rPr>
              <w:t xml:space="preserve"> Annexure C: Engineering Job Profiles.</w:t>
            </w:r>
            <w:r w:rsidRPr="00E16B7D">
              <w:rPr>
                <w:rFonts w:ascii="Arial" w:eastAsia="Calibri" w:hAnsi="Arial" w:cs="Arial"/>
              </w:rPr>
              <w:t xml:space="preserve"> The evaluation criteria </w:t>
            </w:r>
            <w:proofErr w:type="gramStart"/>
            <w:r w:rsidRPr="00E16B7D">
              <w:rPr>
                <w:rFonts w:ascii="Arial" w:eastAsia="Calibri" w:hAnsi="Arial" w:cs="Arial"/>
              </w:rPr>
              <w:t>says</w:t>
            </w:r>
            <w:proofErr w:type="gramEnd"/>
            <w:r w:rsidRPr="00E16B7D">
              <w:rPr>
                <w:rFonts w:ascii="Arial" w:eastAsia="Calibri" w:hAnsi="Arial" w:cs="Arial"/>
              </w:rPr>
              <w:t xml:space="preserve"> the Senior/Support Engineer must have 6 years of experience, but the Evaluation Criteria says 16 years for maximum points</w:t>
            </w:r>
          </w:p>
        </w:tc>
        <w:tc>
          <w:tcPr>
            <w:tcW w:w="5326" w:type="dxa"/>
          </w:tcPr>
          <w:p w14:paraId="68DC86AB" w14:textId="77777777" w:rsidR="00E16B7D" w:rsidRPr="00E16B7D" w:rsidRDefault="00E16B7D" w:rsidP="00E16B7D">
            <w:pPr>
              <w:rPr>
                <w:rFonts w:ascii="Arial" w:eastAsia="Calibri" w:hAnsi="Arial" w:cs="Arial"/>
              </w:rPr>
            </w:pPr>
            <w:r w:rsidRPr="00E16B7D">
              <w:rPr>
                <w:rFonts w:ascii="Arial" w:eastAsia="Calibri" w:hAnsi="Arial" w:cs="Arial"/>
              </w:rPr>
              <w:t xml:space="preserve">There is no discrepancy between the </w:t>
            </w:r>
            <w:r w:rsidRPr="00E16B7D">
              <w:rPr>
                <w:rFonts w:ascii="Arial" w:eastAsia="Calibri" w:hAnsi="Arial" w:cs="Arial"/>
                <w:u w:val="single"/>
              </w:rPr>
              <w:t>Evaluation Criteria</w:t>
            </w:r>
            <w:r w:rsidRPr="00E16B7D">
              <w:rPr>
                <w:rFonts w:ascii="Arial" w:eastAsia="Calibri" w:hAnsi="Arial" w:cs="Arial"/>
              </w:rPr>
              <w:t xml:space="preserve"> and </w:t>
            </w:r>
            <w:r w:rsidRPr="00E16B7D">
              <w:rPr>
                <w:rFonts w:ascii="Arial" w:eastAsia="Calibri" w:hAnsi="Arial" w:cs="Arial"/>
                <w:u w:val="single"/>
              </w:rPr>
              <w:t>Annexure C.</w:t>
            </w:r>
          </w:p>
          <w:p w14:paraId="6F2747E1" w14:textId="77777777" w:rsidR="00E16B7D" w:rsidRPr="00E16B7D" w:rsidRDefault="00E16B7D" w:rsidP="00E16B7D">
            <w:pPr>
              <w:rPr>
                <w:rFonts w:ascii="Arial" w:eastAsia="Calibri" w:hAnsi="Arial" w:cs="Arial"/>
              </w:rPr>
            </w:pPr>
          </w:p>
          <w:p w14:paraId="50FD62F2" w14:textId="77777777" w:rsidR="00E16B7D" w:rsidRPr="00E16B7D" w:rsidRDefault="00E16B7D" w:rsidP="00E16B7D">
            <w:pPr>
              <w:rPr>
                <w:rFonts w:ascii="Arial" w:eastAsia="Calibri" w:hAnsi="Arial" w:cs="Arial"/>
              </w:rPr>
            </w:pPr>
            <w:r w:rsidRPr="00E16B7D">
              <w:rPr>
                <w:rFonts w:ascii="Arial" w:eastAsia="Calibri" w:hAnsi="Arial" w:cs="Arial"/>
              </w:rPr>
              <w:t>The Evaluation Criteria outlines how submissions will be scored based on years of experience. For example, more years of experience may score higher, up to a maximum threshold (e.g. 16 years for full points).</w:t>
            </w:r>
          </w:p>
          <w:p w14:paraId="23C9C072" w14:textId="77777777" w:rsidR="00E16B7D" w:rsidRPr="00E16B7D" w:rsidRDefault="00E16B7D" w:rsidP="00E16B7D">
            <w:pPr>
              <w:rPr>
                <w:rFonts w:ascii="Arial" w:eastAsia="Calibri" w:hAnsi="Arial" w:cs="Arial"/>
              </w:rPr>
            </w:pPr>
          </w:p>
          <w:p w14:paraId="0DE8A9C9" w14:textId="77777777" w:rsidR="00E16B7D" w:rsidRPr="00E16B7D" w:rsidRDefault="00E16B7D" w:rsidP="00E16B7D">
            <w:pPr>
              <w:rPr>
                <w:rFonts w:ascii="Arial" w:eastAsia="Calibri" w:hAnsi="Arial" w:cs="Arial"/>
              </w:rPr>
            </w:pPr>
            <w:r w:rsidRPr="00E16B7D">
              <w:rPr>
                <w:rFonts w:ascii="Arial" w:eastAsia="Calibri" w:hAnsi="Arial" w:cs="Arial"/>
              </w:rPr>
              <w:t xml:space="preserve">Annexure C: Engineering Job Profiles, on the other hand, specifies </w:t>
            </w:r>
            <w:r w:rsidRPr="00E16B7D">
              <w:rPr>
                <w:rFonts w:ascii="Arial" w:eastAsia="Calibri" w:hAnsi="Arial" w:cs="Arial"/>
                <w:u w:val="single"/>
              </w:rPr>
              <w:t>the minimum required experience</w:t>
            </w:r>
            <w:r w:rsidRPr="00E16B7D">
              <w:rPr>
                <w:rFonts w:ascii="Arial" w:eastAsia="Calibri" w:hAnsi="Arial" w:cs="Arial"/>
              </w:rPr>
              <w:t xml:space="preserve"> for eligibility per role (e.g. 10 years for Chief Engineer, 6 years for Senior/Support Engineer).</w:t>
            </w:r>
          </w:p>
          <w:p w14:paraId="31C64BBA" w14:textId="77777777" w:rsidR="00E16B7D" w:rsidRPr="00E16B7D" w:rsidRDefault="00E16B7D" w:rsidP="00E16B7D">
            <w:pPr>
              <w:rPr>
                <w:rFonts w:ascii="Arial" w:eastAsia="Calibri" w:hAnsi="Arial" w:cs="Arial"/>
              </w:rPr>
            </w:pPr>
          </w:p>
          <w:p w14:paraId="1F53F1E5" w14:textId="77777777" w:rsidR="00E16B7D" w:rsidRPr="00E16B7D" w:rsidRDefault="00E16B7D" w:rsidP="00E16B7D">
            <w:pPr>
              <w:rPr>
                <w:rFonts w:ascii="Arial" w:eastAsia="Calibri" w:hAnsi="Arial" w:cs="Arial"/>
              </w:rPr>
            </w:pPr>
            <w:r w:rsidRPr="00E16B7D">
              <w:rPr>
                <w:rFonts w:ascii="Arial" w:eastAsia="Calibri" w:hAnsi="Arial" w:cs="Arial"/>
              </w:rPr>
              <w:t>In short:</w:t>
            </w:r>
          </w:p>
          <w:p w14:paraId="72739111" w14:textId="77777777" w:rsidR="00E16B7D" w:rsidRPr="00E16B7D" w:rsidRDefault="00E16B7D" w:rsidP="00E16B7D">
            <w:pPr>
              <w:numPr>
                <w:ilvl w:val="0"/>
                <w:numId w:val="9"/>
              </w:numPr>
              <w:rPr>
                <w:rFonts w:ascii="Arial" w:eastAsia="Calibri" w:hAnsi="Arial" w:cs="Arial"/>
              </w:rPr>
            </w:pPr>
            <w:r w:rsidRPr="00E16B7D">
              <w:rPr>
                <w:rFonts w:ascii="Arial" w:eastAsia="Calibri" w:hAnsi="Arial" w:cs="Arial"/>
              </w:rPr>
              <w:t>Annexure C defines the minimum qualifying criteria for a role.</w:t>
            </w:r>
          </w:p>
          <w:p w14:paraId="56911FD4" w14:textId="77777777" w:rsidR="00E16B7D" w:rsidRPr="00E16B7D" w:rsidRDefault="00E16B7D" w:rsidP="00E16B7D">
            <w:pPr>
              <w:numPr>
                <w:ilvl w:val="0"/>
                <w:numId w:val="9"/>
              </w:numPr>
              <w:rPr>
                <w:rFonts w:ascii="Arial" w:eastAsia="Calibri" w:hAnsi="Arial" w:cs="Arial"/>
              </w:rPr>
            </w:pPr>
            <w:r w:rsidRPr="00E16B7D">
              <w:rPr>
                <w:rFonts w:ascii="Arial" w:eastAsia="Calibri" w:hAnsi="Arial" w:cs="Arial"/>
              </w:rPr>
              <w:t>The Evaluation Criteria sets the scoring scale for evaluation purposes.</w:t>
            </w:r>
          </w:p>
          <w:p w14:paraId="7968449A" w14:textId="77777777" w:rsidR="00A41BC6" w:rsidRPr="00A41BC6" w:rsidRDefault="00A41BC6" w:rsidP="00A41BC6">
            <w:pPr>
              <w:rPr>
                <w:rFonts w:ascii="Arial" w:eastAsia="Calibri" w:hAnsi="Arial" w:cs="Arial"/>
                <w:lang w:val="en-US"/>
              </w:rPr>
            </w:pPr>
          </w:p>
        </w:tc>
        <w:tc>
          <w:tcPr>
            <w:tcW w:w="2395" w:type="dxa"/>
          </w:tcPr>
          <w:p w14:paraId="301CC30E" w14:textId="77777777" w:rsidR="00A41BC6" w:rsidRPr="00A41BC6" w:rsidRDefault="00A41BC6" w:rsidP="00A41BC6">
            <w:pPr>
              <w:rPr>
                <w:rFonts w:ascii="Arial" w:eastAsia="Calibri" w:hAnsi="Arial" w:cs="Arial"/>
                <w:lang w:val="en-US"/>
              </w:rPr>
            </w:pPr>
          </w:p>
        </w:tc>
      </w:tr>
      <w:tr w:rsidR="00E16B7D" w:rsidRPr="00A41BC6" w14:paraId="1BE2AC5D" w14:textId="77777777" w:rsidTr="005F2710">
        <w:trPr>
          <w:trHeight w:val="405"/>
          <w:jc w:val="center"/>
        </w:trPr>
        <w:tc>
          <w:tcPr>
            <w:tcW w:w="851" w:type="dxa"/>
          </w:tcPr>
          <w:p w14:paraId="23DA8004"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28B2EB38" w14:textId="77777777" w:rsidR="00E16B7D" w:rsidRPr="00E16B7D" w:rsidRDefault="00E16B7D" w:rsidP="00E16B7D">
            <w:pPr>
              <w:rPr>
                <w:rFonts w:ascii="Arial" w:eastAsia="Calibri" w:hAnsi="Arial" w:cs="Arial"/>
              </w:rPr>
            </w:pPr>
            <w:r w:rsidRPr="00E16B7D">
              <w:rPr>
                <w:rFonts w:ascii="Arial" w:eastAsia="Calibri" w:hAnsi="Arial" w:cs="Arial"/>
              </w:rPr>
              <w:t>We hereby seek clarification regarding the team requirements for the above-mentioned tender. Kindly confirm whether it is mandatory to provide two separate teams for this submission.</w:t>
            </w:r>
          </w:p>
          <w:p w14:paraId="72F698AF" w14:textId="77777777" w:rsidR="00E16B7D" w:rsidRPr="00E16B7D" w:rsidRDefault="00E16B7D" w:rsidP="00E16B7D">
            <w:pPr>
              <w:rPr>
                <w:rFonts w:ascii="Arial" w:eastAsia="Calibri" w:hAnsi="Arial" w:cs="Arial"/>
              </w:rPr>
            </w:pPr>
          </w:p>
          <w:p w14:paraId="794C6D81" w14:textId="77777777" w:rsidR="00E16B7D" w:rsidRPr="00E16B7D" w:rsidRDefault="00E16B7D" w:rsidP="00E16B7D">
            <w:pPr>
              <w:rPr>
                <w:rFonts w:ascii="Arial" w:eastAsia="Calibri" w:hAnsi="Arial" w:cs="Arial"/>
              </w:rPr>
            </w:pPr>
            <w:r w:rsidRPr="00E16B7D">
              <w:rPr>
                <w:rFonts w:ascii="Arial" w:eastAsia="Calibri" w:hAnsi="Arial" w:cs="Arial"/>
              </w:rPr>
              <w:lastRenderedPageBreak/>
              <w:t>We would appreciate guidance on whether the second team may comprise 80% of the required personnel, or if it must be a full complement (100%) equivalent to the primary team.</w:t>
            </w:r>
          </w:p>
          <w:p w14:paraId="0411D87D" w14:textId="77777777" w:rsidR="00E16B7D" w:rsidRPr="00E16B7D" w:rsidRDefault="00E16B7D" w:rsidP="00E16B7D">
            <w:pPr>
              <w:rPr>
                <w:rFonts w:ascii="Arial" w:eastAsia="Calibri" w:hAnsi="Arial" w:cs="Arial"/>
              </w:rPr>
            </w:pPr>
          </w:p>
          <w:p w14:paraId="3BAAF92B" w14:textId="77777777" w:rsidR="00E16B7D" w:rsidRPr="00E16B7D" w:rsidRDefault="00E16B7D" w:rsidP="00E16B7D">
            <w:pPr>
              <w:rPr>
                <w:rFonts w:ascii="Arial" w:eastAsia="Calibri" w:hAnsi="Arial" w:cs="Arial"/>
              </w:rPr>
            </w:pPr>
            <w:r w:rsidRPr="00E16B7D">
              <w:rPr>
                <w:rFonts w:ascii="Arial" w:eastAsia="Calibri" w:hAnsi="Arial" w:cs="Arial"/>
              </w:rPr>
              <w:t xml:space="preserve">Furthermore, we would like to respectfully request an extension of time </w:t>
            </w:r>
            <w:proofErr w:type="gramStart"/>
            <w:r w:rsidRPr="00E16B7D">
              <w:rPr>
                <w:rFonts w:ascii="Arial" w:eastAsia="Calibri" w:hAnsi="Arial" w:cs="Arial"/>
              </w:rPr>
              <w:t>in order to</w:t>
            </w:r>
            <w:proofErr w:type="gramEnd"/>
            <w:r w:rsidRPr="00E16B7D">
              <w:rPr>
                <w:rFonts w:ascii="Arial" w:eastAsia="Calibri" w:hAnsi="Arial" w:cs="Arial"/>
              </w:rPr>
              <w:t xml:space="preserve"> ensure the submission of a fully compliant bid.</w:t>
            </w:r>
          </w:p>
          <w:p w14:paraId="106DF073" w14:textId="77777777" w:rsidR="00A41BC6" w:rsidRPr="00A41BC6" w:rsidRDefault="00A41BC6" w:rsidP="00A41BC6">
            <w:pPr>
              <w:rPr>
                <w:rFonts w:ascii="Arial" w:eastAsia="Calibri" w:hAnsi="Arial" w:cs="Arial"/>
                <w:lang w:val="en-US"/>
              </w:rPr>
            </w:pPr>
          </w:p>
        </w:tc>
        <w:tc>
          <w:tcPr>
            <w:tcW w:w="5326" w:type="dxa"/>
          </w:tcPr>
          <w:p w14:paraId="40A443F9" w14:textId="77777777" w:rsidR="00E16B7D" w:rsidRPr="00E16B7D" w:rsidRDefault="00E16B7D" w:rsidP="00E16B7D">
            <w:pPr>
              <w:rPr>
                <w:rFonts w:ascii="Arial" w:eastAsia="Calibri" w:hAnsi="Arial" w:cs="Arial"/>
              </w:rPr>
            </w:pPr>
            <w:r w:rsidRPr="00E16B7D">
              <w:rPr>
                <w:rFonts w:ascii="Arial" w:eastAsia="Calibri" w:hAnsi="Arial" w:cs="Arial"/>
                <w:b/>
                <w:bCs/>
                <w:u w:val="single"/>
              </w:rPr>
              <w:lastRenderedPageBreak/>
              <w:t>CV Submission Requirements</w:t>
            </w:r>
            <w:r w:rsidRPr="00E16B7D">
              <w:rPr>
                <w:rFonts w:ascii="Arial" w:eastAsia="Calibri" w:hAnsi="Arial" w:cs="Arial"/>
                <w:b/>
                <w:bCs/>
                <w:u w:val="single"/>
              </w:rPr>
              <w:br/>
            </w:r>
            <w:r w:rsidRPr="00E16B7D">
              <w:rPr>
                <w:rFonts w:ascii="Arial" w:eastAsia="Calibri" w:hAnsi="Arial" w:cs="Arial"/>
              </w:rPr>
              <w:t>For the technical evaluation, CVs must be submitted for the following five areas, in line with the Consolidated Transmission Engineering Evaluation Criteria.</w:t>
            </w:r>
            <w:r w:rsidRPr="00E16B7D">
              <w:rPr>
                <w:rFonts w:ascii="Arial" w:eastAsia="Calibri" w:hAnsi="Arial" w:cs="Arial"/>
              </w:rPr>
              <w:br/>
              <w:t>Submit a minimum of five CVs each for:</w:t>
            </w:r>
          </w:p>
          <w:p w14:paraId="78D0826B" w14:textId="77777777" w:rsidR="00E16B7D" w:rsidRPr="00E16B7D" w:rsidRDefault="00E16B7D" w:rsidP="00E16B7D">
            <w:pPr>
              <w:numPr>
                <w:ilvl w:val="0"/>
                <w:numId w:val="10"/>
              </w:numPr>
              <w:rPr>
                <w:rFonts w:ascii="Arial" w:eastAsia="Calibri" w:hAnsi="Arial" w:cs="Arial"/>
              </w:rPr>
            </w:pPr>
            <w:r w:rsidRPr="00E16B7D">
              <w:rPr>
                <w:rFonts w:ascii="Arial" w:eastAsia="Calibri" w:hAnsi="Arial" w:cs="Arial"/>
              </w:rPr>
              <w:lastRenderedPageBreak/>
              <w:t>Principal Subject Matter Expert (SME)</w:t>
            </w:r>
          </w:p>
          <w:p w14:paraId="72283057" w14:textId="77777777" w:rsidR="00E16B7D" w:rsidRPr="00E16B7D" w:rsidRDefault="00E16B7D" w:rsidP="00E16B7D">
            <w:pPr>
              <w:numPr>
                <w:ilvl w:val="0"/>
                <w:numId w:val="10"/>
              </w:numPr>
              <w:rPr>
                <w:rFonts w:ascii="Arial" w:eastAsia="Calibri" w:hAnsi="Arial" w:cs="Arial"/>
              </w:rPr>
            </w:pPr>
            <w:r w:rsidRPr="00E16B7D">
              <w:rPr>
                <w:rFonts w:ascii="Arial" w:eastAsia="Calibri" w:hAnsi="Arial" w:cs="Arial"/>
              </w:rPr>
              <w:t>Key Personnel: Supporting SME</w:t>
            </w:r>
          </w:p>
          <w:p w14:paraId="0AD361FC" w14:textId="77777777" w:rsidR="00E16B7D" w:rsidRPr="00E16B7D" w:rsidRDefault="00E16B7D" w:rsidP="00E16B7D">
            <w:pPr>
              <w:rPr>
                <w:rFonts w:ascii="Arial" w:eastAsia="Calibri" w:hAnsi="Arial" w:cs="Arial"/>
              </w:rPr>
            </w:pPr>
          </w:p>
          <w:p w14:paraId="6A62B512" w14:textId="77777777" w:rsidR="00E16B7D" w:rsidRPr="00E16B7D" w:rsidRDefault="00E16B7D" w:rsidP="00E16B7D">
            <w:pPr>
              <w:rPr>
                <w:rFonts w:ascii="Arial" w:eastAsia="Calibri" w:hAnsi="Arial" w:cs="Arial"/>
              </w:rPr>
            </w:pPr>
            <w:r w:rsidRPr="00E16B7D">
              <w:rPr>
                <w:rFonts w:ascii="Arial" w:eastAsia="Calibri" w:hAnsi="Arial" w:cs="Arial"/>
              </w:rPr>
              <w:t>Each CV must be unique and aligned to one of the categories below:</w:t>
            </w:r>
          </w:p>
          <w:p w14:paraId="67C95A0A" w14:textId="77777777" w:rsidR="00E16B7D" w:rsidRPr="00E16B7D" w:rsidRDefault="00E16B7D" w:rsidP="00E16B7D">
            <w:pPr>
              <w:numPr>
                <w:ilvl w:val="0"/>
                <w:numId w:val="11"/>
              </w:numPr>
              <w:rPr>
                <w:rFonts w:ascii="Arial" w:eastAsia="Calibri" w:hAnsi="Arial" w:cs="Arial"/>
              </w:rPr>
            </w:pPr>
            <w:r w:rsidRPr="00E16B7D">
              <w:rPr>
                <w:rFonts w:ascii="Arial" w:eastAsia="Calibri" w:hAnsi="Arial" w:cs="Arial"/>
              </w:rPr>
              <w:t>Substation Engineering (Electrical)</w:t>
            </w:r>
          </w:p>
          <w:p w14:paraId="32901E0E" w14:textId="77777777" w:rsidR="00E16B7D" w:rsidRPr="00E16B7D" w:rsidRDefault="00E16B7D" w:rsidP="00E16B7D">
            <w:pPr>
              <w:numPr>
                <w:ilvl w:val="0"/>
                <w:numId w:val="11"/>
              </w:numPr>
              <w:rPr>
                <w:rFonts w:ascii="Arial" w:eastAsia="Calibri" w:hAnsi="Arial" w:cs="Arial"/>
              </w:rPr>
            </w:pPr>
            <w:r w:rsidRPr="00E16B7D">
              <w:rPr>
                <w:rFonts w:ascii="Arial" w:eastAsia="Calibri" w:hAnsi="Arial" w:cs="Arial"/>
              </w:rPr>
              <w:t>Substation Engineering (Civil/Structural)</w:t>
            </w:r>
          </w:p>
          <w:p w14:paraId="5DDDD28E" w14:textId="77777777" w:rsidR="00E16B7D" w:rsidRPr="00E16B7D" w:rsidRDefault="00E16B7D" w:rsidP="00E16B7D">
            <w:pPr>
              <w:numPr>
                <w:ilvl w:val="0"/>
                <w:numId w:val="11"/>
              </w:numPr>
              <w:rPr>
                <w:rFonts w:ascii="Arial" w:eastAsia="Calibri" w:hAnsi="Arial" w:cs="Arial"/>
              </w:rPr>
            </w:pPr>
            <w:r w:rsidRPr="00E16B7D">
              <w:rPr>
                <w:rFonts w:ascii="Arial" w:eastAsia="Calibri" w:hAnsi="Arial" w:cs="Arial"/>
              </w:rPr>
              <w:t>Line Engineering (Electrical)</w:t>
            </w:r>
          </w:p>
          <w:p w14:paraId="21E378C4" w14:textId="77777777" w:rsidR="00E16B7D" w:rsidRPr="00E16B7D" w:rsidRDefault="00E16B7D" w:rsidP="00E16B7D">
            <w:pPr>
              <w:numPr>
                <w:ilvl w:val="0"/>
                <w:numId w:val="11"/>
              </w:numPr>
              <w:rPr>
                <w:rFonts w:ascii="Arial" w:eastAsia="Calibri" w:hAnsi="Arial" w:cs="Arial"/>
              </w:rPr>
            </w:pPr>
            <w:r w:rsidRPr="00E16B7D">
              <w:rPr>
                <w:rFonts w:ascii="Arial" w:eastAsia="Calibri" w:hAnsi="Arial" w:cs="Arial"/>
              </w:rPr>
              <w:t>Line Engineering (Civil/Structural)</w:t>
            </w:r>
          </w:p>
          <w:p w14:paraId="2E9CAF40" w14:textId="77777777" w:rsidR="00E16B7D" w:rsidRPr="00E16B7D" w:rsidRDefault="00E16B7D" w:rsidP="00E16B7D">
            <w:pPr>
              <w:numPr>
                <w:ilvl w:val="0"/>
                <w:numId w:val="11"/>
              </w:numPr>
              <w:rPr>
                <w:rFonts w:ascii="Arial" w:eastAsia="Calibri" w:hAnsi="Arial" w:cs="Arial"/>
              </w:rPr>
            </w:pPr>
            <w:r w:rsidRPr="00E16B7D">
              <w:rPr>
                <w:rFonts w:ascii="Arial" w:eastAsia="Calibri" w:hAnsi="Arial" w:cs="Arial"/>
              </w:rPr>
              <w:t>PTM&amp;C (Electrical)</w:t>
            </w:r>
          </w:p>
          <w:p w14:paraId="4BFBFEFE" w14:textId="77777777" w:rsidR="00E16B7D" w:rsidRPr="00E16B7D" w:rsidRDefault="00E16B7D" w:rsidP="00E16B7D">
            <w:pPr>
              <w:rPr>
                <w:rFonts w:ascii="Arial" w:eastAsia="Calibri" w:hAnsi="Arial" w:cs="Arial"/>
              </w:rPr>
            </w:pPr>
          </w:p>
          <w:p w14:paraId="1D7240D3" w14:textId="77777777" w:rsidR="00E16B7D" w:rsidRPr="00E16B7D" w:rsidRDefault="00E16B7D" w:rsidP="00E16B7D">
            <w:pPr>
              <w:rPr>
                <w:rFonts w:ascii="Arial" w:eastAsia="Calibri" w:hAnsi="Arial" w:cs="Arial"/>
                <w:u w:val="single"/>
              </w:rPr>
            </w:pPr>
            <w:r w:rsidRPr="00E16B7D">
              <w:rPr>
                <w:rFonts w:ascii="Arial" w:eastAsia="Calibri" w:hAnsi="Arial" w:cs="Arial"/>
                <w:u w:val="single"/>
              </w:rPr>
              <w:t>Scoring will be based on the evaluation criteria issued in the enquiry.</w:t>
            </w:r>
          </w:p>
          <w:p w14:paraId="432D9D5E" w14:textId="77777777" w:rsidR="00E16B7D" w:rsidRPr="00E16B7D" w:rsidRDefault="00E16B7D" w:rsidP="00E16B7D">
            <w:pPr>
              <w:rPr>
                <w:rFonts w:ascii="Arial" w:eastAsia="Calibri" w:hAnsi="Arial" w:cs="Arial"/>
              </w:rPr>
            </w:pPr>
          </w:p>
          <w:p w14:paraId="47FAFA43" w14:textId="77777777" w:rsidR="00E16B7D" w:rsidRPr="00E16B7D" w:rsidRDefault="00E16B7D" w:rsidP="00E16B7D">
            <w:pPr>
              <w:rPr>
                <w:rFonts w:ascii="Arial" w:eastAsia="Calibri" w:hAnsi="Arial" w:cs="Arial"/>
              </w:rPr>
            </w:pPr>
            <w:r w:rsidRPr="00E16B7D">
              <w:rPr>
                <w:rFonts w:ascii="Arial" w:eastAsia="Calibri" w:hAnsi="Arial" w:cs="Arial"/>
                <w:b/>
                <w:bCs/>
                <w:u w:val="single"/>
              </w:rPr>
              <w:t>Rate Submission Requirements</w:t>
            </w:r>
            <w:r w:rsidRPr="00E16B7D">
              <w:rPr>
                <w:rFonts w:ascii="Arial" w:eastAsia="Calibri" w:hAnsi="Arial" w:cs="Arial"/>
              </w:rPr>
              <w:br/>
              <w:t>You are also required to submit hourly rates for each of the 15 defined categories. These rates will be used by the Quantity Surveyor (QS) to assess your costing. Please ensure that rates are clearly provided, as they will be used to calculate the overall price of your submission.</w:t>
            </w:r>
          </w:p>
          <w:p w14:paraId="025FB163" w14:textId="77777777" w:rsidR="00E16B7D" w:rsidRPr="00E16B7D" w:rsidRDefault="00E16B7D" w:rsidP="00E16B7D">
            <w:pPr>
              <w:rPr>
                <w:rFonts w:ascii="Arial" w:eastAsia="Calibri" w:hAnsi="Arial" w:cs="Arial"/>
              </w:rPr>
            </w:pPr>
          </w:p>
          <w:p w14:paraId="2C24DCA9" w14:textId="1B9CA551" w:rsidR="00E16B7D" w:rsidRPr="00E16B7D" w:rsidRDefault="00E16B7D" w:rsidP="00E16B7D">
            <w:pPr>
              <w:rPr>
                <w:rFonts w:ascii="Arial" w:eastAsia="Calibri" w:hAnsi="Arial" w:cs="Arial"/>
              </w:rPr>
            </w:pPr>
            <w:r w:rsidRPr="00E16B7D">
              <w:rPr>
                <w:rFonts w:ascii="Arial" w:eastAsia="Calibri" w:hAnsi="Arial" w:cs="Arial"/>
                <w:noProof/>
              </w:rPr>
              <w:lastRenderedPageBreak/>
              <w:drawing>
                <wp:inline distT="0" distB="0" distL="0" distR="0" wp14:anchorId="06BAA04C" wp14:editId="5E46BDF2">
                  <wp:extent cx="4395886" cy="4616450"/>
                  <wp:effectExtent l="0" t="0" r="5080" b="0"/>
                  <wp:docPr id="9331618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1494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07008" cy="4628130"/>
                          </a:xfrm>
                          <a:prstGeom prst="rect">
                            <a:avLst/>
                          </a:prstGeom>
                          <a:noFill/>
                          <a:ln>
                            <a:noFill/>
                          </a:ln>
                        </pic:spPr>
                      </pic:pic>
                    </a:graphicData>
                  </a:graphic>
                </wp:inline>
              </w:drawing>
            </w:r>
          </w:p>
          <w:p w14:paraId="1D3213FE" w14:textId="77777777" w:rsidR="00E16B7D" w:rsidRPr="00E16B7D" w:rsidRDefault="00E16B7D" w:rsidP="00E16B7D">
            <w:pPr>
              <w:rPr>
                <w:rFonts w:ascii="Arial" w:eastAsia="Calibri" w:hAnsi="Arial" w:cs="Arial"/>
              </w:rPr>
            </w:pPr>
          </w:p>
          <w:p w14:paraId="2535C487" w14:textId="77777777" w:rsidR="00E16B7D" w:rsidRPr="00E16B7D" w:rsidRDefault="00E16B7D" w:rsidP="00E16B7D">
            <w:pPr>
              <w:rPr>
                <w:rFonts w:ascii="Arial" w:eastAsia="Calibri" w:hAnsi="Arial" w:cs="Arial"/>
              </w:rPr>
            </w:pPr>
          </w:p>
          <w:p w14:paraId="1AC12CF0" w14:textId="77777777" w:rsidR="00E16B7D" w:rsidRPr="00E16B7D" w:rsidRDefault="00E16B7D" w:rsidP="00E16B7D">
            <w:pPr>
              <w:rPr>
                <w:rFonts w:ascii="Arial" w:eastAsia="Calibri" w:hAnsi="Arial" w:cs="Arial"/>
              </w:rPr>
            </w:pPr>
            <w:r w:rsidRPr="00E16B7D">
              <w:rPr>
                <w:rFonts w:ascii="Arial" w:eastAsia="Calibri" w:hAnsi="Arial" w:cs="Arial"/>
              </w:rPr>
              <w:lastRenderedPageBreak/>
              <w:t xml:space="preserve">Partial submissions (e.g. 80% of the required personnel) will be considered and scored accordingly per the </w:t>
            </w:r>
            <w:r w:rsidRPr="00E16B7D">
              <w:rPr>
                <w:rFonts w:ascii="Arial" w:eastAsia="Calibri" w:hAnsi="Arial" w:cs="Arial"/>
                <w:i/>
                <w:iCs/>
              </w:rPr>
              <w:t>Consolidated Transmission Engineering Evaluation Criteria</w:t>
            </w:r>
            <w:r w:rsidRPr="00E16B7D">
              <w:rPr>
                <w:rFonts w:ascii="Arial" w:eastAsia="Calibri" w:hAnsi="Arial" w:cs="Arial"/>
              </w:rPr>
              <w:t>.</w:t>
            </w:r>
          </w:p>
          <w:p w14:paraId="7FE5A802" w14:textId="77777777" w:rsidR="00E16B7D" w:rsidRPr="00E16B7D" w:rsidRDefault="00E16B7D" w:rsidP="00E16B7D">
            <w:pPr>
              <w:rPr>
                <w:rFonts w:ascii="Arial" w:eastAsia="Calibri" w:hAnsi="Arial" w:cs="Arial"/>
              </w:rPr>
            </w:pPr>
          </w:p>
          <w:p w14:paraId="286B571B" w14:textId="77777777" w:rsidR="00E16B7D" w:rsidRPr="00E16B7D" w:rsidRDefault="00E16B7D" w:rsidP="00E16B7D">
            <w:pPr>
              <w:rPr>
                <w:rFonts w:ascii="Arial" w:eastAsia="Calibri" w:hAnsi="Arial" w:cs="Arial"/>
              </w:rPr>
            </w:pPr>
            <w:r w:rsidRPr="00E16B7D">
              <w:rPr>
                <w:rFonts w:ascii="Arial" w:eastAsia="Calibri" w:hAnsi="Arial" w:cs="Arial"/>
              </w:rPr>
              <w:t xml:space="preserve">Regarding your request for an extension, your request has been noted and will be escalated to the relevant team for consideration. </w:t>
            </w:r>
          </w:p>
          <w:p w14:paraId="64AE1AD5" w14:textId="77777777" w:rsidR="00A41BC6" w:rsidRPr="00A41BC6" w:rsidRDefault="00A41BC6" w:rsidP="00A41BC6">
            <w:pPr>
              <w:rPr>
                <w:rFonts w:ascii="Arial" w:eastAsia="Calibri" w:hAnsi="Arial" w:cs="Arial"/>
                <w:lang w:val="en-US"/>
              </w:rPr>
            </w:pPr>
          </w:p>
        </w:tc>
        <w:tc>
          <w:tcPr>
            <w:tcW w:w="2395" w:type="dxa"/>
          </w:tcPr>
          <w:p w14:paraId="064839EB" w14:textId="77777777" w:rsidR="00A41BC6" w:rsidRPr="00A41BC6" w:rsidRDefault="00A41BC6" w:rsidP="00A41BC6">
            <w:pPr>
              <w:rPr>
                <w:rFonts w:ascii="Arial" w:eastAsia="Calibri" w:hAnsi="Arial" w:cs="Arial"/>
                <w:lang w:val="en-US"/>
              </w:rPr>
            </w:pPr>
          </w:p>
        </w:tc>
      </w:tr>
      <w:tr w:rsidR="00E16B7D" w:rsidRPr="00A41BC6" w14:paraId="14C3D226" w14:textId="77777777" w:rsidTr="005F2710">
        <w:trPr>
          <w:trHeight w:val="405"/>
          <w:jc w:val="center"/>
        </w:trPr>
        <w:tc>
          <w:tcPr>
            <w:tcW w:w="851" w:type="dxa"/>
          </w:tcPr>
          <w:p w14:paraId="61FB23E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52D503A0" w14:textId="77777777" w:rsidR="00E16B7D" w:rsidRPr="00E16B7D" w:rsidRDefault="00E16B7D" w:rsidP="00E16B7D">
            <w:pPr>
              <w:rPr>
                <w:rFonts w:ascii="Arial" w:eastAsia="Calibri" w:hAnsi="Arial" w:cs="Arial"/>
                <w:lang w:val="en-US"/>
              </w:rPr>
            </w:pPr>
            <w:r w:rsidRPr="00E16B7D">
              <w:rPr>
                <w:rFonts w:ascii="Arial" w:eastAsia="Calibri" w:hAnsi="Arial" w:cs="Arial"/>
                <w:lang w:val="en-US"/>
              </w:rPr>
              <w:t>For clarification on CVs vs rates to be submitted for this panel:</w:t>
            </w:r>
          </w:p>
          <w:p w14:paraId="50F8EB90" w14:textId="77777777" w:rsidR="00E16B7D" w:rsidRPr="00E16B7D" w:rsidRDefault="00E16B7D" w:rsidP="00E16B7D">
            <w:pPr>
              <w:rPr>
                <w:rFonts w:ascii="Arial" w:eastAsia="Calibri" w:hAnsi="Arial" w:cs="Arial"/>
                <w:lang w:val="en-US"/>
              </w:rPr>
            </w:pPr>
          </w:p>
          <w:p w14:paraId="7871D65D" w14:textId="77777777" w:rsidR="00E16B7D" w:rsidRDefault="00E16B7D" w:rsidP="00E16B7D">
            <w:pPr>
              <w:rPr>
                <w:rFonts w:ascii="Arial" w:eastAsia="Calibri" w:hAnsi="Arial" w:cs="Arial"/>
                <w:lang w:val="en-US"/>
              </w:rPr>
            </w:pPr>
            <w:r w:rsidRPr="00E16B7D">
              <w:rPr>
                <w:rFonts w:ascii="Arial" w:eastAsia="Calibri" w:hAnsi="Arial" w:cs="Arial"/>
                <w:lang w:val="en-US"/>
              </w:rPr>
              <w:t xml:space="preserve">Do we only submit CV and Rates for these roles for the three scopes (Line, Substation and PTMC) </w:t>
            </w:r>
          </w:p>
          <w:p w14:paraId="387BEB6C" w14:textId="77777777" w:rsidR="00E16B7D" w:rsidRDefault="00E16B7D" w:rsidP="00E16B7D">
            <w:pPr>
              <w:rPr>
                <w:rFonts w:ascii="Arial" w:eastAsia="Calibri" w:hAnsi="Arial" w:cs="Arial"/>
                <w:lang w:val="en-US"/>
              </w:rPr>
            </w:pPr>
          </w:p>
          <w:p w14:paraId="6DFBDB3D" w14:textId="4C801064" w:rsidR="00E16B7D" w:rsidRDefault="00E16B7D" w:rsidP="00E16B7D">
            <w:pPr>
              <w:rPr>
                <w:rFonts w:ascii="Arial" w:eastAsia="Calibri" w:hAnsi="Arial" w:cs="Arial"/>
                <w:lang w:val="en-US"/>
              </w:rPr>
            </w:pPr>
            <w:r w:rsidRPr="00E16B7D">
              <w:rPr>
                <w:rFonts w:ascii="Aptos" w:eastAsia="Aptos" w:hAnsi="Aptos" w:cs="Times New Roman"/>
                <w:noProof/>
                <w:color w:val="000000"/>
              </w:rPr>
              <w:drawing>
                <wp:inline distT="0" distB="0" distL="0" distR="0" wp14:anchorId="6801BA52" wp14:editId="2C69E411">
                  <wp:extent cx="4368800" cy="2882900"/>
                  <wp:effectExtent l="0" t="0" r="0" b="0"/>
                  <wp:docPr id="11" name="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368800" cy="2882900"/>
                          </a:xfrm>
                          <a:prstGeom prst="rect">
                            <a:avLst/>
                          </a:prstGeom>
                          <a:noFill/>
                          <a:ln>
                            <a:noFill/>
                          </a:ln>
                        </pic:spPr>
                      </pic:pic>
                    </a:graphicData>
                  </a:graphic>
                </wp:inline>
              </w:drawing>
            </w:r>
          </w:p>
          <w:p w14:paraId="673D1E89" w14:textId="77777777" w:rsidR="00E16B7D" w:rsidRDefault="00E16B7D" w:rsidP="00E16B7D">
            <w:pPr>
              <w:rPr>
                <w:rFonts w:ascii="Arial" w:eastAsia="Calibri" w:hAnsi="Arial" w:cs="Arial"/>
                <w:lang w:val="en-US"/>
              </w:rPr>
            </w:pPr>
          </w:p>
          <w:p w14:paraId="4933B896" w14:textId="77777777" w:rsidR="00A41BC6" w:rsidRDefault="00E16B7D" w:rsidP="00E16B7D">
            <w:pPr>
              <w:rPr>
                <w:rFonts w:ascii="Arial" w:eastAsia="Calibri" w:hAnsi="Arial" w:cs="Arial"/>
                <w:lang w:val="en-US"/>
              </w:rPr>
            </w:pPr>
            <w:r w:rsidRPr="00E16B7D">
              <w:rPr>
                <w:rFonts w:ascii="Arial" w:eastAsia="Calibri" w:hAnsi="Arial" w:cs="Arial"/>
                <w:lang w:val="en-US"/>
              </w:rPr>
              <w:lastRenderedPageBreak/>
              <w:t>OR do we need to submit Rates and CVs for the roles in the NEC?</w:t>
            </w:r>
          </w:p>
          <w:p w14:paraId="26DD3EEA" w14:textId="77777777" w:rsidR="00E16B7D" w:rsidRDefault="00E16B7D" w:rsidP="00E16B7D">
            <w:pPr>
              <w:rPr>
                <w:rFonts w:ascii="Arial" w:eastAsia="Calibri" w:hAnsi="Arial" w:cs="Arial"/>
                <w:lang w:val="en-US"/>
              </w:rPr>
            </w:pPr>
          </w:p>
          <w:p w14:paraId="30E4B383" w14:textId="563F6AE6" w:rsidR="00E16B7D" w:rsidRDefault="00E16B7D" w:rsidP="00E16B7D">
            <w:pPr>
              <w:rPr>
                <w:rFonts w:ascii="Arial" w:eastAsia="Calibri" w:hAnsi="Arial" w:cs="Arial"/>
                <w:lang w:val="en-US"/>
              </w:rPr>
            </w:pPr>
            <w:r>
              <w:rPr>
                <w:noProof/>
                <w:color w:val="000000"/>
              </w:rPr>
              <w:drawing>
                <wp:inline distT="0" distB="0" distL="0" distR="0" wp14:anchorId="773195CF" wp14:editId="51A80241">
                  <wp:extent cx="3792152" cy="4177665"/>
                  <wp:effectExtent l="0" t="0" r="0" b="0"/>
                  <wp:docPr id="13257270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8303" cy="4206474"/>
                          </a:xfrm>
                          <a:prstGeom prst="rect">
                            <a:avLst/>
                          </a:prstGeom>
                          <a:noFill/>
                          <a:ln>
                            <a:noFill/>
                          </a:ln>
                        </pic:spPr>
                      </pic:pic>
                    </a:graphicData>
                  </a:graphic>
                </wp:inline>
              </w:drawing>
            </w:r>
          </w:p>
          <w:p w14:paraId="7A9D56FD" w14:textId="0609D32F" w:rsidR="00E16B7D" w:rsidRPr="00A41BC6" w:rsidRDefault="00E16B7D" w:rsidP="00E16B7D">
            <w:pPr>
              <w:rPr>
                <w:rFonts w:ascii="Arial" w:eastAsia="Calibri" w:hAnsi="Arial" w:cs="Arial"/>
                <w:lang w:val="en-US"/>
              </w:rPr>
            </w:pPr>
          </w:p>
        </w:tc>
        <w:tc>
          <w:tcPr>
            <w:tcW w:w="5326" w:type="dxa"/>
          </w:tcPr>
          <w:p w14:paraId="170BB769"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lastRenderedPageBreak/>
              <w:t>CV Submission Requirements</w:t>
            </w:r>
          </w:p>
          <w:p w14:paraId="3787E860"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For the technical evaluation, CVs must be submitted for the following five areas, in line with the Consolidated Transmission Engineering Evaluation Criteria.</w:t>
            </w:r>
          </w:p>
          <w:p w14:paraId="73EA6B4F"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Submit a minimum of five CVs each for:</w:t>
            </w:r>
          </w:p>
          <w:p w14:paraId="0323BDFF"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w:t>
            </w:r>
            <w:r w:rsidRPr="008502D5">
              <w:rPr>
                <w:rFonts w:ascii="Arial" w:eastAsia="Calibri" w:hAnsi="Arial" w:cs="Arial"/>
                <w:lang w:val="en-US"/>
              </w:rPr>
              <w:tab/>
              <w:t>Principal Subject Matter Expert (SME)</w:t>
            </w:r>
          </w:p>
          <w:p w14:paraId="0D3CA2B3"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w:t>
            </w:r>
            <w:r w:rsidRPr="008502D5">
              <w:rPr>
                <w:rFonts w:ascii="Arial" w:eastAsia="Calibri" w:hAnsi="Arial" w:cs="Arial"/>
                <w:lang w:val="en-US"/>
              </w:rPr>
              <w:tab/>
              <w:t>Key Personnel: Supporting SME</w:t>
            </w:r>
          </w:p>
          <w:p w14:paraId="6A3A764F" w14:textId="77777777" w:rsidR="008502D5" w:rsidRPr="008502D5" w:rsidRDefault="008502D5" w:rsidP="008502D5">
            <w:pPr>
              <w:rPr>
                <w:rFonts w:ascii="Arial" w:eastAsia="Calibri" w:hAnsi="Arial" w:cs="Arial"/>
                <w:lang w:val="en-US"/>
              </w:rPr>
            </w:pPr>
          </w:p>
          <w:p w14:paraId="5FD997E5"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Each CV must be unique and aligned to one of the categories below:</w:t>
            </w:r>
          </w:p>
          <w:p w14:paraId="39A509A1"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1.</w:t>
            </w:r>
            <w:r w:rsidRPr="008502D5">
              <w:rPr>
                <w:rFonts w:ascii="Arial" w:eastAsia="Calibri" w:hAnsi="Arial" w:cs="Arial"/>
                <w:lang w:val="en-US"/>
              </w:rPr>
              <w:tab/>
              <w:t>Substation Engineering (Electrical)</w:t>
            </w:r>
          </w:p>
          <w:p w14:paraId="0B6F2C60"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2.</w:t>
            </w:r>
            <w:r w:rsidRPr="008502D5">
              <w:rPr>
                <w:rFonts w:ascii="Arial" w:eastAsia="Calibri" w:hAnsi="Arial" w:cs="Arial"/>
                <w:lang w:val="en-US"/>
              </w:rPr>
              <w:tab/>
              <w:t>Substation Engineering (Civil/Structural)</w:t>
            </w:r>
          </w:p>
          <w:p w14:paraId="43060BE8"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3.</w:t>
            </w:r>
            <w:r w:rsidRPr="008502D5">
              <w:rPr>
                <w:rFonts w:ascii="Arial" w:eastAsia="Calibri" w:hAnsi="Arial" w:cs="Arial"/>
                <w:lang w:val="en-US"/>
              </w:rPr>
              <w:tab/>
              <w:t>Line Engineering (Electrical)</w:t>
            </w:r>
          </w:p>
          <w:p w14:paraId="5A03A37D"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4.</w:t>
            </w:r>
            <w:r w:rsidRPr="008502D5">
              <w:rPr>
                <w:rFonts w:ascii="Arial" w:eastAsia="Calibri" w:hAnsi="Arial" w:cs="Arial"/>
                <w:lang w:val="en-US"/>
              </w:rPr>
              <w:tab/>
              <w:t>Line Engineering (Civil/Structural)</w:t>
            </w:r>
          </w:p>
          <w:p w14:paraId="58A3D4F1"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5.</w:t>
            </w:r>
            <w:r w:rsidRPr="008502D5">
              <w:rPr>
                <w:rFonts w:ascii="Arial" w:eastAsia="Calibri" w:hAnsi="Arial" w:cs="Arial"/>
                <w:lang w:val="en-US"/>
              </w:rPr>
              <w:tab/>
              <w:t>PTM&amp;C (Electrical)</w:t>
            </w:r>
          </w:p>
          <w:p w14:paraId="202CF5EC" w14:textId="77777777" w:rsidR="008502D5" w:rsidRPr="008502D5" w:rsidRDefault="008502D5" w:rsidP="008502D5">
            <w:pPr>
              <w:rPr>
                <w:rFonts w:ascii="Arial" w:eastAsia="Calibri" w:hAnsi="Arial" w:cs="Arial"/>
                <w:lang w:val="en-US"/>
              </w:rPr>
            </w:pPr>
          </w:p>
          <w:p w14:paraId="77E32670"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Scoring will be based on the evaluation criteria issued in the enquiry.</w:t>
            </w:r>
          </w:p>
          <w:p w14:paraId="6046905F" w14:textId="77777777" w:rsidR="008502D5" w:rsidRPr="008502D5" w:rsidRDefault="008502D5" w:rsidP="008502D5">
            <w:pPr>
              <w:rPr>
                <w:rFonts w:ascii="Arial" w:eastAsia="Calibri" w:hAnsi="Arial" w:cs="Arial"/>
                <w:lang w:val="en-US"/>
              </w:rPr>
            </w:pPr>
          </w:p>
          <w:p w14:paraId="0E1D65C1" w14:textId="77777777" w:rsidR="008502D5" w:rsidRPr="008502D5" w:rsidRDefault="008502D5" w:rsidP="008502D5">
            <w:pPr>
              <w:rPr>
                <w:rFonts w:ascii="Arial" w:eastAsia="Calibri" w:hAnsi="Arial" w:cs="Arial"/>
                <w:lang w:val="en-US"/>
              </w:rPr>
            </w:pPr>
            <w:r w:rsidRPr="008502D5">
              <w:rPr>
                <w:rFonts w:ascii="Arial" w:eastAsia="Calibri" w:hAnsi="Arial" w:cs="Arial"/>
                <w:lang w:val="en-US"/>
              </w:rPr>
              <w:t>Rate Submission Requirements</w:t>
            </w:r>
          </w:p>
          <w:p w14:paraId="0E8209BD" w14:textId="77777777" w:rsidR="00A41BC6" w:rsidRDefault="008502D5" w:rsidP="008502D5">
            <w:pPr>
              <w:rPr>
                <w:rFonts w:ascii="Arial" w:eastAsia="Calibri" w:hAnsi="Arial" w:cs="Arial"/>
                <w:lang w:val="en-US"/>
              </w:rPr>
            </w:pPr>
            <w:r w:rsidRPr="008502D5">
              <w:rPr>
                <w:rFonts w:ascii="Arial" w:eastAsia="Calibri" w:hAnsi="Arial" w:cs="Arial"/>
                <w:lang w:val="en-US"/>
              </w:rPr>
              <w:t>You are also required to submit hourly rates for each of the 15 defined categories. These rates will be used by the Quantity Surveyor (QS) to assess your costing. Please ensure that rates are clearly provided, as they will be used to calculate the overall price of your submission</w:t>
            </w:r>
          </w:p>
          <w:p w14:paraId="2DB7B713" w14:textId="77777777" w:rsidR="008502D5" w:rsidRDefault="008502D5" w:rsidP="008502D5">
            <w:pPr>
              <w:rPr>
                <w:rFonts w:ascii="Arial" w:eastAsia="Calibri" w:hAnsi="Arial" w:cs="Arial"/>
                <w:lang w:val="en-US"/>
              </w:rPr>
            </w:pPr>
          </w:p>
          <w:p w14:paraId="5371F167" w14:textId="77777777" w:rsidR="008502D5" w:rsidRDefault="008502D5" w:rsidP="008502D5">
            <w:pPr>
              <w:rPr>
                <w:rFonts w:ascii="Arial" w:eastAsia="Calibri" w:hAnsi="Arial" w:cs="Arial"/>
                <w:lang w:val="en-US"/>
              </w:rPr>
            </w:pPr>
          </w:p>
          <w:p w14:paraId="011F34B4" w14:textId="015D1AA3" w:rsidR="008502D5" w:rsidRPr="00A41BC6" w:rsidRDefault="008502D5" w:rsidP="008502D5">
            <w:pPr>
              <w:rPr>
                <w:rFonts w:ascii="Arial" w:eastAsia="Calibri" w:hAnsi="Arial" w:cs="Arial"/>
                <w:lang w:val="en-US"/>
              </w:rPr>
            </w:pPr>
            <w:r>
              <w:rPr>
                <w:rFonts w:ascii="Arial" w:eastAsia="Calibri" w:hAnsi="Arial" w:cs="Arial"/>
                <w:noProof/>
                <w:lang w:val="en-US"/>
              </w:rPr>
              <w:lastRenderedPageBreak/>
              <w:drawing>
                <wp:inline distT="0" distB="0" distL="0" distR="0" wp14:anchorId="0BD0FC09" wp14:editId="50522E7D">
                  <wp:extent cx="4327188" cy="4546600"/>
                  <wp:effectExtent l="0" t="0" r="0" b="6350"/>
                  <wp:docPr id="3136201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7254" cy="4557176"/>
                          </a:xfrm>
                          <a:prstGeom prst="rect">
                            <a:avLst/>
                          </a:prstGeom>
                          <a:noFill/>
                        </pic:spPr>
                      </pic:pic>
                    </a:graphicData>
                  </a:graphic>
                </wp:inline>
              </w:drawing>
            </w:r>
          </w:p>
        </w:tc>
        <w:tc>
          <w:tcPr>
            <w:tcW w:w="2395" w:type="dxa"/>
          </w:tcPr>
          <w:p w14:paraId="25359C8F" w14:textId="77777777" w:rsidR="00A41BC6" w:rsidRPr="00A41BC6" w:rsidRDefault="00A41BC6" w:rsidP="00A41BC6">
            <w:pPr>
              <w:rPr>
                <w:rFonts w:ascii="Arial" w:eastAsia="Calibri" w:hAnsi="Arial" w:cs="Arial"/>
                <w:lang w:val="en-US"/>
              </w:rPr>
            </w:pPr>
          </w:p>
        </w:tc>
      </w:tr>
      <w:tr w:rsidR="00E16B7D" w:rsidRPr="00A41BC6" w14:paraId="420B9437" w14:textId="77777777" w:rsidTr="005F2710">
        <w:trPr>
          <w:trHeight w:val="405"/>
          <w:jc w:val="center"/>
        </w:trPr>
        <w:tc>
          <w:tcPr>
            <w:tcW w:w="851" w:type="dxa"/>
          </w:tcPr>
          <w:p w14:paraId="3761C3A0"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3C9A9BB7" w14:textId="77777777" w:rsidR="00A41BC6" w:rsidRPr="00A41BC6" w:rsidRDefault="00A41BC6" w:rsidP="00A41BC6">
            <w:pPr>
              <w:rPr>
                <w:rFonts w:ascii="Arial" w:eastAsia="Calibri" w:hAnsi="Arial" w:cs="Arial"/>
                <w:lang w:val="en-US"/>
              </w:rPr>
            </w:pPr>
          </w:p>
        </w:tc>
        <w:tc>
          <w:tcPr>
            <w:tcW w:w="5326" w:type="dxa"/>
          </w:tcPr>
          <w:p w14:paraId="1254A1B0" w14:textId="77777777" w:rsidR="00A41BC6" w:rsidRPr="00A41BC6" w:rsidRDefault="00A41BC6" w:rsidP="00A41BC6">
            <w:pPr>
              <w:rPr>
                <w:rFonts w:ascii="Arial" w:eastAsia="Calibri" w:hAnsi="Arial" w:cs="Arial"/>
                <w:lang w:val="en-US"/>
              </w:rPr>
            </w:pPr>
          </w:p>
        </w:tc>
        <w:tc>
          <w:tcPr>
            <w:tcW w:w="2395" w:type="dxa"/>
          </w:tcPr>
          <w:p w14:paraId="53CB871F" w14:textId="77777777" w:rsidR="00A41BC6" w:rsidRPr="00A41BC6" w:rsidRDefault="00A41BC6" w:rsidP="00A41BC6">
            <w:pPr>
              <w:rPr>
                <w:rFonts w:ascii="Arial" w:eastAsia="Calibri" w:hAnsi="Arial" w:cs="Arial"/>
                <w:lang w:val="en-US"/>
              </w:rPr>
            </w:pPr>
          </w:p>
        </w:tc>
      </w:tr>
      <w:tr w:rsidR="00E16B7D" w:rsidRPr="00A41BC6" w14:paraId="210F2F99" w14:textId="77777777" w:rsidTr="005F2710">
        <w:trPr>
          <w:trHeight w:val="405"/>
          <w:jc w:val="center"/>
        </w:trPr>
        <w:tc>
          <w:tcPr>
            <w:tcW w:w="851" w:type="dxa"/>
          </w:tcPr>
          <w:p w14:paraId="5141E7A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68610486" w14:textId="77777777" w:rsidR="00A41BC6" w:rsidRPr="00A41BC6" w:rsidRDefault="00A41BC6" w:rsidP="00A41BC6">
            <w:pPr>
              <w:rPr>
                <w:rFonts w:ascii="Arial" w:eastAsia="Calibri" w:hAnsi="Arial" w:cs="Arial"/>
                <w:lang w:val="en-US"/>
              </w:rPr>
            </w:pPr>
          </w:p>
        </w:tc>
        <w:tc>
          <w:tcPr>
            <w:tcW w:w="5326" w:type="dxa"/>
          </w:tcPr>
          <w:p w14:paraId="6CF7897B" w14:textId="77777777" w:rsidR="00A41BC6" w:rsidRPr="00A41BC6" w:rsidRDefault="00A41BC6" w:rsidP="00A41BC6">
            <w:pPr>
              <w:rPr>
                <w:rFonts w:ascii="Arial" w:eastAsia="Calibri" w:hAnsi="Arial" w:cs="Arial"/>
                <w:lang w:val="en-US"/>
              </w:rPr>
            </w:pPr>
          </w:p>
        </w:tc>
        <w:tc>
          <w:tcPr>
            <w:tcW w:w="2395" w:type="dxa"/>
          </w:tcPr>
          <w:p w14:paraId="6F6216BC" w14:textId="77777777" w:rsidR="00A41BC6" w:rsidRPr="00A41BC6" w:rsidRDefault="00A41BC6" w:rsidP="00A41BC6">
            <w:pPr>
              <w:rPr>
                <w:rFonts w:ascii="Arial" w:eastAsia="Calibri" w:hAnsi="Arial" w:cs="Arial"/>
                <w:lang w:val="en-US"/>
              </w:rPr>
            </w:pPr>
          </w:p>
        </w:tc>
      </w:tr>
      <w:tr w:rsidR="00E16B7D" w:rsidRPr="00A41BC6" w14:paraId="4069CA62" w14:textId="77777777" w:rsidTr="005F2710">
        <w:trPr>
          <w:trHeight w:val="405"/>
          <w:jc w:val="center"/>
        </w:trPr>
        <w:tc>
          <w:tcPr>
            <w:tcW w:w="851" w:type="dxa"/>
          </w:tcPr>
          <w:p w14:paraId="5EA1B973"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D546BCE" w14:textId="77777777" w:rsidR="00A41BC6" w:rsidRPr="00A41BC6" w:rsidRDefault="00A41BC6" w:rsidP="00A41BC6">
            <w:pPr>
              <w:rPr>
                <w:rFonts w:ascii="Arial" w:eastAsia="Calibri" w:hAnsi="Arial" w:cs="Arial"/>
                <w:lang w:val="en-US"/>
              </w:rPr>
            </w:pPr>
          </w:p>
        </w:tc>
        <w:tc>
          <w:tcPr>
            <w:tcW w:w="5326" w:type="dxa"/>
          </w:tcPr>
          <w:p w14:paraId="2AB8C7C8" w14:textId="77777777" w:rsidR="00A41BC6" w:rsidRPr="00A41BC6" w:rsidRDefault="00A41BC6" w:rsidP="00A41BC6">
            <w:pPr>
              <w:rPr>
                <w:rFonts w:ascii="Arial" w:eastAsia="Calibri" w:hAnsi="Arial" w:cs="Arial"/>
                <w:lang w:val="en-US"/>
              </w:rPr>
            </w:pPr>
          </w:p>
        </w:tc>
        <w:tc>
          <w:tcPr>
            <w:tcW w:w="2395" w:type="dxa"/>
          </w:tcPr>
          <w:p w14:paraId="0DD50692" w14:textId="77777777" w:rsidR="00A41BC6" w:rsidRPr="00A41BC6" w:rsidRDefault="00A41BC6" w:rsidP="00A41BC6">
            <w:pPr>
              <w:rPr>
                <w:rFonts w:ascii="Arial" w:eastAsia="Calibri" w:hAnsi="Arial" w:cs="Arial"/>
                <w:lang w:val="en-US"/>
              </w:rPr>
            </w:pPr>
          </w:p>
        </w:tc>
      </w:tr>
      <w:tr w:rsidR="0043690C" w:rsidRPr="00A41BC6" w14:paraId="3D4254A8" w14:textId="77777777" w:rsidTr="005F2710">
        <w:trPr>
          <w:trHeight w:val="405"/>
          <w:jc w:val="center"/>
        </w:trPr>
        <w:tc>
          <w:tcPr>
            <w:tcW w:w="851" w:type="dxa"/>
          </w:tcPr>
          <w:p w14:paraId="773F7080" w14:textId="77777777" w:rsidR="0043690C" w:rsidRPr="00A41BC6" w:rsidRDefault="0043690C" w:rsidP="00A41BC6">
            <w:pPr>
              <w:numPr>
                <w:ilvl w:val="0"/>
                <w:numId w:val="5"/>
              </w:numPr>
              <w:ind w:left="360"/>
              <w:rPr>
                <w:rFonts w:ascii="Arial" w:eastAsia="Calibri" w:hAnsi="Arial" w:cs="Arial"/>
                <w:lang w:val="en-US"/>
              </w:rPr>
            </w:pPr>
          </w:p>
        </w:tc>
        <w:tc>
          <w:tcPr>
            <w:tcW w:w="6588" w:type="dxa"/>
          </w:tcPr>
          <w:p w14:paraId="57CBCCCB" w14:textId="77777777" w:rsidR="0043690C" w:rsidRPr="00A41BC6" w:rsidRDefault="0043690C" w:rsidP="00A41BC6">
            <w:pPr>
              <w:rPr>
                <w:rFonts w:ascii="Arial" w:eastAsia="Calibri" w:hAnsi="Arial" w:cs="Arial"/>
                <w:lang w:val="en-US"/>
              </w:rPr>
            </w:pPr>
          </w:p>
        </w:tc>
        <w:tc>
          <w:tcPr>
            <w:tcW w:w="5326" w:type="dxa"/>
          </w:tcPr>
          <w:p w14:paraId="407C6FF9" w14:textId="77777777" w:rsidR="0043690C" w:rsidRPr="00A41BC6" w:rsidRDefault="0043690C" w:rsidP="00A41BC6">
            <w:pPr>
              <w:rPr>
                <w:rFonts w:ascii="Arial" w:eastAsia="Calibri" w:hAnsi="Arial" w:cs="Arial"/>
                <w:lang w:val="en-US"/>
              </w:rPr>
            </w:pPr>
          </w:p>
        </w:tc>
        <w:tc>
          <w:tcPr>
            <w:tcW w:w="2395" w:type="dxa"/>
          </w:tcPr>
          <w:p w14:paraId="00E07056" w14:textId="77777777" w:rsidR="0043690C" w:rsidRPr="00A41BC6" w:rsidRDefault="0043690C" w:rsidP="00A41BC6">
            <w:pPr>
              <w:rPr>
                <w:rFonts w:ascii="Arial" w:eastAsia="Calibri" w:hAnsi="Arial" w:cs="Arial"/>
                <w:lang w:val="en-US"/>
              </w:rPr>
            </w:pPr>
          </w:p>
        </w:tc>
      </w:tr>
      <w:tr w:rsidR="0043690C" w:rsidRPr="00A41BC6" w14:paraId="6ABD5675" w14:textId="77777777" w:rsidTr="005F2710">
        <w:trPr>
          <w:trHeight w:val="405"/>
          <w:jc w:val="center"/>
        </w:trPr>
        <w:tc>
          <w:tcPr>
            <w:tcW w:w="851" w:type="dxa"/>
          </w:tcPr>
          <w:p w14:paraId="1B9F18F9" w14:textId="77777777" w:rsidR="0043690C" w:rsidRPr="00A41BC6" w:rsidRDefault="0043690C" w:rsidP="00A41BC6">
            <w:pPr>
              <w:numPr>
                <w:ilvl w:val="0"/>
                <w:numId w:val="5"/>
              </w:numPr>
              <w:ind w:left="360"/>
              <w:rPr>
                <w:rFonts w:ascii="Arial" w:eastAsia="Calibri" w:hAnsi="Arial" w:cs="Arial"/>
                <w:lang w:val="en-US"/>
              </w:rPr>
            </w:pPr>
          </w:p>
        </w:tc>
        <w:tc>
          <w:tcPr>
            <w:tcW w:w="6588" w:type="dxa"/>
          </w:tcPr>
          <w:p w14:paraId="418DC47A" w14:textId="77777777" w:rsidR="0043690C" w:rsidRPr="00A41BC6" w:rsidRDefault="0043690C" w:rsidP="00A41BC6">
            <w:pPr>
              <w:rPr>
                <w:rFonts w:ascii="Arial" w:eastAsia="Calibri" w:hAnsi="Arial" w:cs="Arial"/>
                <w:lang w:val="en-US"/>
              </w:rPr>
            </w:pPr>
          </w:p>
        </w:tc>
        <w:tc>
          <w:tcPr>
            <w:tcW w:w="5326" w:type="dxa"/>
          </w:tcPr>
          <w:p w14:paraId="76B742C0" w14:textId="77777777" w:rsidR="0043690C" w:rsidRPr="00A41BC6" w:rsidRDefault="0043690C" w:rsidP="00A41BC6">
            <w:pPr>
              <w:rPr>
                <w:rFonts w:ascii="Arial" w:eastAsia="Calibri" w:hAnsi="Arial" w:cs="Arial"/>
                <w:lang w:val="en-US"/>
              </w:rPr>
            </w:pPr>
          </w:p>
        </w:tc>
        <w:tc>
          <w:tcPr>
            <w:tcW w:w="2395" w:type="dxa"/>
          </w:tcPr>
          <w:p w14:paraId="6F88B60F" w14:textId="77777777" w:rsidR="0043690C" w:rsidRPr="00A41BC6" w:rsidRDefault="0043690C" w:rsidP="00A41BC6">
            <w:pPr>
              <w:rPr>
                <w:rFonts w:ascii="Arial" w:eastAsia="Calibri" w:hAnsi="Arial" w:cs="Arial"/>
                <w:lang w:val="en-US"/>
              </w:rPr>
            </w:pPr>
          </w:p>
        </w:tc>
      </w:tr>
      <w:tr w:rsidR="0043690C" w:rsidRPr="00A41BC6" w14:paraId="4AB6EFB0" w14:textId="77777777" w:rsidTr="005F2710">
        <w:trPr>
          <w:trHeight w:val="405"/>
          <w:jc w:val="center"/>
        </w:trPr>
        <w:tc>
          <w:tcPr>
            <w:tcW w:w="851" w:type="dxa"/>
          </w:tcPr>
          <w:p w14:paraId="0AC8E0BF" w14:textId="77777777" w:rsidR="0043690C" w:rsidRPr="00A41BC6" w:rsidRDefault="0043690C" w:rsidP="00A41BC6">
            <w:pPr>
              <w:numPr>
                <w:ilvl w:val="0"/>
                <w:numId w:val="5"/>
              </w:numPr>
              <w:ind w:left="360"/>
              <w:rPr>
                <w:rFonts w:ascii="Arial" w:eastAsia="Calibri" w:hAnsi="Arial" w:cs="Arial"/>
                <w:lang w:val="en-US"/>
              </w:rPr>
            </w:pPr>
          </w:p>
        </w:tc>
        <w:tc>
          <w:tcPr>
            <w:tcW w:w="6588" w:type="dxa"/>
          </w:tcPr>
          <w:p w14:paraId="5762B20A" w14:textId="77777777" w:rsidR="0043690C" w:rsidRPr="00A41BC6" w:rsidRDefault="0043690C" w:rsidP="00A41BC6">
            <w:pPr>
              <w:rPr>
                <w:rFonts w:ascii="Arial" w:eastAsia="Calibri" w:hAnsi="Arial" w:cs="Arial"/>
                <w:lang w:val="en-US"/>
              </w:rPr>
            </w:pPr>
          </w:p>
        </w:tc>
        <w:tc>
          <w:tcPr>
            <w:tcW w:w="5326" w:type="dxa"/>
          </w:tcPr>
          <w:p w14:paraId="0054FB62" w14:textId="77777777" w:rsidR="0043690C" w:rsidRPr="00A41BC6" w:rsidRDefault="0043690C" w:rsidP="00A41BC6">
            <w:pPr>
              <w:rPr>
                <w:rFonts w:ascii="Arial" w:eastAsia="Calibri" w:hAnsi="Arial" w:cs="Arial"/>
                <w:lang w:val="en-US"/>
              </w:rPr>
            </w:pPr>
          </w:p>
        </w:tc>
        <w:tc>
          <w:tcPr>
            <w:tcW w:w="2395" w:type="dxa"/>
          </w:tcPr>
          <w:p w14:paraId="573C9898" w14:textId="77777777" w:rsidR="0043690C" w:rsidRPr="00A41BC6" w:rsidRDefault="0043690C" w:rsidP="00A41BC6">
            <w:pPr>
              <w:rPr>
                <w:rFonts w:ascii="Arial" w:eastAsia="Calibri" w:hAnsi="Arial" w:cs="Arial"/>
                <w:lang w:val="en-US"/>
              </w:rPr>
            </w:pPr>
          </w:p>
        </w:tc>
      </w:tr>
    </w:tbl>
    <w:p w14:paraId="72D9D57D" w14:textId="77777777" w:rsidR="003E4D3F" w:rsidRDefault="003E4D3F" w:rsidP="002D548D"/>
    <w:sectPr w:rsidR="003E4D3F" w:rsidSect="00A41BC6">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86877" w14:textId="77777777" w:rsidR="00844EC2" w:rsidRDefault="00844EC2" w:rsidP="0028391D">
      <w:pPr>
        <w:spacing w:after="0" w:line="240" w:lineRule="auto"/>
      </w:pPr>
      <w:r>
        <w:separator/>
      </w:r>
    </w:p>
  </w:endnote>
  <w:endnote w:type="continuationSeparator" w:id="0">
    <w:p w14:paraId="2611CEAD" w14:textId="77777777" w:rsidR="00844EC2" w:rsidRDefault="00844EC2"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C29B" w14:textId="77777777" w:rsidR="003A2AA9" w:rsidRDefault="003A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jc w:val="center"/>
      <w:tblLook w:val="04A0" w:firstRow="1" w:lastRow="0" w:firstColumn="1" w:lastColumn="0" w:noHBand="0" w:noVBand="1"/>
    </w:tblPr>
    <w:tblGrid>
      <w:gridCol w:w="10773"/>
      <w:gridCol w:w="4395"/>
    </w:tblGrid>
    <w:tr w:rsidR="00ED3A94" w:rsidRPr="00A22EF4" w14:paraId="099AD867" w14:textId="77777777" w:rsidTr="00271B83">
      <w:trPr>
        <w:jc w:val="center"/>
      </w:trPr>
      <w:tc>
        <w:tcPr>
          <w:tcW w:w="15168" w:type="dxa"/>
          <w:gridSpan w:val="2"/>
          <w:tcBorders>
            <w:top w:val="nil"/>
            <w:left w:val="nil"/>
            <w:bottom w:val="nil"/>
            <w:right w:val="nil"/>
          </w:tcBorders>
          <w:vAlign w:val="center"/>
        </w:tcPr>
        <w:p w14:paraId="035FB477" w14:textId="0AC0CAAB" w:rsidR="00ED3A94" w:rsidRPr="00A22EF4" w:rsidRDefault="00271B83"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3B6330ED" w14:textId="77777777" w:rsidTr="00271B83">
      <w:trPr>
        <w:trHeight w:val="910"/>
        <w:jc w:val="center"/>
      </w:trPr>
      <w:tc>
        <w:tcPr>
          <w:tcW w:w="15168" w:type="dxa"/>
          <w:gridSpan w:val="2"/>
          <w:tcBorders>
            <w:top w:val="nil"/>
            <w:left w:val="nil"/>
            <w:bottom w:val="nil"/>
            <w:right w:val="nil"/>
          </w:tcBorders>
        </w:tcPr>
        <w:p w14:paraId="146CB07A" w14:textId="212BBB4B" w:rsidR="00ED3A94" w:rsidRDefault="00271B83"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72576" behindDoc="0" locked="0" layoutInCell="1" allowOverlap="1" wp14:anchorId="538AA7F6" wp14:editId="614DBBA6">
                    <wp:simplePos x="0" y="0"/>
                    <wp:positionH relativeFrom="column">
                      <wp:posOffset>-32384</wp:posOffset>
                    </wp:positionH>
                    <wp:positionV relativeFrom="paragraph">
                      <wp:posOffset>49530</wp:posOffset>
                    </wp:positionV>
                    <wp:extent cx="95440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44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B3F57" w14:textId="41DC8BAD"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w:t>
                                </w:r>
                                <w:r w:rsidR="00E57495">
                                  <w:rPr>
                                    <w:rFonts w:ascii="Arial" w:hAnsi="Arial" w:cs="Arial"/>
                                    <w:color w:val="A6A6A6"/>
                                    <w:sz w:val="16"/>
                                    <w:szCs w:val="16"/>
                                  </w:rPr>
                                  <w:t xml:space="preserve">NTCSA </w:t>
                                </w:r>
                                <w:r w:rsidRPr="00CA4A59">
                                  <w:rPr>
                                    <w:rFonts w:ascii="Arial" w:hAnsi="Arial" w:cs="Arial"/>
                                    <w:color w:val="A6A6A6"/>
                                    <w:sz w:val="16"/>
                                    <w:szCs w:val="16"/>
                                  </w:rPr>
                                  <w:t xml:space="preserve">SOC Ltd, © copyright </w:t>
                                </w:r>
                                <w:r w:rsidR="00E57495">
                                  <w:rPr>
                                    <w:rFonts w:ascii="Arial" w:hAnsi="Arial" w:cs="Arial"/>
                                    <w:color w:val="A6A6A6"/>
                                    <w:sz w:val="16"/>
                                    <w:szCs w:val="16"/>
                                  </w:rPr>
                                  <w:t xml:space="preserve">NTCSA </w:t>
                                </w:r>
                                <w:r w:rsidRPr="00CA4A59">
                                  <w:rPr>
                                    <w:rFonts w:ascii="Arial" w:hAnsi="Arial" w:cs="Arial"/>
                                    <w:color w:val="A6A6A6"/>
                                    <w:sz w:val="16"/>
                                    <w:szCs w:val="16"/>
                                  </w:rPr>
                                  <w:t xml:space="preserve">SOC Ltd, Reg No </w:t>
                                </w:r>
                                <w:r w:rsidR="00E57495">
                                  <w:rPr>
                                    <w:rFonts w:ascii="Arial" w:hAnsi="Arial" w:cs="Arial"/>
                                    <w:color w:val="A6A6A6" w:themeColor="background1" w:themeShade="A6"/>
                                    <w:sz w:val="16"/>
                                    <w:szCs w:val="16"/>
                                  </w:rPr>
                                  <w:t>2021/539129/30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AA7F6" id="_x0000_t202" coordsize="21600,21600" o:spt="202" path="m,l,21600r21600,l21600,xe">
                    <v:stroke joinstyle="miter"/>
                    <v:path gradientshapeok="t" o:connecttype="rect"/>
                  </v:shapetype>
                  <v:shape id="Text Box 1" o:spid="_x0000_s1026" type="#_x0000_t202" style="position:absolute;margin-left:-2.55pt;margin-top:3.9pt;width:75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" filled="f" stroked="f" strokeweight=".5pt">
                    <v:textbox>
                      <w:txbxContent>
                        <w:p w14:paraId="1DCB3F57" w14:textId="41DC8BAD"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w:t>
                          </w:r>
                          <w:r w:rsidR="00E57495">
                            <w:rPr>
                              <w:rFonts w:ascii="Arial" w:hAnsi="Arial" w:cs="Arial"/>
                              <w:color w:val="A6A6A6"/>
                              <w:sz w:val="16"/>
                              <w:szCs w:val="16"/>
                            </w:rPr>
                            <w:t xml:space="preserve">NTCSA </w:t>
                          </w:r>
                          <w:r w:rsidRPr="00CA4A59">
                            <w:rPr>
                              <w:rFonts w:ascii="Arial" w:hAnsi="Arial" w:cs="Arial"/>
                              <w:color w:val="A6A6A6"/>
                              <w:sz w:val="16"/>
                              <w:szCs w:val="16"/>
                            </w:rPr>
                            <w:t xml:space="preserve">SOC Ltd, © copyright </w:t>
                          </w:r>
                          <w:r w:rsidR="00E57495">
                            <w:rPr>
                              <w:rFonts w:ascii="Arial" w:hAnsi="Arial" w:cs="Arial"/>
                              <w:color w:val="A6A6A6"/>
                              <w:sz w:val="16"/>
                              <w:szCs w:val="16"/>
                            </w:rPr>
                            <w:t xml:space="preserve">NTCSA </w:t>
                          </w:r>
                          <w:r w:rsidRPr="00CA4A59">
                            <w:rPr>
                              <w:rFonts w:ascii="Arial" w:hAnsi="Arial" w:cs="Arial"/>
                              <w:color w:val="A6A6A6"/>
                              <w:sz w:val="16"/>
                              <w:szCs w:val="16"/>
                            </w:rPr>
                            <w:t xml:space="preserve">SOC Ltd, Reg No </w:t>
                          </w:r>
                          <w:r w:rsidR="00E57495">
                            <w:rPr>
                              <w:rFonts w:ascii="Arial" w:hAnsi="Arial" w:cs="Arial"/>
                              <w:color w:val="A6A6A6" w:themeColor="background1" w:themeShade="A6"/>
                              <w:sz w:val="16"/>
                              <w:szCs w:val="16"/>
                            </w:rPr>
                            <w:t>2021/539129/30</w:t>
                          </w:r>
                        </w:p>
                      </w:txbxContent>
                    </v:textbox>
                  </v:shape>
                </w:pict>
              </mc:Fallback>
            </mc:AlternateContent>
          </w:r>
        </w:p>
        <w:p w14:paraId="28BAEF9F" w14:textId="77777777" w:rsidR="00ED3A94" w:rsidRDefault="00ED3A94" w:rsidP="00CF7037">
          <w:pPr>
            <w:rPr>
              <w:rFonts w:ascii="Arial" w:hAnsi="Arial" w:cs="Arial"/>
              <w:sz w:val="20"/>
              <w:szCs w:val="20"/>
              <w:lang w:val="en-GB"/>
            </w:rPr>
          </w:pPr>
        </w:p>
        <w:p w14:paraId="26875C30" w14:textId="77777777" w:rsidR="00ED3A94" w:rsidRDefault="00ED3A94" w:rsidP="00CF7037">
          <w:pPr>
            <w:rPr>
              <w:rFonts w:ascii="Arial" w:hAnsi="Arial" w:cs="Arial"/>
              <w:sz w:val="20"/>
              <w:szCs w:val="20"/>
              <w:lang w:val="en-GB"/>
            </w:rPr>
          </w:pPr>
        </w:p>
        <w:p w14:paraId="31E86479" w14:textId="77777777" w:rsidR="00ED3A94" w:rsidRDefault="00ED3A94" w:rsidP="00CF7037">
          <w:pPr>
            <w:rPr>
              <w:rFonts w:ascii="Arial" w:hAnsi="Arial" w:cs="Arial"/>
              <w:sz w:val="20"/>
              <w:szCs w:val="20"/>
              <w:lang w:val="en-GB"/>
            </w:rPr>
          </w:pPr>
        </w:p>
      </w:tc>
    </w:tr>
    <w:tr w:rsidR="00ED3A94" w14:paraId="1BC8170C" w14:textId="77777777" w:rsidTr="00271B83">
      <w:trPr>
        <w:jc w:val="center"/>
      </w:trPr>
      <w:tc>
        <w:tcPr>
          <w:tcW w:w="10773" w:type="dxa"/>
          <w:tcBorders>
            <w:top w:val="nil"/>
            <w:left w:val="nil"/>
            <w:bottom w:val="nil"/>
            <w:right w:val="nil"/>
          </w:tcBorders>
          <w:vAlign w:val="center"/>
        </w:tcPr>
        <w:p w14:paraId="6758CC10"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4996517"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p>
      </w:tc>
    </w:tr>
  </w:tbl>
  <w:p w14:paraId="6628EC37" w14:textId="74226F22"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2D548D">
      <w:rPr>
        <w:rFonts w:ascii="Arial" w:hAnsi="Arial" w:cs="Arial"/>
        <w:sz w:val="16"/>
        <w:szCs w:val="16"/>
      </w:rPr>
      <w:fldChar w:fldCharType="begin"/>
    </w:r>
    <w:r w:rsidRPr="002D548D">
      <w:rPr>
        <w:rFonts w:ascii="Arial" w:hAnsi="Arial" w:cs="Arial"/>
        <w:sz w:val="16"/>
        <w:szCs w:val="16"/>
      </w:rPr>
      <w:instrText xml:space="preserve"> FILENAME  \* FirstCap  \* MERGEFORMAT </w:instrText>
    </w:r>
    <w:r w:rsidRPr="002D548D">
      <w:rPr>
        <w:rFonts w:ascii="Arial" w:hAnsi="Arial" w:cs="Arial"/>
        <w:sz w:val="16"/>
        <w:szCs w:val="16"/>
      </w:rPr>
      <w:fldChar w:fldCharType="separate"/>
    </w:r>
    <w:r w:rsidR="00353880">
      <w:rPr>
        <w:rFonts w:ascii="Arial" w:hAnsi="Arial" w:cs="Arial"/>
        <w:noProof/>
        <w:sz w:val="16"/>
        <w:szCs w:val="16"/>
      </w:rPr>
      <w:t>Tender Questions and Answers Template</w:t>
    </w:r>
    <w:r w:rsidRPr="002D548D">
      <w:rPr>
        <w:rFonts w:ascii="Arial" w:hAnsi="Arial" w:cs="Arial"/>
        <w:sz w:val="16"/>
        <w:szCs w:val="16"/>
      </w:rPr>
      <w:fldChar w:fldCharType="end"/>
    </w:r>
    <w:r w:rsidR="00D54517" w:rsidRPr="002D548D">
      <w:rPr>
        <w:rFonts w:ascii="Arial" w:hAnsi="Arial" w:cs="Arial"/>
        <w:sz w:val="16"/>
        <w:szCs w:val="16"/>
      </w:rPr>
      <w:t xml:space="preserve"> </w:t>
    </w:r>
  </w:p>
  <w:p w14:paraId="237B60D3" w14:textId="4F927CE1" w:rsidR="00ED3A94" w:rsidRPr="00271B83" w:rsidRDefault="00D54517" w:rsidP="00271B83">
    <w:pPr>
      <w:pStyle w:val="Footer"/>
      <w:ind w:left="709" w:hanging="709"/>
      <w:rPr>
        <w:rFonts w:ascii="Arial" w:hAnsi="Arial" w:cs="Arial"/>
        <w:sz w:val="16"/>
        <w:szCs w:val="16"/>
      </w:rPr>
    </w:pPr>
    <w:r w:rsidRPr="00CA4A59">
      <w:rPr>
        <w:rFonts w:ascii="Arial" w:hAnsi="Arial" w:cs="Arial"/>
        <w:b/>
        <w:color w:val="BFBFBF"/>
        <w:sz w:val="16"/>
        <w:szCs w:val="16"/>
      </w:rPr>
      <w:t>Template ID:</w:t>
    </w:r>
    <w:r w:rsidR="0083657F" w:rsidRPr="00CA4A59">
      <w:rPr>
        <w:rFonts w:ascii="Arial" w:hAnsi="Arial" w:cs="Arial"/>
        <w:color w:val="BFBFBF"/>
        <w:sz w:val="16"/>
        <w:szCs w:val="16"/>
      </w:rPr>
      <w:t xml:space="preserve"> 240-43921898 (Rev </w:t>
    </w:r>
    <w:r w:rsidR="00E57495">
      <w:rPr>
        <w:rFonts w:ascii="Arial" w:hAnsi="Arial" w:cs="Arial"/>
        <w:color w:val="BFBFBF"/>
        <w:sz w:val="16"/>
        <w:szCs w:val="16"/>
      </w:rPr>
      <w:t>1</w:t>
    </w:r>
    <w:r w:rsidRPr="00CA4A59">
      <w:rPr>
        <w:rFonts w:ascii="Arial" w:hAnsi="Arial" w:cs="Arial"/>
        <w:color w:val="BFBFBF"/>
        <w:sz w:val="16"/>
        <w:szCs w:val="16"/>
      </w:rPr>
      <w:t>) Header and Footer portrait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1059" w14:textId="77777777" w:rsidR="003A2AA9" w:rsidRDefault="003A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C4A8" w14:textId="77777777" w:rsidR="00844EC2" w:rsidRDefault="00844EC2" w:rsidP="0028391D">
      <w:pPr>
        <w:spacing w:after="0" w:line="240" w:lineRule="auto"/>
      </w:pPr>
      <w:r>
        <w:separator/>
      </w:r>
    </w:p>
  </w:footnote>
  <w:footnote w:type="continuationSeparator" w:id="0">
    <w:p w14:paraId="5E76D874" w14:textId="77777777" w:rsidR="00844EC2" w:rsidRDefault="00844EC2"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3855" w14:textId="77777777" w:rsidR="003A2AA9" w:rsidRDefault="003A2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0"/>
      <w:gridCol w:w="6936"/>
      <w:gridCol w:w="2126"/>
      <w:gridCol w:w="1701"/>
      <w:gridCol w:w="567"/>
      <w:gridCol w:w="426"/>
    </w:tblGrid>
    <w:tr w:rsidR="00D54517" w:rsidRPr="003914DE" w14:paraId="37734493" w14:textId="77777777" w:rsidTr="003A2AA9">
      <w:trPr>
        <w:cantSplit/>
        <w:trHeight w:val="274"/>
        <w:jc w:val="center"/>
      </w:trPr>
      <w:tc>
        <w:tcPr>
          <w:tcW w:w="2840" w:type="dxa"/>
          <w:vMerge w:val="restart"/>
          <w:vAlign w:val="bottom"/>
        </w:tcPr>
        <w:p w14:paraId="58244019" w14:textId="79097CBF" w:rsidR="00D54517" w:rsidRPr="003914DE" w:rsidRDefault="00E57495" w:rsidP="00E57495">
          <w:pPr>
            <w:spacing w:after="0"/>
            <w:rPr>
              <w:rFonts w:ascii="Arial" w:hAnsi="Arial"/>
              <w:b/>
              <w:lang w:val="en-GB"/>
            </w:rPr>
          </w:pPr>
          <w:r>
            <w:rPr>
              <w:noProof/>
            </w:rPr>
            <w:drawing>
              <wp:inline distT="0" distB="0" distL="0" distR="0" wp14:anchorId="7C0395B5" wp14:editId="0BB0AB93">
                <wp:extent cx="1478280" cy="601951"/>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7560" cy="605730"/>
                        </a:xfrm>
                        <a:prstGeom prst="rect">
                          <a:avLst/>
                        </a:prstGeom>
                      </pic:spPr>
                    </pic:pic>
                  </a:graphicData>
                </a:graphic>
              </wp:inline>
            </w:drawing>
          </w:r>
        </w:p>
      </w:tc>
      <w:tc>
        <w:tcPr>
          <w:tcW w:w="6936" w:type="dxa"/>
          <w:vMerge w:val="restart"/>
          <w:vAlign w:val="center"/>
        </w:tcPr>
        <w:p w14:paraId="01BBEFA1" w14:textId="4D4FEEF5" w:rsidR="00D54517" w:rsidRPr="00ED3A94" w:rsidRDefault="00A41BC6" w:rsidP="00DD5D84">
          <w:pPr>
            <w:spacing w:after="0"/>
            <w:jc w:val="center"/>
            <w:rPr>
              <w:rFonts w:ascii="Arial" w:hAnsi="Arial" w:cs="Arial"/>
              <w:b/>
              <w:sz w:val="24"/>
              <w:szCs w:val="24"/>
              <w:lang w:val="en-GB"/>
            </w:rPr>
          </w:pPr>
          <w:r w:rsidRPr="00A41BC6">
            <w:rPr>
              <w:rFonts w:ascii="Arial" w:hAnsi="Arial" w:cs="Arial"/>
              <w:b/>
              <w:sz w:val="24"/>
              <w:szCs w:val="24"/>
              <w:lang w:val="en-GB"/>
            </w:rPr>
            <w:t>Tender Questions and Answers</w:t>
          </w:r>
        </w:p>
      </w:tc>
      <w:tc>
        <w:tcPr>
          <w:tcW w:w="2126" w:type="dxa"/>
          <w:shd w:val="clear" w:color="auto" w:fill="auto"/>
          <w:vAlign w:val="center"/>
        </w:tcPr>
        <w:p w14:paraId="21E4A039"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AE36F0B" w14:textId="1B11784F" w:rsidR="00D54517" w:rsidRPr="002D548D" w:rsidRDefault="003A2AA9" w:rsidP="007D2711">
          <w:pPr>
            <w:spacing w:after="0"/>
            <w:rPr>
              <w:rFonts w:ascii="Arial" w:hAnsi="Arial"/>
              <w:bCs/>
              <w:sz w:val="20"/>
              <w:lang w:val="en-GB"/>
            </w:rPr>
          </w:pPr>
          <w:r w:rsidRPr="003A2AA9">
            <w:rPr>
              <w:rFonts w:ascii="Arial" w:hAnsi="Arial"/>
              <w:bCs/>
              <w:sz w:val="20"/>
              <w:lang w:val="en-GB"/>
            </w:rPr>
            <w:t>559-222407715</w:t>
          </w:r>
        </w:p>
      </w:tc>
      <w:tc>
        <w:tcPr>
          <w:tcW w:w="567" w:type="dxa"/>
          <w:shd w:val="clear" w:color="auto" w:fill="auto"/>
          <w:vAlign w:val="center"/>
        </w:tcPr>
        <w:p w14:paraId="6227DCA6"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426" w:type="dxa"/>
          <w:shd w:val="clear" w:color="auto" w:fill="auto"/>
          <w:vAlign w:val="center"/>
        </w:tcPr>
        <w:p w14:paraId="2E48BC79" w14:textId="2C5F0332" w:rsidR="00D54517" w:rsidRPr="002D548D" w:rsidRDefault="002D548D" w:rsidP="007D2711">
          <w:pPr>
            <w:spacing w:after="0"/>
            <w:rPr>
              <w:rFonts w:ascii="Arial" w:hAnsi="Arial"/>
              <w:bCs/>
              <w:sz w:val="20"/>
              <w:lang w:val="en-GB"/>
            </w:rPr>
          </w:pPr>
          <w:r w:rsidRPr="002D548D">
            <w:rPr>
              <w:rFonts w:ascii="Arial" w:hAnsi="Arial"/>
              <w:bCs/>
              <w:sz w:val="20"/>
              <w:lang w:val="en-GB"/>
            </w:rPr>
            <w:t>1</w:t>
          </w:r>
        </w:p>
      </w:tc>
    </w:tr>
    <w:tr w:rsidR="00E57495" w:rsidRPr="003914DE" w14:paraId="4B4A16E4" w14:textId="77777777" w:rsidTr="003A2AA9">
      <w:trPr>
        <w:cantSplit/>
        <w:trHeight w:val="261"/>
        <w:jc w:val="center"/>
      </w:trPr>
      <w:tc>
        <w:tcPr>
          <w:tcW w:w="2840" w:type="dxa"/>
          <w:vMerge/>
          <w:vAlign w:val="bottom"/>
        </w:tcPr>
        <w:p w14:paraId="5C1A9457" w14:textId="77777777" w:rsidR="00E57495" w:rsidRPr="003914DE" w:rsidRDefault="00E57495" w:rsidP="00E57495">
          <w:pPr>
            <w:spacing w:before="840"/>
            <w:rPr>
              <w:rFonts w:ascii="Arial" w:hAnsi="Arial"/>
              <w:b/>
              <w:lang w:val="en-GB"/>
            </w:rPr>
          </w:pPr>
        </w:p>
      </w:tc>
      <w:tc>
        <w:tcPr>
          <w:tcW w:w="6936" w:type="dxa"/>
          <w:vMerge/>
          <w:vAlign w:val="center"/>
        </w:tcPr>
        <w:p w14:paraId="02B9BEC0" w14:textId="77777777" w:rsidR="00E57495" w:rsidRPr="003914DE" w:rsidRDefault="00E57495" w:rsidP="00E57495">
          <w:pPr>
            <w:jc w:val="center"/>
            <w:rPr>
              <w:rFonts w:ascii="Arial" w:hAnsi="Arial" w:cs="Arial"/>
              <w:b/>
              <w:lang w:val="en-GB"/>
            </w:rPr>
          </w:pPr>
        </w:p>
      </w:tc>
      <w:tc>
        <w:tcPr>
          <w:tcW w:w="2126" w:type="dxa"/>
          <w:shd w:val="clear" w:color="auto" w:fill="auto"/>
          <w:vAlign w:val="center"/>
        </w:tcPr>
        <w:p w14:paraId="2AD789DE" w14:textId="77777777" w:rsidR="00E57495" w:rsidRPr="003914DE" w:rsidRDefault="00E57495" w:rsidP="00E57495">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tcPr>
        <w:p w14:paraId="29D0D362" w14:textId="578F2A3A" w:rsidR="00E57495" w:rsidRPr="002D548D" w:rsidRDefault="00E57495" w:rsidP="00E57495">
          <w:pPr>
            <w:spacing w:after="0"/>
            <w:rPr>
              <w:rFonts w:ascii="Arial" w:hAnsi="Arial"/>
              <w:bCs/>
              <w:sz w:val="20"/>
              <w:lang w:val="en-GB"/>
            </w:rPr>
          </w:pPr>
          <w:r w:rsidRPr="00E57495">
            <w:rPr>
              <w:rFonts w:ascii="Arial" w:hAnsi="Arial"/>
              <w:bCs/>
              <w:sz w:val="20"/>
              <w:lang w:val="en-GB"/>
            </w:rPr>
            <w:t>July 2024</w:t>
          </w:r>
        </w:p>
      </w:tc>
    </w:tr>
    <w:tr w:rsidR="00E57495" w:rsidRPr="003914DE" w14:paraId="3A34AA86" w14:textId="77777777" w:rsidTr="003A2AA9">
      <w:trPr>
        <w:cantSplit/>
        <w:trHeight w:hRule="exact" w:val="261"/>
        <w:jc w:val="center"/>
      </w:trPr>
      <w:tc>
        <w:tcPr>
          <w:tcW w:w="2840" w:type="dxa"/>
          <w:vMerge/>
          <w:vAlign w:val="bottom"/>
        </w:tcPr>
        <w:p w14:paraId="745CFCD2" w14:textId="77777777" w:rsidR="00E57495" w:rsidRPr="003914DE" w:rsidRDefault="00E57495" w:rsidP="00E57495">
          <w:pPr>
            <w:spacing w:before="840"/>
            <w:rPr>
              <w:rFonts w:ascii="Arial" w:hAnsi="Arial"/>
              <w:b/>
              <w:lang w:val="en-GB"/>
            </w:rPr>
          </w:pPr>
        </w:p>
      </w:tc>
      <w:tc>
        <w:tcPr>
          <w:tcW w:w="6936" w:type="dxa"/>
          <w:vMerge/>
          <w:vAlign w:val="center"/>
        </w:tcPr>
        <w:p w14:paraId="2E5BF5E2" w14:textId="77777777" w:rsidR="00E57495" w:rsidRPr="003914DE" w:rsidRDefault="00E57495" w:rsidP="00E57495">
          <w:pPr>
            <w:jc w:val="center"/>
            <w:rPr>
              <w:rFonts w:ascii="Arial" w:hAnsi="Arial" w:cs="Arial"/>
              <w:b/>
              <w:lang w:val="en-GB"/>
            </w:rPr>
          </w:pPr>
        </w:p>
      </w:tc>
      <w:tc>
        <w:tcPr>
          <w:tcW w:w="2126" w:type="dxa"/>
          <w:shd w:val="clear" w:color="auto" w:fill="auto"/>
          <w:vAlign w:val="center"/>
        </w:tcPr>
        <w:p w14:paraId="18F4A0AB" w14:textId="77777777" w:rsidR="00E57495" w:rsidRPr="003914DE" w:rsidRDefault="00E57495" w:rsidP="00E57495">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tcPr>
        <w:p w14:paraId="7BC4711F" w14:textId="39195B30" w:rsidR="00E57495" w:rsidRPr="002D548D" w:rsidRDefault="00E57495" w:rsidP="00E57495">
          <w:pPr>
            <w:spacing w:after="0"/>
            <w:rPr>
              <w:rFonts w:ascii="Arial" w:hAnsi="Arial"/>
              <w:bCs/>
              <w:sz w:val="20"/>
              <w:lang w:val="en-GB"/>
            </w:rPr>
          </w:pPr>
          <w:r w:rsidRPr="00E57495">
            <w:rPr>
              <w:rFonts w:ascii="Arial" w:hAnsi="Arial"/>
              <w:bCs/>
              <w:sz w:val="20"/>
              <w:lang w:val="en-GB"/>
            </w:rPr>
            <w:t>July 202</w:t>
          </w:r>
          <w:r>
            <w:rPr>
              <w:rFonts w:ascii="Arial" w:hAnsi="Arial"/>
              <w:bCs/>
              <w:sz w:val="20"/>
              <w:lang w:val="en-GB"/>
            </w:rPr>
            <w:t>7</w:t>
          </w:r>
        </w:p>
      </w:tc>
    </w:tr>
  </w:tbl>
  <w:p w14:paraId="117E9EB0" w14:textId="77777777" w:rsidR="0028391D" w:rsidRDefault="0028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8656" w14:textId="77777777" w:rsidR="003A2AA9" w:rsidRDefault="003A2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4F2"/>
    <w:multiLevelType w:val="hybridMultilevel"/>
    <w:tmpl w:val="A6B62FE0"/>
    <w:lvl w:ilvl="0" w:tplc="34EEDBBA">
      <w:start w:val="1"/>
      <w:numFmt w:val="decimal"/>
      <w:lvlText w:val="%1."/>
      <w:lvlJc w:val="left"/>
      <w:pPr>
        <w:ind w:left="360" w:hanging="360"/>
      </w:pPr>
      <w:rPr>
        <w:color w:val="auto"/>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DC44DCE"/>
    <w:multiLevelType w:val="hybridMultilevel"/>
    <w:tmpl w:val="1AFEF7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C93519"/>
    <w:multiLevelType w:val="hybridMultilevel"/>
    <w:tmpl w:val="7AC8BD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C0B0A35"/>
    <w:multiLevelType w:val="multilevel"/>
    <w:tmpl w:val="9970E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34B28"/>
    <w:multiLevelType w:val="multilevel"/>
    <w:tmpl w:val="F13E8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A506B"/>
    <w:multiLevelType w:val="multilevel"/>
    <w:tmpl w:val="B6381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FE7C7D"/>
    <w:multiLevelType w:val="multilevel"/>
    <w:tmpl w:val="31CC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31D8"/>
    <w:multiLevelType w:val="hybridMultilevel"/>
    <w:tmpl w:val="B310F796"/>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6652328E"/>
    <w:multiLevelType w:val="hybridMultilevel"/>
    <w:tmpl w:val="455093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3B247A5"/>
    <w:multiLevelType w:val="hybridMultilevel"/>
    <w:tmpl w:val="4628F6DE"/>
    <w:lvl w:ilvl="0" w:tplc="1C090001">
      <w:start w:val="1"/>
      <w:numFmt w:val="bullet"/>
      <w:lvlText w:val=""/>
      <w:lvlJc w:val="left"/>
      <w:pPr>
        <w:ind w:left="283" w:hanging="360"/>
      </w:pPr>
      <w:rPr>
        <w:rFonts w:ascii="Symbol" w:hAnsi="Symbol" w:hint="default"/>
      </w:rPr>
    </w:lvl>
    <w:lvl w:ilvl="1" w:tplc="1C090003">
      <w:start w:val="1"/>
      <w:numFmt w:val="bullet"/>
      <w:lvlText w:val="o"/>
      <w:lvlJc w:val="left"/>
      <w:pPr>
        <w:ind w:left="1003" w:hanging="360"/>
      </w:pPr>
      <w:rPr>
        <w:rFonts w:ascii="Courier New" w:hAnsi="Courier New" w:cs="Courier New" w:hint="default"/>
      </w:rPr>
    </w:lvl>
    <w:lvl w:ilvl="2" w:tplc="1C090005">
      <w:start w:val="1"/>
      <w:numFmt w:val="bullet"/>
      <w:lvlText w:val=""/>
      <w:lvlJc w:val="left"/>
      <w:pPr>
        <w:ind w:left="1723" w:hanging="360"/>
      </w:pPr>
      <w:rPr>
        <w:rFonts w:ascii="Wingdings" w:hAnsi="Wingdings" w:hint="default"/>
      </w:rPr>
    </w:lvl>
    <w:lvl w:ilvl="3" w:tplc="1C090001">
      <w:start w:val="1"/>
      <w:numFmt w:val="bullet"/>
      <w:lvlText w:val=""/>
      <w:lvlJc w:val="left"/>
      <w:pPr>
        <w:ind w:left="2443" w:hanging="360"/>
      </w:pPr>
      <w:rPr>
        <w:rFonts w:ascii="Symbol" w:hAnsi="Symbol" w:hint="default"/>
      </w:rPr>
    </w:lvl>
    <w:lvl w:ilvl="4" w:tplc="1C090003">
      <w:start w:val="1"/>
      <w:numFmt w:val="bullet"/>
      <w:lvlText w:val="o"/>
      <w:lvlJc w:val="left"/>
      <w:pPr>
        <w:ind w:left="3163" w:hanging="360"/>
      </w:pPr>
      <w:rPr>
        <w:rFonts w:ascii="Courier New" w:hAnsi="Courier New" w:cs="Courier New" w:hint="default"/>
      </w:rPr>
    </w:lvl>
    <w:lvl w:ilvl="5" w:tplc="1C090005">
      <w:start w:val="1"/>
      <w:numFmt w:val="bullet"/>
      <w:lvlText w:val=""/>
      <w:lvlJc w:val="left"/>
      <w:pPr>
        <w:ind w:left="3883" w:hanging="360"/>
      </w:pPr>
      <w:rPr>
        <w:rFonts w:ascii="Wingdings" w:hAnsi="Wingdings" w:hint="default"/>
      </w:rPr>
    </w:lvl>
    <w:lvl w:ilvl="6" w:tplc="1C090001">
      <w:start w:val="1"/>
      <w:numFmt w:val="bullet"/>
      <w:lvlText w:val=""/>
      <w:lvlJc w:val="left"/>
      <w:pPr>
        <w:ind w:left="4603" w:hanging="360"/>
      </w:pPr>
      <w:rPr>
        <w:rFonts w:ascii="Symbol" w:hAnsi="Symbol" w:hint="default"/>
      </w:rPr>
    </w:lvl>
    <w:lvl w:ilvl="7" w:tplc="1C090003">
      <w:start w:val="1"/>
      <w:numFmt w:val="bullet"/>
      <w:lvlText w:val="o"/>
      <w:lvlJc w:val="left"/>
      <w:pPr>
        <w:ind w:left="5323" w:hanging="360"/>
      </w:pPr>
      <w:rPr>
        <w:rFonts w:ascii="Courier New" w:hAnsi="Courier New" w:cs="Courier New" w:hint="default"/>
      </w:rPr>
    </w:lvl>
    <w:lvl w:ilvl="8" w:tplc="1C090005">
      <w:start w:val="1"/>
      <w:numFmt w:val="bullet"/>
      <w:lvlText w:val=""/>
      <w:lvlJc w:val="left"/>
      <w:pPr>
        <w:ind w:left="6043" w:hanging="360"/>
      </w:pPr>
      <w:rPr>
        <w:rFonts w:ascii="Wingdings" w:hAnsi="Wingdings" w:hint="default"/>
      </w:rPr>
    </w:lvl>
  </w:abstractNum>
  <w:num w:numId="1" w16cid:durableId="126997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382677">
    <w:abstractNumId w:val="9"/>
  </w:num>
  <w:num w:numId="3" w16cid:durableId="478040650">
    <w:abstractNumId w:val="0"/>
  </w:num>
  <w:num w:numId="4" w16cid:durableId="1383753819">
    <w:abstractNumId w:val="1"/>
  </w:num>
  <w:num w:numId="5" w16cid:durableId="626621306">
    <w:abstractNumId w:val="8"/>
  </w:num>
  <w:num w:numId="6" w16cid:durableId="2006010613">
    <w:abstractNumId w:val="4"/>
  </w:num>
  <w:num w:numId="7" w16cid:durableId="2007124967">
    <w:abstractNumId w:val="2"/>
  </w:num>
  <w:num w:numId="8" w16cid:durableId="134957091">
    <w:abstractNumId w:val="7"/>
  </w:num>
  <w:num w:numId="9" w16cid:durableId="1855147736">
    <w:abstractNumId w:val="3"/>
  </w:num>
  <w:num w:numId="10" w16cid:durableId="1112359132">
    <w:abstractNumId w:val="6"/>
  </w:num>
  <w:num w:numId="11" w16cid:durableId="865101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A3E0E"/>
    <w:rsid w:val="000F45FC"/>
    <w:rsid w:val="001941FD"/>
    <w:rsid w:val="00195237"/>
    <w:rsid w:val="00196CC6"/>
    <w:rsid w:val="001D5F97"/>
    <w:rsid w:val="001D70D3"/>
    <w:rsid w:val="001F548A"/>
    <w:rsid w:val="00266BCE"/>
    <w:rsid w:val="00271B83"/>
    <w:rsid w:val="0028391D"/>
    <w:rsid w:val="00286EC4"/>
    <w:rsid w:val="002C5969"/>
    <w:rsid w:val="002D548D"/>
    <w:rsid w:val="002E17A7"/>
    <w:rsid w:val="003043D9"/>
    <w:rsid w:val="003422F6"/>
    <w:rsid w:val="00353880"/>
    <w:rsid w:val="00391401"/>
    <w:rsid w:val="003A2AA9"/>
    <w:rsid w:val="003C3222"/>
    <w:rsid w:val="003E2A3B"/>
    <w:rsid w:val="003E4D3F"/>
    <w:rsid w:val="003E6E1E"/>
    <w:rsid w:val="003E74C5"/>
    <w:rsid w:val="00421CEF"/>
    <w:rsid w:val="0043690C"/>
    <w:rsid w:val="004843A4"/>
    <w:rsid w:val="00486962"/>
    <w:rsid w:val="004C38ED"/>
    <w:rsid w:val="004D677B"/>
    <w:rsid w:val="004E258C"/>
    <w:rsid w:val="004E25F6"/>
    <w:rsid w:val="00506F5B"/>
    <w:rsid w:val="00523D87"/>
    <w:rsid w:val="00565F7C"/>
    <w:rsid w:val="00581424"/>
    <w:rsid w:val="005A4BD3"/>
    <w:rsid w:val="005C39F5"/>
    <w:rsid w:val="005F2710"/>
    <w:rsid w:val="00664987"/>
    <w:rsid w:val="006B5CBA"/>
    <w:rsid w:val="0072002E"/>
    <w:rsid w:val="00721782"/>
    <w:rsid w:val="0074269F"/>
    <w:rsid w:val="007606DA"/>
    <w:rsid w:val="007D2711"/>
    <w:rsid w:val="007F27D5"/>
    <w:rsid w:val="007F627F"/>
    <w:rsid w:val="0083657F"/>
    <w:rsid w:val="0083797C"/>
    <w:rsid w:val="00844EC2"/>
    <w:rsid w:val="008502D5"/>
    <w:rsid w:val="00890A6A"/>
    <w:rsid w:val="00890E7C"/>
    <w:rsid w:val="008A54EF"/>
    <w:rsid w:val="008F3B12"/>
    <w:rsid w:val="00915C6C"/>
    <w:rsid w:val="009246A8"/>
    <w:rsid w:val="0093165A"/>
    <w:rsid w:val="00931908"/>
    <w:rsid w:val="009D7AF8"/>
    <w:rsid w:val="009F20F2"/>
    <w:rsid w:val="00A204C1"/>
    <w:rsid w:val="00A41BC6"/>
    <w:rsid w:val="00A70BE2"/>
    <w:rsid w:val="00A74B03"/>
    <w:rsid w:val="00A80728"/>
    <w:rsid w:val="00A86A71"/>
    <w:rsid w:val="00AA4948"/>
    <w:rsid w:val="00AA6BCE"/>
    <w:rsid w:val="00AC18C4"/>
    <w:rsid w:val="00B34624"/>
    <w:rsid w:val="00B8552C"/>
    <w:rsid w:val="00BA3D87"/>
    <w:rsid w:val="00BD3722"/>
    <w:rsid w:val="00C80042"/>
    <w:rsid w:val="00C908F0"/>
    <w:rsid w:val="00CA4A59"/>
    <w:rsid w:val="00CC5BF6"/>
    <w:rsid w:val="00CD7A04"/>
    <w:rsid w:val="00D54517"/>
    <w:rsid w:val="00D86337"/>
    <w:rsid w:val="00D9703E"/>
    <w:rsid w:val="00DD5D84"/>
    <w:rsid w:val="00DF2294"/>
    <w:rsid w:val="00E13AED"/>
    <w:rsid w:val="00E16B7D"/>
    <w:rsid w:val="00E41AC6"/>
    <w:rsid w:val="00E57495"/>
    <w:rsid w:val="00E6178F"/>
    <w:rsid w:val="00E8519F"/>
    <w:rsid w:val="00ED3A94"/>
    <w:rsid w:val="00EF231D"/>
    <w:rsid w:val="00F12613"/>
    <w:rsid w:val="00F1781C"/>
    <w:rsid w:val="00F2388C"/>
    <w:rsid w:val="00F5515D"/>
    <w:rsid w:val="00F7287E"/>
    <w:rsid w:val="00F7608A"/>
    <w:rsid w:val="00F76A93"/>
    <w:rsid w:val="00FA1BAA"/>
    <w:rsid w:val="00FB3FD9"/>
    <w:rsid w:val="00FD7120"/>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1E16"/>
  <w15:docId w15:val="{B65648A5-2521-4519-8F4F-390B9AE9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3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table" w:customStyle="1" w:styleId="TableGrid1">
    <w:name w:val="Table Grid1"/>
    <w:basedOn w:val="TableNormal"/>
    <w:rsid w:val="002D54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22"/>
    <w:pPr>
      <w:ind w:left="720"/>
      <w:contextualSpacing/>
    </w:pPr>
  </w:style>
  <w:style w:type="character" w:styleId="Hyperlink">
    <w:name w:val="Hyperlink"/>
    <w:basedOn w:val="DefaultParagraphFont"/>
    <w:uiPriority w:val="99"/>
    <w:unhideWhenUsed/>
    <w:rsid w:val="00BD3722"/>
    <w:rPr>
      <w:color w:val="0000FF" w:themeColor="hyperlink"/>
      <w:u w:val="single"/>
    </w:rPr>
  </w:style>
  <w:style w:type="character" w:styleId="UnresolvedMention">
    <w:name w:val="Unresolved Mention"/>
    <w:basedOn w:val="DefaultParagraphFont"/>
    <w:uiPriority w:val="99"/>
    <w:semiHidden/>
    <w:unhideWhenUsed/>
    <w:rsid w:val="00BD3722"/>
    <w:rPr>
      <w:color w:val="605E5C"/>
      <w:shd w:val="clear" w:color="auto" w:fill="E1DFDD"/>
    </w:rPr>
  </w:style>
  <w:style w:type="character" w:styleId="FollowedHyperlink">
    <w:name w:val="FollowedHyperlink"/>
    <w:basedOn w:val="DefaultParagraphFont"/>
    <w:uiPriority w:val="99"/>
    <w:semiHidden/>
    <w:unhideWhenUsed/>
    <w:rsid w:val="00A20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679">
      <w:bodyDiv w:val="1"/>
      <w:marLeft w:val="0"/>
      <w:marRight w:val="0"/>
      <w:marTop w:val="0"/>
      <w:marBottom w:val="0"/>
      <w:divBdr>
        <w:top w:val="none" w:sz="0" w:space="0" w:color="auto"/>
        <w:left w:val="none" w:sz="0" w:space="0" w:color="auto"/>
        <w:bottom w:val="none" w:sz="0" w:space="0" w:color="auto"/>
        <w:right w:val="none" w:sz="0" w:space="0" w:color="auto"/>
      </w:divBdr>
    </w:div>
    <w:div w:id="311756595">
      <w:bodyDiv w:val="1"/>
      <w:marLeft w:val="0"/>
      <w:marRight w:val="0"/>
      <w:marTop w:val="0"/>
      <w:marBottom w:val="0"/>
      <w:divBdr>
        <w:top w:val="none" w:sz="0" w:space="0" w:color="auto"/>
        <w:left w:val="none" w:sz="0" w:space="0" w:color="auto"/>
        <w:bottom w:val="none" w:sz="0" w:space="0" w:color="auto"/>
        <w:right w:val="none" w:sz="0" w:space="0" w:color="auto"/>
      </w:divBdr>
    </w:div>
    <w:div w:id="520629405">
      <w:bodyDiv w:val="1"/>
      <w:marLeft w:val="0"/>
      <w:marRight w:val="0"/>
      <w:marTop w:val="0"/>
      <w:marBottom w:val="0"/>
      <w:divBdr>
        <w:top w:val="none" w:sz="0" w:space="0" w:color="auto"/>
        <w:left w:val="none" w:sz="0" w:space="0" w:color="auto"/>
        <w:bottom w:val="none" w:sz="0" w:space="0" w:color="auto"/>
        <w:right w:val="none" w:sz="0" w:space="0" w:color="auto"/>
      </w:divBdr>
    </w:div>
    <w:div w:id="523789828">
      <w:bodyDiv w:val="1"/>
      <w:marLeft w:val="0"/>
      <w:marRight w:val="0"/>
      <w:marTop w:val="0"/>
      <w:marBottom w:val="0"/>
      <w:divBdr>
        <w:top w:val="none" w:sz="0" w:space="0" w:color="auto"/>
        <w:left w:val="none" w:sz="0" w:space="0" w:color="auto"/>
        <w:bottom w:val="none" w:sz="0" w:space="0" w:color="auto"/>
        <w:right w:val="none" w:sz="0" w:space="0" w:color="auto"/>
      </w:divBdr>
    </w:div>
    <w:div w:id="646396943">
      <w:bodyDiv w:val="1"/>
      <w:marLeft w:val="0"/>
      <w:marRight w:val="0"/>
      <w:marTop w:val="0"/>
      <w:marBottom w:val="0"/>
      <w:divBdr>
        <w:top w:val="none" w:sz="0" w:space="0" w:color="auto"/>
        <w:left w:val="none" w:sz="0" w:space="0" w:color="auto"/>
        <w:bottom w:val="none" w:sz="0" w:space="0" w:color="auto"/>
        <w:right w:val="none" w:sz="0" w:space="0" w:color="auto"/>
      </w:divBdr>
    </w:div>
    <w:div w:id="685861127">
      <w:bodyDiv w:val="1"/>
      <w:marLeft w:val="0"/>
      <w:marRight w:val="0"/>
      <w:marTop w:val="0"/>
      <w:marBottom w:val="0"/>
      <w:divBdr>
        <w:top w:val="none" w:sz="0" w:space="0" w:color="auto"/>
        <w:left w:val="none" w:sz="0" w:space="0" w:color="auto"/>
        <w:bottom w:val="none" w:sz="0" w:space="0" w:color="auto"/>
        <w:right w:val="none" w:sz="0" w:space="0" w:color="auto"/>
      </w:divBdr>
    </w:div>
    <w:div w:id="783697292">
      <w:bodyDiv w:val="1"/>
      <w:marLeft w:val="0"/>
      <w:marRight w:val="0"/>
      <w:marTop w:val="0"/>
      <w:marBottom w:val="0"/>
      <w:divBdr>
        <w:top w:val="none" w:sz="0" w:space="0" w:color="auto"/>
        <w:left w:val="none" w:sz="0" w:space="0" w:color="auto"/>
        <w:bottom w:val="none" w:sz="0" w:space="0" w:color="auto"/>
        <w:right w:val="none" w:sz="0" w:space="0" w:color="auto"/>
      </w:divBdr>
    </w:div>
    <w:div w:id="810445676">
      <w:bodyDiv w:val="1"/>
      <w:marLeft w:val="0"/>
      <w:marRight w:val="0"/>
      <w:marTop w:val="0"/>
      <w:marBottom w:val="0"/>
      <w:divBdr>
        <w:top w:val="none" w:sz="0" w:space="0" w:color="auto"/>
        <w:left w:val="none" w:sz="0" w:space="0" w:color="auto"/>
        <w:bottom w:val="none" w:sz="0" w:space="0" w:color="auto"/>
        <w:right w:val="none" w:sz="0" w:space="0" w:color="auto"/>
      </w:divBdr>
    </w:div>
    <w:div w:id="851139937">
      <w:bodyDiv w:val="1"/>
      <w:marLeft w:val="0"/>
      <w:marRight w:val="0"/>
      <w:marTop w:val="0"/>
      <w:marBottom w:val="0"/>
      <w:divBdr>
        <w:top w:val="none" w:sz="0" w:space="0" w:color="auto"/>
        <w:left w:val="none" w:sz="0" w:space="0" w:color="auto"/>
        <w:bottom w:val="none" w:sz="0" w:space="0" w:color="auto"/>
        <w:right w:val="none" w:sz="0" w:space="0" w:color="auto"/>
      </w:divBdr>
    </w:div>
    <w:div w:id="1107509107">
      <w:bodyDiv w:val="1"/>
      <w:marLeft w:val="0"/>
      <w:marRight w:val="0"/>
      <w:marTop w:val="0"/>
      <w:marBottom w:val="0"/>
      <w:divBdr>
        <w:top w:val="none" w:sz="0" w:space="0" w:color="auto"/>
        <w:left w:val="none" w:sz="0" w:space="0" w:color="auto"/>
        <w:bottom w:val="none" w:sz="0" w:space="0" w:color="auto"/>
        <w:right w:val="none" w:sz="0" w:space="0" w:color="auto"/>
      </w:divBdr>
    </w:div>
    <w:div w:id="1237663833">
      <w:bodyDiv w:val="1"/>
      <w:marLeft w:val="0"/>
      <w:marRight w:val="0"/>
      <w:marTop w:val="0"/>
      <w:marBottom w:val="0"/>
      <w:divBdr>
        <w:top w:val="none" w:sz="0" w:space="0" w:color="auto"/>
        <w:left w:val="none" w:sz="0" w:space="0" w:color="auto"/>
        <w:bottom w:val="none" w:sz="0" w:space="0" w:color="auto"/>
        <w:right w:val="none" w:sz="0" w:space="0" w:color="auto"/>
      </w:divBdr>
    </w:div>
    <w:div w:id="1273710839">
      <w:bodyDiv w:val="1"/>
      <w:marLeft w:val="0"/>
      <w:marRight w:val="0"/>
      <w:marTop w:val="0"/>
      <w:marBottom w:val="0"/>
      <w:divBdr>
        <w:top w:val="none" w:sz="0" w:space="0" w:color="auto"/>
        <w:left w:val="none" w:sz="0" w:space="0" w:color="auto"/>
        <w:bottom w:val="none" w:sz="0" w:space="0" w:color="auto"/>
        <w:right w:val="none" w:sz="0" w:space="0" w:color="auto"/>
      </w:divBdr>
    </w:div>
    <w:div w:id="1533765627">
      <w:bodyDiv w:val="1"/>
      <w:marLeft w:val="0"/>
      <w:marRight w:val="0"/>
      <w:marTop w:val="0"/>
      <w:marBottom w:val="0"/>
      <w:divBdr>
        <w:top w:val="none" w:sz="0" w:space="0" w:color="auto"/>
        <w:left w:val="none" w:sz="0" w:space="0" w:color="auto"/>
        <w:bottom w:val="none" w:sz="0" w:space="0" w:color="auto"/>
        <w:right w:val="none" w:sz="0" w:space="0" w:color="auto"/>
      </w:divBdr>
    </w:div>
    <w:div w:id="1615939601">
      <w:bodyDiv w:val="1"/>
      <w:marLeft w:val="0"/>
      <w:marRight w:val="0"/>
      <w:marTop w:val="0"/>
      <w:marBottom w:val="0"/>
      <w:divBdr>
        <w:top w:val="none" w:sz="0" w:space="0" w:color="auto"/>
        <w:left w:val="none" w:sz="0" w:space="0" w:color="auto"/>
        <w:bottom w:val="none" w:sz="0" w:space="0" w:color="auto"/>
        <w:right w:val="none" w:sz="0" w:space="0" w:color="auto"/>
      </w:divBdr>
    </w:div>
    <w:div w:id="19740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C086D.ECC84E80"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cid:image003.png@01DC086D.785ED2D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2.png@01DC086D.785ED2D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Samuel Sekese</cp:lastModifiedBy>
  <cp:revision>3</cp:revision>
  <dcterms:created xsi:type="dcterms:W3CDTF">2025-08-11T08:04:00Z</dcterms:created>
  <dcterms:modified xsi:type="dcterms:W3CDTF">2025-08-11T10:23:00Z</dcterms:modified>
</cp:coreProperties>
</file>