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 xml:space="preserve">product </w:t>
      </w:r>
      <w:r w:rsidRPr="000B76CE">
        <w:rPr>
          <w:rFonts w:ascii="Arial Narrow" w:hAnsi="Arial Narrow" w:cs="Times New Roman"/>
          <w:color w:val="000000"/>
        </w:rPr>
        <w:lastRenderedPageBreak/>
        <w:t>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lastRenderedPageBreak/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lastRenderedPageBreak/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 xml:space="preserve">contract. Disclosure </w:t>
      </w:r>
      <w:r w:rsidRPr="000B76CE">
        <w:rPr>
          <w:rFonts w:ascii="Arial Narrow" w:hAnsi="Arial Narrow" w:cs="Times New Roman"/>
          <w:color w:val="000000"/>
        </w:rPr>
        <w:lastRenderedPageBreak/>
        <w:t>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</w:t>
      </w:r>
      <w:r w:rsidRPr="00FD64D2">
        <w:rPr>
          <w:rFonts w:ascii="Arial Narrow" w:hAnsi="Arial Narrow" w:cs="Times New Roman"/>
          <w:color w:val="000000"/>
        </w:rPr>
        <w:lastRenderedPageBreak/>
        <w:t>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or omission </w:t>
      </w:r>
      <w:r w:rsidRPr="00AA49D4">
        <w:rPr>
          <w:rFonts w:ascii="Arial Narrow" w:hAnsi="Arial Narrow" w:cs="Times New Roman"/>
          <w:color w:val="000000"/>
        </w:rPr>
        <w:lastRenderedPageBreak/>
        <w:t>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 xml:space="preserve">his discretion extend </w:t>
      </w:r>
      <w:r w:rsidRPr="00AA49D4">
        <w:rPr>
          <w:rFonts w:ascii="Arial Narrow" w:hAnsi="Arial Narrow" w:cs="Times New Roman"/>
          <w:color w:val="000000"/>
        </w:rPr>
        <w:lastRenderedPageBreak/>
        <w:t>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the </w:t>
      </w:r>
      <w:r w:rsidRPr="007D077B">
        <w:rPr>
          <w:rFonts w:ascii="Arial Narrow" w:hAnsi="Arial Narrow" w:cs="Times New Roman"/>
          <w:color w:val="000000"/>
        </w:rPr>
        <w:lastRenderedPageBreak/>
        <w:t>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contract </w:t>
      </w:r>
      <w:r w:rsidRPr="007D077B">
        <w:rPr>
          <w:rFonts w:ascii="Arial Narrow" w:hAnsi="Arial Narrow" w:cs="Times New Roman"/>
          <w:color w:val="000000"/>
        </w:rPr>
        <w:lastRenderedPageBreak/>
        <w:t>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2780F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2023-06-21T09:03:00Z</dcterms:created>
  <dcterms:modified xsi:type="dcterms:W3CDTF">2023-06-21T09:03:00Z</dcterms:modified>
</cp:coreProperties>
</file>