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0"/>
        <w:gridCol w:w="4946"/>
      </w:tblGrid>
      <w:tr w:rsidR="00FC030B" w:rsidRPr="000F105F" w14:paraId="12E74B75" w14:textId="5DE917E6" w:rsidTr="001D31F3">
        <w:trPr>
          <w:trHeight w:val="2696"/>
        </w:trPr>
        <w:tc>
          <w:tcPr>
            <w:tcW w:w="4240" w:type="dxa"/>
            <w:vAlign w:val="bottom"/>
          </w:tcPr>
          <w:p w14:paraId="28DEAFC6" w14:textId="77777777" w:rsidR="000F105F" w:rsidRDefault="000F105F" w:rsidP="00FC030B">
            <w:pPr>
              <w:pStyle w:val="Title"/>
              <w:rPr>
                <w:b/>
                <w:bCs/>
                <w:color w:val="auto"/>
                <w:sz w:val="28"/>
                <w:szCs w:val="28"/>
              </w:rPr>
            </w:pPr>
            <w:r w:rsidRPr="00F47B01">
              <w:rPr>
                <w:b/>
                <w:bCs/>
                <w:color w:val="auto"/>
                <w:sz w:val="28"/>
                <w:szCs w:val="28"/>
              </w:rPr>
              <w:t>Tender 169S/2025/26 Panel of Legal Service Providers for Conveyancing Services</w:t>
            </w:r>
          </w:p>
          <w:p w14:paraId="4ED3155C" w14:textId="25E4552E" w:rsidR="00FC030B" w:rsidRPr="00F47B01" w:rsidRDefault="000F105F" w:rsidP="00FC030B">
            <w:pPr>
              <w:pStyle w:val="Title"/>
              <w:rPr>
                <w:color w:val="auto"/>
                <w:sz w:val="28"/>
                <w:szCs w:val="28"/>
              </w:rPr>
            </w:pPr>
            <w:r>
              <w:rPr>
                <w:color w:val="auto"/>
                <w:sz w:val="28"/>
                <w:szCs w:val="28"/>
              </w:rPr>
              <w:t xml:space="preserve">CLARIFICATION </w:t>
            </w:r>
            <w:r w:rsidR="007E2871" w:rsidRPr="00F47B01">
              <w:rPr>
                <w:color w:val="auto"/>
                <w:sz w:val="28"/>
                <w:szCs w:val="28"/>
              </w:rPr>
              <w:t>MEETING MINUTES</w:t>
            </w:r>
            <w:r w:rsidR="00FC030B" w:rsidRPr="00F47B01">
              <w:rPr>
                <w:color w:val="auto"/>
                <w:sz w:val="28"/>
                <w:szCs w:val="28"/>
              </w:rPr>
              <w:t xml:space="preserve"> </w:t>
            </w:r>
          </w:p>
        </w:tc>
        <w:tc>
          <w:tcPr>
            <w:tcW w:w="4946" w:type="dxa"/>
          </w:tcPr>
          <w:p w14:paraId="5246B8C2" w14:textId="618263EE" w:rsidR="00FC030B" w:rsidRPr="00F47B01" w:rsidRDefault="007E2871" w:rsidP="00FC030B">
            <w:pPr>
              <w:ind w:left="-384" w:right="-648"/>
              <w:rPr>
                <w:sz w:val="28"/>
                <w:szCs w:val="28"/>
              </w:rPr>
            </w:pPr>
            <w:r w:rsidRPr="00F47B01">
              <w:rPr>
                <w:noProof/>
                <w:sz w:val="28"/>
                <w:szCs w:val="28"/>
              </w:rPr>
              <w:drawing>
                <wp:anchor distT="0" distB="0" distL="114300" distR="114300" simplePos="0" relativeHeight="251659264" behindDoc="1" locked="0" layoutInCell="1" allowOverlap="1" wp14:anchorId="62409DEA" wp14:editId="22164188">
                  <wp:simplePos x="0" y="0"/>
                  <wp:positionH relativeFrom="column">
                    <wp:posOffset>99060</wp:posOffset>
                  </wp:positionH>
                  <wp:positionV relativeFrom="paragraph">
                    <wp:posOffset>-4445</wp:posOffset>
                  </wp:positionV>
                  <wp:extent cx="3181350" cy="12509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22263" r="51628"/>
                          <a:stretch/>
                        </pic:blipFill>
                        <pic:spPr bwMode="auto">
                          <a:xfrm>
                            <a:off x="0" y="0"/>
                            <a:ext cx="3181350" cy="1250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68534200" w14:textId="55FA1424" w:rsidR="00EF36A5" w:rsidRDefault="00EF36A5" w:rsidP="00AE44C5">
      <w:pPr>
        <w:pStyle w:val="Subhead"/>
        <w:rPr>
          <w:sz w:val="24"/>
          <w:szCs w:val="24"/>
        </w:rPr>
      </w:pPr>
    </w:p>
    <w:p w14:paraId="7622C8E6" w14:textId="77777777" w:rsidR="001D31F3" w:rsidRPr="00C20B2D" w:rsidRDefault="001D31F3" w:rsidP="00AE44C5">
      <w:pPr>
        <w:pStyle w:val="Subhead"/>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ECD3" w:themeFill="accent5"/>
        <w:tblLook w:val="04A0" w:firstRow="1" w:lastRow="0" w:firstColumn="1" w:lastColumn="0" w:noHBand="0" w:noVBand="1"/>
      </w:tblPr>
      <w:tblGrid>
        <w:gridCol w:w="2335"/>
        <w:gridCol w:w="270"/>
        <w:gridCol w:w="2520"/>
        <w:gridCol w:w="270"/>
        <w:gridCol w:w="3955"/>
      </w:tblGrid>
      <w:tr w:rsidR="002D2055" w14:paraId="6417AC00" w14:textId="77777777" w:rsidTr="692973C3">
        <w:trPr>
          <w:trHeight w:val="504"/>
        </w:trPr>
        <w:tc>
          <w:tcPr>
            <w:tcW w:w="2335" w:type="dxa"/>
            <w:shd w:val="clear" w:color="auto" w:fill="E4F4EF" w:themeFill="accent2" w:themeFillTint="33"/>
          </w:tcPr>
          <w:p w14:paraId="5F231D5C" w14:textId="635DEA80" w:rsidR="00B265A1" w:rsidRDefault="00000000" w:rsidP="001311AF">
            <w:pPr>
              <w:pStyle w:val="Heading1"/>
            </w:pPr>
            <w:sdt>
              <w:sdtPr>
                <w:id w:val="593591499"/>
                <w:placeholder>
                  <w:docPart w:val="07E1E0FA66ED4DEE9F1BBE53348AB8CD"/>
                </w:placeholder>
                <w:showingPlcHdr/>
                <w15:appearance w15:val="hidden"/>
              </w:sdtPr>
              <w:sdtContent>
                <w:r w:rsidR="00FC030B" w:rsidRPr="00FC030B">
                  <w:t>Date:</w:t>
                </w:r>
              </w:sdtContent>
            </w:sdt>
            <w:r w:rsidR="00FC030B">
              <w:t xml:space="preserve"> </w:t>
            </w:r>
          </w:p>
        </w:tc>
        <w:tc>
          <w:tcPr>
            <w:tcW w:w="270" w:type="dxa"/>
          </w:tcPr>
          <w:p w14:paraId="0CFE10CF" w14:textId="77777777" w:rsidR="00B265A1" w:rsidRPr="00AB4981" w:rsidRDefault="00B265A1" w:rsidP="001311AF">
            <w:pPr>
              <w:pStyle w:val="Heading1"/>
            </w:pPr>
          </w:p>
        </w:tc>
        <w:tc>
          <w:tcPr>
            <w:tcW w:w="2520" w:type="dxa"/>
            <w:shd w:val="clear" w:color="auto" w:fill="E4F4EF" w:themeFill="accent2" w:themeFillTint="33"/>
          </w:tcPr>
          <w:p w14:paraId="612A38EC" w14:textId="30EBEC89" w:rsidR="00B265A1" w:rsidRDefault="00000000" w:rsidP="001311AF">
            <w:pPr>
              <w:pStyle w:val="Heading1"/>
            </w:pPr>
            <w:sdt>
              <w:sdtPr>
                <w:id w:val="-1555462998"/>
                <w:placeholder>
                  <w:docPart w:val="7A62619960D24386AB331258658BAE25"/>
                </w:placeholder>
                <w15:appearance w15:val="hidden"/>
              </w:sdtPr>
              <w:sdtContent>
                <w:r w:rsidR="000404F3">
                  <w:t>TIME AND PLACE:</w:t>
                </w:r>
              </w:sdtContent>
            </w:sdt>
            <w:r w:rsidR="00FC030B">
              <w:t xml:space="preserve"> </w:t>
            </w:r>
          </w:p>
        </w:tc>
        <w:tc>
          <w:tcPr>
            <w:tcW w:w="270" w:type="dxa"/>
          </w:tcPr>
          <w:p w14:paraId="3B230A93" w14:textId="77777777" w:rsidR="00B265A1" w:rsidRPr="00AB4981" w:rsidRDefault="00B265A1" w:rsidP="001311AF">
            <w:pPr>
              <w:pStyle w:val="Heading1"/>
            </w:pPr>
          </w:p>
        </w:tc>
        <w:tc>
          <w:tcPr>
            <w:tcW w:w="3955" w:type="dxa"/>
            <w:shd w:val="clear" w:color="auto" w:fill="E4F4EF" w:themeFill="accent2" w:themeFillTint="33"/>
          </w:tcPr>
          <w:p w14:paraId="2BD6A228" w14:textId="4E8B5CBC" w:rsidR="00B265A1" w:rsidRDefault="00000000" w:rsidP="001311AF">
            <w:pPr>
              <w:pStyle w:val="Heading1"/>
            </w:pPr>
            <w:sdt>
              <w:sdtPr>
                <w:id w:val="481129102"/>
                <w:placeholder>
                  <w:docPart w:val="22667EB0A8EA436BA08D330F0D617896"/>
                </w:placeholder>
                <w:showingPlcHdr/>
                <w15:appearance w15:val="hidden"/>
              </w:sdtPr>
              <w:sdtContent>
                <w:r w:rsidR="00FC030B" w:rsidRPr="00FC030B">
                  <w:t>Facilitator:</w:t>
                </w:r>
              </w:sdtContent>
            </w:sdt>
            <w:r w:rsidR="00FC030B">
              <w:t xml:space="preserve"> </w:t>
            </w:r>
          </w:p>
        </w:tc>
      </w:tr>
      <w:tr w:rsidR="00B265A1" w14:paraId="1069A4E5" w14:textId="77777777" w:rsidTr="692973C3">
        <w:trPr>
          <w:trHeight w:val="530"/>
        </w:trPr>
        <w:tc>
          <w:tcPr>
            <w:tcW w:w="2335" w:type="dxa"/>
          </w:tcPr>
          <w:p w14:paraId="7B2E632C" w14:textId="31571D41" w:rsidR="00B265A1" w:rsidRDefault="00000000" w:rsidP="00FC030B">
            <w:sdt>
              <w:sdtPr>
                <w:id w:val="2040476020"/>
                <w:placeholder>
                  <w:docPart w:val="C4602A3AE981465094CDFB52332E8B28"/>
                </w:placeholder>
                <w15:appearance w15:val="hidden"/>
              </w:sdtPr>
              <w:sdtContent>
                <w:r w:rsidR="000F105F">
                  <w:t>10 March</w:t>
                </w:r>
                <w:r w:rsidR="007E2871">
                  <w:t xml:space="preserve"> 2026</w:t>
                </w:r>
              </w:sdtContent>
            </w:sdt>
            <w:r w:rsidR="00FC030B">
              <w:t xml:space="preserve"> </w:t>
            </w:r>
          </w:p>
        </w:tc>
        <w:tc>
          <w:tcPr>
            <w:tcW w:w="270" w:type="dxa"/>
          </w:tcPr>
          <w:p w14:paraId="3A9287B3" w14:textId="77777777" w:rsidR="00B265A1" w:rsidRDefault="00B265A1" w:rsidP="00FC030B"/>
        </w:tc>
        <w:tc>
          <w:tcPr>
            <w:tcW w:w="2520" w:type="dxa"/>
          </w:tcPr>
          <w:p w14:paraId="3D9F93C2" w14:textId="26781DD6" w:rsidR="00B265A1" w:rsidRDefault="00000000" w:rsidP="00FC030B">
            <w:sdt>
              <w:sdtPr>
                <w:id w:val="499696572"/>
                <w:placeholder>
                  <w:docPart w:val="4F26FF8A36EF4EBB94AEDD1D6563FBF4"/>
                </w:placeholder>
                <w15:appearance w15:val="hidden"/>
              </w:sdtPr>
              <w:sdtContent>
                <w:r w:rsidR="3EBF191B">
                  <w:t>1</w:t>
                </w:r>
                <w:r w:rsidR="000F105F">
                  <w:t>2</w:t>
                </w:r>
                <w:r w:rsidR="3EBF191B">
                  <w:t>:</w:t>
                </w:r>
              </w:sdtContent>
            </w:sdt>
            <w:r w:rsidR="28A4758F">
              <w:t>00am</w:t>
            </w:r>
            <w:r w:rsidR="000404F3">
              <w:t xml:space="preserve"> in </w:t>
            </w:r>
            <w:r w:rsidR="000F105F">
              <w:t xml:space="preserve">Main </w:t>
            </w:r>
            <w:r w:rsidR="000404F3">
              <w:t>boardroom</w:t>
            </w:r>
            <w:r w:rsidR="00CF1423">
              <w:t>, 13</w:t>
            </w:r>
            <w:r w:rsidR="00CF1423" w:rsidRPr="00CF1423">
              <w:rPr>
                <w:vertAlign w:val="superscript"/>
              </w:rPr>
              <w:t>th</w:t>
            </w:r>
            <w:r w:rsidR="00CF1423">
              <w:t xml:space="preserve"> floor </w:t>
            </w:r>
            <w:r w:rsidR="000F105F">
              <w:t>and TEAMS</w:t>
            </w:r>
          </w:p>
        </w:tc>
        <w:tc>
          <w:tcPr>
            <w:tcW w:w="270" w:type="dxa"/>
          </w:tcPr>
          <w:p w14:paraId="57B49C3C" w14:textId="77777777" w:rsidR="00B265A1" w:rsidRDefault="00B265A1" w:rsidP="00FC030B"/>
        </w:tc>
        <w:tc>
          <w:tcPr>
            <w:tcW w:w="3955" w:type="dxa"/>
          </w:tcPr>
          <w:p w14:paraId="2DF44E39" w14:textId="2FD81465" w:rsidR="00B265A1" w:rsidRDefault="00000000" w:rsidP="00FC030B">
            <w:sdt>
              <w:sdtPr>
                <w:id w:val="-1974899599"/>
                <w:placeholder>
                  <w:docPart w:val="70015A4F528645EF92101B46D579AEA5"/>
                </w:placeholder>
                <w15:appearance w15:val="hidden"/>
              </w:sdtPr>
              <w:sdtContent>
                <w:r w:rsidR="007E2871">
                  <w:t>Charlain Swart</w:t>
                </w:r>
              </w:sdtContent>
            </w:sdt>
            <w:r w:rsidR="00FC030B">
              <w:t xml:space="preserve"> </w:t>
            </w:r>
          </w:p>
        </w:tc>
      </w:tr>
    </w:tbl>
    <w:p w14:paraId="056E3785" w14:textId="77777777" w:rsidR="004C6FFB" w:rsidRPr="004F5B25" w:rsidRDefault="004C6FFB" w:rsidP="00817AC0">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270"/>
        <w:gridCol w:w="4585"/>
      </w:tblGrid>
      <w:tr w:rsidR="00A63EFD" w:rsidRPr="00FC030B" w14:paraId="395265F9" w14:textId="77777777" w:rsidTr="692973C3">
        <w:trPr>
          <w:trHeight w:val="494"/>
        </w:trPr>
        <w:tc>
          <w:tcPr>
            <w:tcW w:w="4495" w:type="dxa"/>
            <w:shd w:val="clear" w:color="auto" w:fill="E4F4EF" w:themeFill="accent2" w:themeFillTint="33"/>
          </w:tcPr>
          <w:p w14:paraId="674E4B9B" w14:textId="7FF512C9" w:rsidR="00A63EFD" w:rsidRPr="00FC030B" w:rsidRDefault="00000000" w:rsidP="00FC030B">
            <w:pPr>
              <w:pStyle w:val="Heading1"/>
            </w:pPr>
            <w:sdt>
              <w:sdtPr>
                <w:id w:val="1203518312"/>
                <w:placeholder>
                  <w:docPart w:val="E45254F58066406D905D9A79537190F7"/>
                </w:placeholder>
                <w15:appearance w15:val="hidden"/>
              </w:sdtPr>
              <w:sdtContent>
                <w:r w:rsidR="000F105F">
                  <w:t xml:space="preserve">IN </w:t>
                </w:r>
                <w:r w:rsidR="00F47B01">
                  <w:t>P</w:t>
                </w:r>
                <w:r w:rsidR="000F105F">
                  <w:t>ERSON ATTENDEES</w:t>
                </w:r>
              </w:sdtContent>
            </w:sdt>
          </w:p>
        </w:tc>
        <w:tc>
          <w:tcPr>
            <w:tcW w:w="270" w:type="dxa"/>
          </w:tcPr>
          <w:p w14:paraId="41B76787" w14:textId="77777777" w:rsidR="00A63EFD" w:rsidRPr="00FC030B" w:rsidRDefault="00A63EFD" w:rsidP="00FC030B">
            <w:pPr>
              <w:pStyle w:val="Heading1"/>
            </w:pPr>
          </w:p>
        </w:tc>
        <w:tc>
          <w:tcPr>
            <w:tcW w:w="4585" w:type="dxa"/>
            <w:shd w:val="clear" w:color="auto" w:fill="E4F4EF" w:themeFill="accent2" w:themeFillTint="33"/>
          </w:tcPr>
          <w:p w14:paraId="340B874D" w14:textId="1D6136C6" w:rsidR="00A63EFD" w:rsidRPr="00FC030B" w:rsidRDefault="00000000" w:rsidP="00FC030B">
            <w:pPr>
              <w:pStyle w:val="Heading1"/>
            </w:pPr>
            <w:sdt>
              <w:sdtPr>
                <w:id w:val="-1767297428"/>
                <w:placeholder>
                  <w:docPart w:val="808DEEF6C3A0440BA86E795735743EDB"/>
                </w:placeholder>
                <w15:appearance w15:val="hidden"/>
              </w:sdtPr>
              <w:sdtContent>
                <w:r w:rsidR="000F105F">
                  <w:t>ONLINE TEAMS ATTENDEES</w:t>
                </w:r>
              </w:sdtContent>
            </w:sdt>
            <w:r w:rsidR="00FC030B" w:rsidRPr="00FC030B">
              <w:t xml:space="preserve"> </w:t>
            </w:r>
          </w:p>
        </w:tc>
      </w:tr>
      <w:tr w:rsidR="00D53517" w14:paraId="4B1330F8" w14:textId="77777777" w:rsidTr="692973C3">
        <w:trPr>
          <w:trHeight w:val="1080"/>
        </w:trPr>
        <w:tc>
          <w:tcPr>
            <w:tcW w:w="4495" w:type="dxa"/>
          </w:tcPr>
          <w:p w14:paraId="36687D60" w14:textId="77777777" w:rsidR="000F105F" w:rsidRDefault="00000000" w:rsidP="00423C89">
            <w:pPr>
              <w:rPr>
                <w:b/>
                <w:bCs/>
                <w:color w:val="70AD47"/>
              </w:rPr>
            </w:pPr>
            <w:sdt>
              <w:sdtPr>
                <w:id w:val="1239370840"/>
                <w:placeholder>
                  <w:docPart w:val="D757C09EAAC041138A0B6C03258E925F"/>
                </w:placeholder>
                <w15:appearance w15:val="hidden"/>
              </w:sdtPr>
              <w:sdtContent>
                <w:r w:rsidR="074D336E">
                  <w:t>C</w:t>
                </w:r>
              </w:sdtContent>
            </w:sdt>
            <w:r w:rsidR="007E2871">
              <w:t>harlain Swart</w:t>
            </w:r>
            <w:r w:rsidR="00DB4E56">
              <w:t xml:space="preserve"> (CS)</w:t>
            </w:r>
            <w:r w:rsidR="007E2871">
              <w:t xml:space="preserve"> (Facilitator)</w:t>
            </w:r>
            <w:r w:rsidR="000F105F" w:rsidRPr="000F105F">
              <w:rPr>
                <w:b/>
                <w:bCs/>
                <w:color w:val="70AD47"/>
              </w:rPr>
              <w:t xml:space="preserve"> </w:t>
            </w:r>
          </w:p>
          <w:p w14:paraId="53D05227" w14:textId="15F41541" w:rsidR="000F105F" w:rsidRPr="00F47B01" w:rsidRDefault="000F105F" w:rsidP="00423C89">
            <w:r w:rsidRPr="00F47B01">
              <w:t>Charlene Davis</w:t>
            </w:r>
            <w:r>
              <w:t xml:space="preserve"> (CD)</w:t>
            </w:r>
          </w:p>
          <w:p w14:paraId="291EC27F" w14:textId="071FF80C" w:rsidR="001D31F3" w:rsidRDefault="000F105F" w:rsidP="000F105F">
            <w:r w:rsidRPr="00F47B01">
              <w:t>Lynette Oliver</w:t>
            </w:r>
            <w:r>
              <w:t xml:space="preserve"> (LO)</w:t>
            </w:r>
          </w:p>
        </w:tc>
        <w:tc>
          <w:tcPr>
            <w:tcW w:w="270" w:type="dxa"/>
          </w:tcPr>
          <w:p w14:paraId="1C184F17" w14:textId="52A5577B" w:rsidR="00D53517" w:rsidRDefault="00D53517" w:rsidP="00423C89"/>
        </w:tc>
        <w:tc>
          <w:tcPr>
            <w:tcW w:w="4585" w:type="dxa"/>
          </w:tcPr>
          <w:p w14:paraId="6B9EEDBC" w14:textId="46C9E06C" w:rsidR="00D53517" w:rsidRDefault="000F105F" w:rsidP="00423C89">
            <w:r>
              <w:t>As per attached list</w:t>
            </w:r>
          </w:p>
        </w:tc>
      </w:tr>
    </w:tbl>
    <w:p w14:paraId="4A909217" w14:textId="77777777" w:rsidR="004C6FFB" w:rsidRPr="00817AC0" w:rsidRDefault="004C6FFB" w:rsidP="00817AC0"/>
    <w:tbl>
      <w:tblPr>
        <w:tblStyle w:val="TableGrid"/>
        <w:tblW w:w="9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7"/>
      </w:tblGrid>
      <w:tr w:rsidR="00BF320D" w14:paraId="46D283CD" w14:textId="77777777" w:rsidTr="00F47B01">
        <w:trPr>
          <w:trHeight w:val="253"/>
        </w:trPr>
        <w:tc>
          <w:tcPr>
            <w:tcW w:w="9737" w:type="dxa"/>
            <w:shd w:val="clear" w:color="auto" w:fill="E0E8F4" w:themeFill="accent6" w:themeFillTint="33"/>
          </w:tcPr>
          <w:p w14:paraId="5A8F4EE5" w14:textId="79D4C97D" w:rsidR="00BF320D" w:rsidRDefault="00247A6E" w:rsidP="00396499">
            <w:pPr>
              <w:pStyle w:val="Heading1"/>
            </w:pPr>
            <w:r>
              <w:t>Welcome</w:t>
            </w:r>
          </w:p>
        </w:tc>
      </w:tr>
      <w:tr w:rsidR="00BF320D" w14:paraId="60B79842" w14:textId="77777777" w:rsidTr="00F47B01">
        <w:trPr>
          <w:trHeight w:val="806"/>
        </w:trPr>
        <w:tc>
          <w:tcPr>
            <w:tcW w:w="9737" w:type="dxa"/>
          </w:tcPr>
          <w:p w14:paraId="3784121C" w14:textId="1F92C843" w:rsidR="00BF320D" w:rsidRDefault="00247A6E" w:rsidP="00BF320D">
            <w:r>
              <w:t xml:space="preserve">Charlain welcomed everyone </w:t>
            </w:r>
            <w:r w:rsidR="000F105F">
              <w:t xml:space="preserve">to the meeting as Project Manager </w:t>
            </w:r>
            <w:r w:rsidR="004F3480" w:rsidRPr="00F47B01">
              <w:rPr>
                <w:rFonts w:eastAsia="Segoe UI" w:cs="Segoe UI"/>
                <w:color w:val="323130"/>
              </w:rPr>
              <w:t>on Tender 169S.</w:t>
            </w:r>
            <w:r w:rsidR="004F3480">
              <w:rPr>
                <w:rFonts w:ascii="Segoe UI" w:eastAsia="Segoe UI" w:hAnsi="Segoe UI" w:cs="Segoe UI"/>
                <w:color w:val="323130"/>
                <w:sz w:val="24"/>
                <w:szCs w:val="24"/>
              </w:rPr>
              <w:t xml:space="preserve"> </w:t>
            </w:r>
          </w:p>
        </w:tc>
      </w:tr>
    </w:tbl>
    <w:p w14:paraId="1A614BC7" w14:textId="77777777" w:rsidR="00EE36C0" w:rsidRDefault="00EE36C0" w:rsidP="00AB4981">
      <w:pPr>
        <w:pStyle w:val="Heading1"/>
      </w:pPr>
    </w:p>
    <w:tbl>
      <w:tblPr>
        <w:tblStyle w:val="TableGrid"/>
        <w:tblW w:w="9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1"/>
      </w:tblGrid>
      <w:tr w:rsidR="00BF320D" w14:paraId="39CA319D" w14:textId="77777777" w:rsidTr="001D31F3">
        <w:trPr>
          <w:trHeight w:val="213"/>
        </w:trPr>
        <w:tc>
          <w:tcPr>
            <w:tcW w:w="9631" w:type="dxa"/>
            <w:shd w:val="clear" w:color="auto" w:fill="E0E8F4" w:themeFill="accent6" w:themeFillTint="33"/>
          </w:tcPr>
          <w:p w14:paraId="1816B27D" w14:textId="674FC2A2" w:rsidR="00BF320D" w:rsidRDefault="004F3480" w:rsidP="007636C1">
            <w:pPr>
              <w:pStyle w:val="Heading1"/>
            </w:pPr>
            <w:r>
              <w:t>PURPOSE OF MEETING</w:t>
            </w:r>
          </w:p>
        </w:tc>
      </w:tr>
      <w:tr w:rsidR="00BF320D" w14:paraId="420972F2" w14:textId="77777777" w:rsidTr="001D31F3">
        <w:trPr>
          <w:trHeight w:val="862"/>
        </w:trPr>
        <w:tc>
          <w:tcPr>
            <w:tcW w:w="9631" w:type="dxa"/>
          </w:tcPr>
          <w:p w14:paraId="4A866CA9" w14:textId="2EAE4D43" w:rsidR="001D31F3" w:rsidRDefault="00DB273E" w:rsidP="00BF320D">
            <w:r w:rsidRPr="00F47B01">
              <w:rPr>
                <w:rFonts w:eastAsia="Segoe UI" w:cs="Segoe UI"/>
                <w:color w:val="323130"/>
              </w:rPr>
              <w:t>This is the clarification meeting for the tender</w:t>
            </w:r>
            <w:r w:rsidR="007C2939">
              <w:rPr>
                <w:rFonts w:eastAsia="Segoe UI" w:cs="Segoe UI"/>
                <w:color w:val="323130"/>
              </w:rPr>
              <w:t xml:space="preserve"> </w:t>
            </w:r>
            <w:r w:rsidR="007C2939" w:rsidRPr="007C2939">
              <w:rPr>
                <w:rFonts w:eastAsia="Segoe UI" w:cs="Segoe UI"/>
                <w:color w:val="323130"/>
              </w:rPr>
              <w:t>169</w:t>
            </w:r>
            <w:r w:rsidR="007C2939">
              <w:rPr>
                <w:rFonts w:eastAsia="Segoe UI" w:cs="Segoe UI"/>
                <w:color w:val="323130"/>
              </w:rPr>
              <w:t>S</w:t>
            </w:r>
            <w:r w:rsidRPr="00F47B01">
              <w:rPr>
                <w:rFonts w:eastAsia="Segoe UI" w:cs="Segoe UI"/>
                <w:color w:val="323130"/>
              </w:rPr>
              <w:t>.</w:t>
            </w:r>
            <w:r w:rsidR="00DB4E56" w:rsidRPr="00DB273E">
              <w:t xml:space="preserve"> </w:t>
            </w:r>
            <w:r w:rsidRPr="00DB273E">
              <w:rPr>
                <w:lang w:val="en-ZA"/>
              </w:rPr>
              <w:t xml:space="preserve">This </w:t>
            </w:r>
            <w:r w:rsidR="007C2939">
              <w:rPr>
                <w:lang w:val="en-ZA"/>
              </w:rPr>
              <w:t>t</w:t>
            </w:r>
            <w:r w:rsidRPr="00DB273E">
              <w:rPr>
                <w:lang w:val="en-ZA"/>
              </w:rPr>
              <w:t>ender will be for the Property Transactions Department of the City of Cape Town</w:t>
            </w:r>
            <w:r w:rsidR="007C2939">
              <w:rPr>
                <w:lang w:val="en-ZA"/>
              </w:rPr>
              <w:t>, to establish a</w:t>
            </w:r>
            <w:r w:rsidR="007C2939" w:rsidRPr="00DB273E">
              <w:rPr>
                <w:lang w:val="en-ZA"/>
              </w:rPr>
              <w:t xml:space="preserve"> panel of legal service providers for conveyancing services on a</w:t>
            </w:r>
            <w:r w:rsidR="007C2939">
              <w:rPr>
                <w:lang w:val="en-ZA"/>
              </w:rPr>
              <w:t xml:space="preserve"> basis of if</w:t>
            </w:r>
            <w:r w:rsidR="007C2939" w:rsidRPr="00DB273E">
              <w:rPr>
                <w:lang w:val="en-ZA"/>
              </w:rPr>
              <w:t xml:space="preserve"> and when required</w:t>
            </w:r>
            <w:r w:rsidR="007C2939">
              <w:rPr>
                <w:lang w:val="en-ZA"/>
              </w:rPr>
              <w:t xml:space="preserve">. </w:t>
            </w:r>
            <w:r w:rsidR="00C91C91">
              <w:rPr>
                <w:lang w:val="en-ZA"/>
              </w:rPr>
              <w:t>W</w:t>
            </w:r>
            <w:r w:rsidR="00C91C91" w:rsidRPr="00C91C91">
              <w:rPr>
                <w:lang w:val="en-ZA"/>
              </w:rPr>
              <w:t>hat th</w:t>
            </w:r>
            <w:r w:rsidR="00C91C91">
              <w:rPr>
                <w:lang w:val="en-ZA"/>
              </w:rPr>
              <w:t>is</w:t>
            </w:r>
            <w:r w:rsidR="00C91C91" w:rsidRPr="00C91C91">
              <w:rPr>
                <w:lang w:val="en-ZA"/>
              </w:rPr>
              <w:t xml:space="preserve"> entails</w:t>
            </w:r>
            <w:r w:rsidR="00C91C91">
              <w:rPr>
                <w:lang w:val="en-ZA"/>
              </w:rPr>
              <w:t xml:space="preserve"> is to</w:t>
            </w:r>
            <w:r w:rsidR="00C91C91" w:rsidRPr="00C91C91">
              <w:rPr>
                <w:lang w:val="en-ZA"/>
              </w:rPr>
              <w:t xml:space="preserve"> understand the scope</w:t>
            </w:r>
            <w:r w:rsidR="00C91C91">
              <w:rPr>
                <w:lang w:val="en-ZA"/>
              </w:rPr>
              <w:t xml:space="preserve"> </w:t>
            </w:r>
            <w:r w:rsidR="00C91C91" w:rsidRPr="00C91C91">
              <w:rPr>
                <w:lang w:val="en-ZA"/>
              </w:rPr>
              <w:t>of the work that Property Transactions does</w:t>
            </w:r>
            <w:r w:rsidR="00C91C91">
              <w:rPr>
                <w:lang w:val="en-ZA"/>
              </w:rPr>
              <w:t xml:space="preserve"> and</w:t>
            </w:r>
            <w:r w:rsidR="00C91C91" w:rsidRPr="00C91C91">
              <w:rPr>
                <w:lang w:val="en-ZA"/>
              </w:rPr>
              <w:t xml:space="preserve"> </w:t>
            </w:r>
            <w:r w:rsidR="00C91C91">
              <w:rPr>
                <w:lang w:val="en-ZA"/>
              </w:rPr>
              <w:t>t</w:t>
            </w:r>
            <w:r w:rsidR="00C91C91" w:rsidRPr="00C91C91">
              <w:rPr>
                <w:lang w:val="en-ZA"/>
              </w:rPr>
              <w:t xml:space="preserve">his </w:t>
            </w:r>
            <w:r w:rsidR="00C91C91">
              <w:rPr>
                <w:lang w:val="en-ZA"/>
              </w:rPr>
              <w:t>does</w:t>
            </w:r>
            <w:r w:rsidR="00C91C91" w:rsidRPr="00C91C91">
              <w:rPr>
                <w:lang w:val="en-ZA"/>
              </w:rPr>
              <w:t xml:space="preserve"> not </w:t>
            </w:r>
            <w:r w:rsidR="00B57A74">
              <w:rPr>
                <w:lang w:val="en-ZA"/>
              </w:rPr>
              <w:t xml:space="preserve">include </w:t>
            </w:r>
            <w:r w:rsidR="00C91C91" w:rsidRPr="00C91C91">
              <w:rPr>
                <w:lang w:val="en-ZA"/>
              </w:rPr>
              <w:t xml:space="preserve">human settlements transfers. </w:t>
            </w:r>
            <w:r w:rsidR="007C2939">
              <w:rPr>
                <w:lang w:val="en-ZA"/>
              </w:rPr>
              <w:t>(CS)</w:t>
            </w:r>
          </w:p>
          <w:p w14:paraId="11032E07" w14:textId="3B097339" w:rsidR="00247A6E" w:rsidRPr="00247A6E" w:rsidRDefault="00247A6E" w:rsidP="00D67F10"/>
        </w:tc>
      </w:tr>
    </w:tbl>
    <w:tbl>
      <w:tblPr>
        <w:tblStyle w:val="TableGrid"/>
        <w:tblpPr w:leftFromText="180" w:rightFromText="180" w:vertAnchor="text" w:horzAnchor="margin" w:tblpX="-284" w:tblpY="5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D67F10" w:rsidRPr="002C2E7D" w14:paraId="78092993" w14:textId="77777777" w:rsidTr="00D67F10">
        <w:trPr>
          <w:trHeight w:val="126"/>
        </w:trPr>
        <w:tc>
          <w:tcPr>
            <w:tcW w:w="10065" w:type="dxa"/>
            <w:shd w:val="clear" w:color="auto" w:fill="E0E8F4" w:themeFill="accent6" w:themeFillTint="33"/>
          </w:tcPr>
          <w:p w14:paraId="78F8B373" w14:textId="113C0A54" w:rsidR="00D67F10" w:rsidRPr="002C2E7D" w:rsidRDefault="00D67F10" w:rsidP="00D67F10">
            <w:pPr>
              <w:pStyle w:val="Heading1"/>
              <w:tabs>
                <w:tab w:val="left" w:pos="1140"/>
              </w:tabs>
              <w:ind w:hanging="252"/>
            </w:pPr>
            <w:r>
              <w:t xml:space="preserve">P </w:t>
            </w:r>
            <w:r>
              <w:t>purpose of tender, Service Providers and Rotation</w:t>
            </w:r>
          </w:p>
        </w:tc>
      </w:tr>
      <w:tr w:rsidR="00D67F10" w14:paraId="6600326A" w14:textId="77777777" w:rsidTr="00D67F10">
        <w:trPr>
          <w:trHeight w:val="491"/>
        </w:trPr>
        <w:tc>
          <w:tcPr>
            <w:tcW w:w="10065" w:type="dxa"/>
          </w:tcPr>
          <w:p w14:paraId="128CF4B3" w14:textId="77777777" w:rsidR="00D67F10" w:rsidRDefault="00D67F10" w:rsidP="00D67F10">
            <w:pPr>
              <w:rPr>
                <w:lang w:val="en-ZA"/>
              </w:rPr>
            </w:pPr>
            <w:r>
              <w:rPr>
                <w:lang w:val="en-ZA"/>
              </w:rPr>
              <w:t xml:space="preserve">The </w:t>
            </w:r>
            <w:r w:rsidRPr="00B57A74">
              <w:rPr>
                <w:lang w:val="en-ZA"/>
              </w:rPr>
              <w:t>intention is to appoint a panel of 10 service providers with five alternatives so that there are alternatives available should any of the 10 primary service providers be removed or unable to perform.</w:t>
            </w:r>
            <w:r>
              <w:rPr>
                <w:lang w:val="en-ZA"/>
              </w:rPr>
              <w:t xml:space="preserve"> </w:t>
            </w:r>
            <w:r w:rsidRPr="00B57A74">
              <w:rPr>
                <w:lang w:val="en-ZA"/>
              </w:rPr>
              <w:t xml:space="preserve">These service providers will be providing work on a rotational basis. The order for rotation will be determined in terms of the points score during the tender adjudication process. </w:t>
            </w:r>
            <w:r>
              <w:rPr>
                <w:lang w:val="en-ZA"/>
              </w:rPr>
              <w:t>It</w:t>
            </w:r>
            <w:r w:rsidRPr="00B57A74">
              <w:rPr>
                <w:lang w:val="en-ZA"/>
              </w:rPr>
              <w:t xml:space="preserve"> need</w:t>
            </w:r>
            <w:r>
              <w:rPr>
                <w:lang w:val="en-ZA"/>
              </w:rPr>
              <w:t>s</w:t>
            </w:r>
            <w:r w:rsidRPr="00B57A74">
              <w:rPr>
                <w:lang w:val="en-ZA"/>
              </w:rPr>
              <w:t xml:space="preserve"> to</w:t>
            </w:r>
            <w:r>
              <w:rPr>
                <w:lang w:val="en-ZA"/>
              </w:rPr>
              <w:t xml:space="preserve"> be</w:t>
            </w:r>
            <w:r w:rsidRPr="00B57A74">
              <w:rPr>
                <w:lang w:val="en-ZA"/>
              </w:rPr>
              <w:t xml:space="preserve"> highlight that the </w:t>
            </w:r>
            <w:r>
              <w:rPr>
                <w:lang w:val="en-ZA"/>
              </w:rPr>
              <w:t>C</w:t>
            </w:r>
            <w:r w:rsidRPr="00B57A74">
              <w:rPr>
                <w:lang w:val="en-ZA"/>
              </w:rPr>
              <w:t>ity still reserves the right to deviate from the rotation</w:t>
            </w:r>
            <w:r>
              <w:rPr>
                <w:lang w:val="en-ZA"/>
              </w:rPr>
              <w:t xml:space="preserve"> </w:t>
            </w:r>
            <w:r w:rsidRPr="00B57A74">
              <w:rPr>
                <w:lang w:val="en-ZA"/>
              </w:rPr>
              <w:t>in circumstances where it would be to the benefit of the City or the City's best interest.</w:t>
            </w:r>
            <w:r>
              <w:rPr>
                <w:lang w:val="en-ZA"/>
              </w:rPr>
              <w:t xml:space="preserve"> </w:t>
            </w:r>
            <w:r w:rsidRPr="00B57A74">
              <w:rPr>
                <w:lang w:val="en-ZA"/>
              </w:rPr>
              <w:t xml:space="preserve">These transactions can range anything from </w:t>
            </w:r>
            <w:r>
              <w:rPr>
                <w:lang w:val="en-ZA"/>
              </w:rPr>
              <w:t>R</w:t>
            </w:r>
            <w:r w:rsidRPr="00B57A74">
              <w:rPr>
                <w:lang w:val="en-ZA"/>
              </w:rPr>
              <w:t>1</w:t>
            </w:r>
            <w:r>
              <w:rPr>
                <w:lang w:val="en-ZA"/>
              </w:rPr>
              <w:t> </w:t>
            </w:r>
            <w:r w:rsidRPr="00B57A74">
              <w:rPr>
                <w:lang w:val="en-ZA"/>
              </w:rPr>
              <w:t>000</w:t>
            </w:r>
            <w:r>
              <w:rPr>
                <w:lang w:val="en-ZA"/>
              </w:rPr>
              <w:t>.00</w:t>
            </w:r>
            <w:r w:rsidRPr="00B57A74">
              <w:rPr>
                <w:lang w:val="en-ZA"/>
              </w:rPr>
              <w:t xml:space="preserve"> </w:t>
            </w:r>
            <w:r>
              <w:rPr>
                <w:lang w:val="en-ZA"/>
              </w:rPr>
              <w:t>(thousand rand)</w:t>
            </w:r>
            <w:r w:rsidRPr="00B57A74">
              <w:rPr>
                <w:lang w:val="en-ZA"/>
              </w:rPr>
              <w:t xml:space="preserve"> purchase price to millions of </w:t>
            </w:r>
            <w:r w:rsidRPr="00B57A74">
              <w:rPr>
                <w:lang w:val="en-ZA"/>
              </w:rPr>
              <w:lastRenderedPageBreak/>
              <w:t>rands in purchase prices. So, there's no specific guarantee of what the purchase price will be. There's no guarantee of how m</w:t>
            </w:r>
            <w:r>
              <w:rPr>
                <w:lang w:val="en-ZA"/>
              </w:rPr>
              <w:t>uch</w:t>
            </w:r>
            <w:r w:rsidRPr="00B57A74">
              <w:rPr>
                <w:lang w:val="en-ZA"/>
              </w:rPr>
              <w:t xml:space="preserve"> work you will </w:t>
            </w:r>
            <w:r>
              <w:rPr>
                <w:lang w:val="en-ZA"/>
              </w:rPr>
              <w:t>receive</w:t>
            </w:r>
            <w:r w:rsidRPr="00B57A74">
              <w:rPr>
                <w:lang w:val="en-ZA"/>
              </w:rPr>
              <w:t>.</w:t>
            </w:r>
            <w:r>
              <w:rPr>
                <w:lang w:val="en-ZA"/>
              </w:rPr>
              <w:t xml:space="preserve"> </w:t>
            </w:r>
          </w:p>
          <w:p w14:paraId="05854DA4" w14:textId="43F0FDEB" w:rsidR="00D67F10" w:rsidRPr="001D31F3" w:rsidRDefault="00D67F10" w:rsidP="00D67F10">
            <w:pPr>
              <w:rPr>
                <w:rFonts w:ascii="Century Gothic" w:hAnsi="Century Gothic"/>
                <w:smallCaps/>
              </w:rPr>
            </w:pPr>
          </w:p>
        </w:tc>
      </w:tr>
      <w:tr w:rsidR="00D67F10" w:rsidRPr="002C2E7D" w14:paraId="45B3E5C4" w14:textId="77777777" w:rsidTr="00D67F10">
        <w:trPr>
          <w:trHeight w:val="126"/>
        </w:trPr>
        <w:tc>
          <w:tcPr>
            <w:tcW w:w="10065" w:type="dxa"/>
            <w:shd w:val="clear" w:color="auto" w:fill="E0E8F4" w:themeFill="accent6" w:themeFillTint="33"/>
          </w:tcPr>
          <w:p w14:paraId="309B024C" w14:textId="2659E88F" w:rsidR="00D67F10" w:rsidRPr="002C2E7D" w:rsidRDefault="00D67F10" w:rsidP="00D67F10">
            <w:pPr>
              <w:pStyle w:val="Heading1"/>
              <w:tabs>
                <w:tab w:val="left" w:pos="1140"/>
              </w:tabs>
              <w:ind w:hanging="252"/>
            </w:pPr>
            <w:r>
              <w:lastRenderedPageBreak/>
              <w:t xml:space="preserve">P </w:t>
            </w:r>
            <w:r>
              <w:t>Responsiveness criteria</w:t>
            </w:r>
          </w:p>
        </w:tc>
      </w:tr>
      <w:tr w:rsidR="00D67F10" w14:paraId="446A0D80" w14:textId="77777777" w:rsidTr="00D67F10">
        <w:trPr>
          <w:trHeight w:val="491"/>
        </w:trPr>
        <w:tc>
          <w:tcPr>
            <w:tcW w:w="10065" w:type="dxa"/>
          </w:tcPr>
          <w:p w14:paraId="1977E95D" w14:textId="77777777" w:rsidR="000F5E13" w:rsidRDefault="00D67F10" w:rsidP="00D67F10">
            <w:pPr>
              <w:rPr>
                <w:lang w:val="en-ZA"/>
              </w:rPr>
            </w:pPr>
            <w:r>
              <w:rPr>
                <w:lang w:val="en-ZA"/>
              </w:rPr>
              <w:t xml:space="preserve">For clarity, in order to move to the next stage of scoring there are a certain set of criteria required irt responsiveness. </w:t>
            </w:r>
            <w:r w:rsidRPr="00A531EF">
              <w:rPr>
                <w:lang w:val="en-ZA"/>
              </w:rPr>
              <w:t xml:space="preserve">There are three additional </w:t>
            </w:r>
            <w:r w:rsidRPr="00F47B01">
              <w:rPr>
                <w:b/>
                <w:bCs/>
                <w:lang w:val="en-ZA"/>
              </w:rPr>
              <w:t>responsiveness criteria</w:t>
            </w:r>
            <w:r>
              <w:rPr>
                <w:lang w:val="en-ZA"/>
              </w:rPr>
              <w:t xml:space="preserve"> to be provided. </w:t>
            </w:r>
          </w:p>
          <w:p w14:paraId="47E70411" w14:textId="0493EB7A" w:rsidR="000F5E13" w:rsidRPr="000F5E13" w:rsidRDefault="00D67F10" w:rsidP="000F5E13">
            <w:pPr>
              <w:pStyle w:val="ListParagraph"/>
              <w:numPr>
                <w:ilvl w:val="0"/>
                <w:numId w:val="8"/>
              </w:numPr>
              <w:rPr>
                <w:lang w:val="en-ZA"/>
              </w:rPr>
            </w:pPr>
            <w:r w:rsidRPr="000F5E13">
              <w:rPr>
                <w:lang w:val="en-ZA"/>
              </w:rPr>
              <w:t xml:space="preserve">You absolutely need to have a </w:t>
            </w:r>
            <w:r w:rsidRPr="000F5E13">
              <w:rPr>
                <w:b/>
                <w:bCs/>
                <w:lang w:val="en-ZA"/>
              </w:rPr>
              <w:t>Fidelity Fund certificate</w:t>
            </w:r>
            <w:r w:rsidRPr="000F5E13">
              <w:rPr>
                <w:lang w:val="en-ZA"/>
              </w:rPr>
              <w:t xml:space="preserve">. Not every practitioner is required to have one. However, the firm that is the tendering entity needs to have a Fidelity Fund certificate available so that we know that there's somebody taking responsibility for the trust account.  </w:t>
            </w:r>
          </w:p>
          <w:p w14:paraId="5831FA28" w14:textId="77777777" w:rsidR="00A0486D" w:rsidRPr="00A0486D" w:rsidRDefault="00D67F10" w:rsidP="000F5E13">
            <w:pPr>
              <w:pStyle w:val="ListParagraph"/>
              <w:numPr>
                <w:ilvl w:val="0"/>
                <w:numId w:val="8"/>
              </w:numPr>
              <w:rPr>
                <w:rFonts w:ascii="Century Gothic" w:hAnsi="Century Gothic"/>
                <w:smallCaps/>
              </w:rPr>
            </w:pPr>
            <w:r w:rsidRPr="000F5E13">
              <w:rPr>
                <w:lang w:val="en-ZA"/>
              </w:rPr>
              <w:t xml:space="preserve">We need a </w:t>
            </w:r>
            <w:r w:rsidR="000F5E13" w:rsidRPr="00A0486D">
              <w:rPr>
                <w:b/>
                <w:bCs/>
                <w:lang w:val="en-ZA"/>
              </w:rPr>
              <w:t>C</w:t>
            </w:r>
            <w:r w:rsidRPr="00A0486D">
              <w:rPr>
                <w:b/>
                <w:bCs/>
                <w:lang w:val="en-ZA"/>
              </w:rPr>
              <w:t>ertif</w:t>
            </w:r>
            <w:r w:rsidRPr="000F5E13">
              <w:rPr>
                <w:b/>
                <w:bCs/>
                <w:lang w:val="en-ZA"/>
              </w:rPr>
              <w:t xml:space="preserve">icate of </w:t>
            </w:r>
            <w:r w:rsidR="000F5E13">
              <w:rPr>
                <w:b/>
                <w:bCs/>
                <w:lang w:val="en-ZA"/>
              </w:rPr>
              <w:t>G</w:t>
            </w:r>
            <w:r w:rsidRPr="000F5E13">
              <w:rPr>
                <w:b/>
                <w:bCs/>
                <w:lang w:val="en-ZA"/>
              </w:rPr>
              <w:t>ood standing from the LPC</w:t>
            </w:r>
            <w:r w:rsidRPr="000F5E13">
              <w:rPr>
                <w:lang w:val="en-ZA"/>
              </w:rPr>
              <w:t xml:space="preserve">. This applies to the lead conveyancer and any other conveyancers that you list as additional resources. </w:t>
            </w:r>
          </w:p>
          <w:p w14:paraId="1971F8FF" w14:textId="0384F0C4" w:rsidR="00D67F10" w:rsidRPr="000F5E13" w:rsidRDefault="00D67F10" w:rsidP="000F5E13">
            <w:pPr>
              <w:pStyle w:val="ListParagraph"/>
              <w:numPr>
                <w:ilvl w:val="0"/>
                <w:numId w:val="8"/>
              </w:numPr>
              <w:rPr>
                <w:rFonts w:ascii="Century Gothic" w:hAnsi="Century Gothic"/>
                <w:smallCaps/>
              </w:rPr>
            </w:pPr>
            <w:r w:rsidRPr="000F5E13">
              <w:rPr>
                <w:lang w:val="en-ZA"/>
              </w:rPr>
              <w:t xml:space="preserve">We also need your </w:t>
            </w:r>
            <w:r w:rsidR="00A0486D" w:rsidRPr="00A0486D">
              <w:rPr>
                <w:b/>
                <w:bCs/>
                <w:lang w:val="en-ZA"/>
              </w:rPr>
              <w:t>C</w:t>
            </w:r>
            <w:r w:rsidRPr="00A0486D">
              <w:rPr>
                <w:b/>
                <w:bCs/>
                <w:color w:val="auto"/>
                <w:lang w:val="en-ZA"/>
              </w:rPr>
              <w:t>o</w:t>
            </w:r>
            <w:r w:rsidRPr="000F5E13">
              <w:rPr>
                <w:b/>
                <w:bCs/>
                <w:color w:val="auto"/>
                <w:lang w:val="en-ZA"/>
              </w:rPr>
              <w:t xml:space="preserve">nveyance </w:t>
            </w:r>
            <w:r w:rsidR="00A0486D">
              <w:rPr>
                <w:b/>
                <w:bCs/>
                <w:color w:val="auto"/>
                <w:lang w:val="en-ZA"/>
              </w:rPr>
              <w:t>A</w:t>
            </w:r>
            <w:r w:rsidRPr="000F5E13">
              <w:rPr>
                <w:b/>
                <w:bCs/>
                <w:color w:val="auto"/>
                <w:lang w:val="en-ZA"/>
              </w:rPr>
              <w:t xml:space="preserve">dmission </w:t>
            </w:r>
            <w:r w:rsidR="00F142F2">
              <w:rPr>
                <w:color w:val="auto"/>
                <w:lang w:val="en-ZA"/>
              </w:rPr>
              <w:t xml:space="preserve">which </w:t>
            </w:r>
            <w:r w:rsidR="00F142F2">
              <w:rPr>
                <w:lang w:val="en-ZA"/>
              </w:rPr>
              <w:t>is</w:t>
            </w:r>
            <w:r w:rsidRPr="000F5E13">
              <w:rPr>
                <w:lang w:val="en-ZA"/>
              </w:rPr>
              <w:t xml:space="preserve"> your court order </w:t>
            </w:r>
            <w:r w:rsidR="00F142F2">
              <w:rPr>
                <w:lang w:val="en-ZA"/>
              </w:rPr>
              <w:t xml:space="preserve">confirming </w:t>
            </w:r>
            <w:r w:rsidRPr="000F5E13">
              <w:rPr>
                <w:lang w:val="en-ZA"/>
              </w:rPr>
              <w:t>that you've been admitted as a conveyancer. (</w:t>
            </w:r>
            <w:r>
              <w:t>CS)</w:t>
            </w:r>
          </w:p>
        </w:tc>
      </w:tr>
    </w:tbl>
    <w:p w14:paraId="4E91E2F1" w14:textId="77777777" w:rsidR="00BF320D" w:rsidRDefault="00BF320D" w:rsidP="00BF320D"/>
    <w:tbl>
      <w:tblPr>
        <w:tblStyle w:val="TableGrid"/>
        <w:tblW w:w="9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0"/>
      </w:tblGrid>
      <w:tr w:rsidR="00BF320D" w14:paraId="6B079F9F" w14:textId="77777777" w:rsidTr="003202E0">
        <w:trPr>
          <w:trHeight w:val="411"/>
        </w:trPr>
        <w:tc>
          <w:tcPr>
            <w:tcW w:w="9368" w:type="dxa"/>
            <w:shd w:val="clear" w:color="auto" w:fill="E0E8F4" w:themeFill="accent6" w:themeFillTint="33"/>
          </w:tcPr>
          <w:p w14:paraId="72135743" w14:textId="55D25FF1" w:rsidR="00BF320D" w:rsidRDefault="00831CFF" w:rsidP="00BF320D">
            <w:pPr>
              <w:pStyle w:val="Heading1"/>
            </w:pPr>
            <w:r>
              <w:t>SCORING FUNTIONALITY</w:t>
            </w:r>
          </w:p>
        </w:tc>
      </w:tr>
      <w:tr w:rsidR="00BF320D" w14:paraId="57AF2F2A" w14:textId="77777777" w:rsidTr="003202E0">
        <w:trPr>
          <w:trHeight w:val="624"/>
        </w:trPr>
        <w:tc>
          <w:tcPr>
            <w:tcW w:w="9368" w:type="dxa"/>
          </w:tcPr>
          <w:p w14:paraId="4C72D65E" w14:textId="77777777" w:rsidR="00076706" w:rsidRDefault="00831CFF" w:rsidP="00EE166C">
            <w:pPr>
              <w:spacing w:after="120"/>
              <w:ind w:left="32"/>
              <w:jc w:val="both"/>
              <w:rPr>
                <w:lang w:val="en-ZA"/>
              </w:rPr>
            </w:pPr>
            <w:r w:rsidRPr="00831CFF">
              <w:rPr>
                <w:lang w:val="en-ZA"/>
              </w:rPr>
              <w:t xml:space="preserve">Functionality scoring is as three aspects. </w:t>
            </w:r>
          </w:p>
          <w:p w14:paraId="6C3BAD77" w14:textId="50FE9E37" w:rsidR="00076706" w:rsidRDefault="00831CFF" w:rsidP="00EE166C">
            <w:pPr>
              <w:spacing w:after="120"/>
              <w:ind w:left="32"/>
              <w:jc w:val="both"/>
            </w:pPr>
            <w:r w:rsidRPr="00831CFF">
              <w:rPr>
                <w:lang w:val="en-ZA"/>
              </w:rPr>
              <w:t xml:space="preserve">Firstly, we look at the </w:t>
            </w:r>
            <w:r w:rsidRPr="00076706">
              <w:rPr>
                <w:b/>
                <w:bCs/>
                <w:lang w:val="en-ZA"/>
              </w:rPr>
              <w:t>years of experience of the lead conveyancer</w:t>
            </w:r>
            <w:r w:rsidRPr="00831CFF">
              <w:rPr>
                <w:lang w:val="en-ZA"/>
              </w:rPr>
              <w:t>. There's a maximum of 30 points that can be obtained for the years of experience, and it is allocated as two points per years of experience.</w:t>
            </w:r>
            <w:r w:rsidRPr="00831CFF">
              <w:t xml:space="preserve"> </w:t>
            </w:r>
          </w:p>
          <w:p w14:paraId="25FB64A4" w14:textId="77777777" w:rsidR="00076706" w:rsidRDefault="00831CFF" w:rsidP="00EE166C">
            <w:pPr>
              <w:spacing w:after="120"/>
              <w:ind w:left="32"/>
              <w:jc w:val="both"/>
              <w:rPr>
                <w:lang w:val="en-ZA"/>
              </w:rPr>
            </w:pPr>
            <w:r w:rsidRPr="00831CFF">
              <w:rPr>
                <w:lang w:val="en-ZA"/>
              </w:rPr>
              <w:t xml:space="preserve">Secondly, we look at what </w:t>
            </w:r>
            <w:r w:rsidRPr="00076706">
              <w:rPr>
                <w:b/>
                <w:bCs/>
                <w:lang w:val="en-ZA"/>
              </w:rPr>
              <w:t>local government transfers</w:t>
            </w:r>
            <w:r w:rsidRPr="00831CFF">
              <w:rPr>
                <w:lang w:val="en-ZA"/>
              </w:rPr>
              <w:t xml:space="preserve"> you have done. That is to a maximum of 30 points, which is allocated one point per transfer. </w:t>
            </w:r>
          </w:p>
          <w:p w14:paraId="6C9C853A" w14:textId="77777777" w:rsidR="00F31DB4" w:rsidRDefault="00831CFF" w:rsidP="00EE166C">
            <w:pPr>
              <w:spacing w:after="120"/>
              <w:ind w:left="32"/>
              <w:jc w:val="both"/>
            </w:pPr>
            <w:r>
              <w:rPr>
                <w:lang w:val="en-ZA"/>
              </w:rPr>
              <w:t>T</w:t>
            </w:r>
            <w:r w:rsidRPr="00831CFF">
              <w:rPr>
                <w:lang w:val="en-ZA"/>
              </w:rPr>
              <w:t xml:space="preserve">hirdly, we look at </w:t>
            </w:r>
            <w:r w:rsidRPr="00076706">
              <w:rPr>
                <w:b/>
                <w:bCs/>
                <w:lang w:val="en-ZA"/>
              </w:rPr>
              <w:t>non-local government transfers</w:t>
            </w:r>
            <w:r w:rsidRPr="00831CFF">
              <w:rPr>
                <w:lang w:val="en-ZA"/>
              </w:rPr>
              <w:t xml:space="preserve"> to a maximum point allocation of 40</w:t>
            </w:r>
            <w:r>
              <w:rPr>
                <w:lang w:val="en-ZA"/>
              </w:rPr>
              <w:t>,</w:t>
            </w:r>
            <w:r w:rsidRPr="00831CFF">
              <w:rPr>
                <w:lang w:val="en-ZA"/>
              </w:rPr>
              <w:t xml:space="preserve"> with one point per transfer.</w:t>
            </w:r>
            <w:r w:rsidRPr="00831CFF">
              <w:t xml:space="preserve"> </w:t>
            </w:r>
          </w:p>
          <w:p w14:paraId="0BB52617" w14:textId="77777777" w:rsidR="00F31DB4" w:rsidRDefault="000667A1" w:rsidP="00EE166C">
            <w:pPr>
              <w:spacing w:after="120"/>
              <w:ind w:left="32"/>
              <w:jc w:val="both"/>
              <w:rPr>
                <w:lang w:val="en-ZA"/>
              </w:rPr>
            </w:pPr>
            <w:r>
              <w:t>You</w:t>
            </w:r>
            <w:r w:rsidR="00831CFF" w:rsidRPr="00831CFF">
              <w:rPr>
                <w:lang w:val="en-ZA"/>
              </w:rPr>
              <w:t xml:space="preserve"> </w:t>
            </w:r>
            <w:r>
              <w:rPr>
                <w:lang w:val="en-ZA"/>
              </w:rPr>
              <w:t xml:space="preserve">do </w:t>
            </w:r>
            <w:r w:rsidR="00831CFF" w:rsidRPr="00831CFF">
              <w:rPr>
                <w:lang w:val="en-ZA"/>
              </w:rPr>
              <w:t>require a minimum score of 60 to qualify as functional for this tender</w:t>
            </w:r>
            <w:r w:rsidR="00831CFF">
              <w:rPr>
                <w:lang w:val="en-ZA"/>
              </w:rPr>
              <w:t>’s</w:t>
            </w:r>
            <w:r w:rsidR="00831CFF" w:rsidRPr="00831CFF">
              <w:rPr>
                <w:lang w:val="en-ZA"/>
              </w:rPr>
              <w:t xml:space="preserve"> purposes. </w:t>
            </w:r>
          </w:p>
          <w:p w14:paraId="59BAF8D5" w14:textId="7C982A87" w:rsidR="00EE166C" w:rsidRDefault="00831CFF" w:rsidP="00EE166C">
            <w:pPr>
              <w:spacing w:after="120"/>
              <w:ind w:left="32"/>
              <w:jc w:val="both"/>
              <w:rPr>
                <w:lang w:val="en-ZA"/>
              </w:rPr>
            </w:pPr>
            <w:r w:rsidRPr="00F31DB4">
              <w:rPr>
                <w:b/>
                <w:bCs/>
                <w:lang w:val="en-ZA"/>
              </w:rPr>
              <w:t>Please note, for these transfers, we only look at actual transfers.</w:t>
            </w:r>
            <w:r w:rsidRPr="00831CFF">
              <w:rPr>
                <w:lang w:val="en-ZA"/>
              </w:rPr>
              <w:t xml:space="preserve"> No VAs, no bonds</w:t>
            </w:r>
            <w:r w:rsidR="00E54CCD">
              <w:rPr>
                <w:lang w:val="en-ZA"/>
              </w:rPr>
              <w:t>. O</w:t>
            </w:r>
            <w:r w:rsidR="00E54CCD" w:rsidRPr="00E54CCD">
              <w:rPr>
                <w:lang w:val="en-ZA"/>
              </w:rPr>
              <w:t xml:space="preserve">nly transfers will be considered as an actual matter for </w:t>
            </w:r>
            <w:r w:rsidR="00EE166C">
              <w:rPr>
                <w:lang w:val="en-ZA"/>
              </w:rPr>
              <w:t>purposes of scoring</w:t>
            </w:r>
            <w:r w:rsidR="00E54CCD">
              <w:rPr>
                <w:lang w:val="en-ZA"/>
              </w:rPr>
              <w:t>, nothing else</w:t>
            </w:r>
            <w:r w:rsidR="00E54CCD" w:rsidRPr="00E54CCD">
              <w:rPr>
                <w:lang w:val="en-ZA"/>
              </w:rPr>
              <w:t xml:space="preserve">. </w:t>
            </w:r>
          </w:p>
          <w:p w14:paraId="145EFDE3" w14:textId="65E693A4" w:rsidR="0025263C" w:rsidRDefault="000667A1" w:rsidP="00EE166C">
            <w:pPr>
              <w:spacing w:after="120"/>
              <w:ind w:left="32"/>
              <w:jc w:val="both"/>
              <w:rPr>
                <w:lang w:val="en-ZA"/>
              </w:rPr>
            </w:pPr>
            <w:r>
              <w:rPr>
                <w:lang w:val="en-ZA"/>
              </w:rPr>
              <w:t>E</w:t>
            </w:r>
            <w:r w:rsidRPr="00E54CCD">
              <w:rPr>
                <w:lang w:val="en-ZA"/>
              </w:rPr>
              <w:t>nsure</w:t>
            </w:r>
            <w:r w:rsidR="00E54CCD" w:rsidRPr="00E54CCD">
              <w:rPr>
                <w:lang w:val="en-ZA"/>
              </w:rPr>
              <w:t xml:space="preserve"> that you include your local government and non-local government transfers on the correct documents. If you are including your non-local government</w:t>
            </w:r>
            <w:r w:rsidR="00831CFF" w:rsidRPr="00831CFF">
              <w:t xml:space="preserve"> </w:t>
            </w:r>
            <w:r w:rsidR="00F44B23" w:rsidRPr="00F44B23">
              <w:rPr>
                <w:lang w:val="en-ZA"/>
              </w:rPr>
              <w:t>transactions in your local government transactions list, we cannot consider it and vice versa</w:t>
            </w:r>
            <w:r>
              <w:rPr>
                <w:lang w:val="en-ZA"/>
              </w:rPr>
              <w:t xml:space="preserve">. </w:t>
            </w:r>
          </w:p>
          <w:p w14:paraId="6D7EAE98" w14:textId="77777777" w:rsidR="0025263C" w:rsidRDefault="0025263C" w:rsidP="00EE166C">
            <w:pPr>
              <w:spacing w:after="120"/>
              <w:ind w:left="32"/>
              <w:jc w:val="both"/>
              <w:rPr>
                <w:lang w:val="en-ZA"/>
              </w:rPr>
            </w:pPr>
          </w:p>
          <w:p w14:paraId="2CBEE641" w14:textId="152693C1" w:rsidR="00DB4E56" w:rsidRDefault="000667A1" w:rsidP="00EE166C">
            <w:pPr>
              <w:spacing w:after="120"/>
              <w:ind w:left="32"/>
              <w:jc w:val="both"/>
            </w:pPr>
            <w:r>
              <w:rPr>
                <w:lang w:val="en-ZA"/>
              </w:rPr>
              <w:t>Also note and ensure in addition to that</w:t>
            </w:r>
            <w:r w:rsidRPr="000667A1">
              <w:rPr>
                <w:lang w:val="en-ZA"/>
              </w:rPr>
              <w:t>, a local government or local authority must be a party to a transaction for your local government transactions.</w:t>
            </w:r>
            <w:r w:rsidR="00DE5882">
              <w:rPr>
                <w:lang w:val="en-ZA"/>
              </w:rPr>
              <w:t xml:space="preserve"> Meaning</w:t>
            </w:r>
            <w:r w:rsidR="00DE5882" w:rsidRPr="00DE5882">
              <w:rPr>
                <w:lang w:val="en-ZA"/>
              </w:rPr>
              <w:t xml:space="preserve">, it must be a municipality. No other government institutions, no housing agencies, no state-owned entities. It must be a local authority. </w:t>
            </w:r>
            <w:r w:rsidR="008033E5">
              <w:rPr>
                <w:lang w:val="en-ZA"/>
              </w:rPr>
              <w:t>Therefore,</w:t>
            </w:r>
            <w:r w:rsidR="00DE5882" w:rsidRPr="00DE5882">
              <w:rPr>
                <w:lang w:val="en-ZA"/>
              </w:rPr>
              <w:t xml:space="preserve"> if the municipality is not a party to the transaction,</w:t>
            </w:r>
            <w:r w:rsidR="00DE5882">
              <w:rPr>
                <w:lang w:val="en-ZA"/>
              </w:rPr>
              <w:t xml:space="preserve"> </w:t>
            </w:r>
            <w:r w:rsidR="00DE5882" w:rsidRPr="00DE5882">
              <w:rPr>
                <w:lang w:val="en-ZA"/>
              </w:rPr>
              <w:t>it will not count as a local government transaction. If there is a managing agent that you ha</w:t>
            </w:r>
            <w:r w:rsidR="00DE5882">
              <w:rPr>
                <w:lang w:val="en-ZA"/>
              </w:rPr>
              <w:t xml:space="preserve">ve </w:t>
            </w:r>
            <w:r w:rsidR="00DE5882" w:rsidRPr="00DE5882">
              <w:rPr>
                <w:lang w:val="en-ZA"/>
              </w:rPr>
              <w:t>done human settlements transfers</w:t>
            </w:r>
            <w:r w:rsidR="008033E5">
              <w:rPr>
                <w:lang w:val="en-ZA"/>
              </w:rPr>
              <w:t xml:space="preserve"> for</w:t>
            </w:r>
            <w:r w:rsidR="00DE5882" w:rsidRPr="00DE5882">
              <w:rPr>
                <w:lang w:val="en-ZA"/>
              </w:rPr>
              <w:t xml:space="preserve">, include a description </w:t>
            </w:r>
            <w:r w:rsidR="00DE5882">
              <w:rPr>
                <w:lang w:val="en-ZA"/>
              </w:rPr>
              <w:t>which</w:t>
            </w:r>
            <w:r w:rsidR="00DE5882" w:rsidRPr="00DE5882">
              <w:rPr>
                <w:lang w:val="en-ZA"/>
              </w:rPr>
              <w:t xml:space="preserve"> explains why that managing agent is a representative </w:t>
            </w:r>
            <w:r w:rsidR="006E0ADE">
              <w:rPr>
                <w:lang w:val="en-ZA"/>
              </w:rPr>
              <w:t>of/</w:t>
            </w:r>
            <w:r w:rsidR="00DE5882" w:rsidRPr="00DE5882">
              <w:rPr>
                <w:lang w:val="en-ZA"/>
              </w:rPr>
              <w:t>or as good as the local authority.</w:t>
            </w:r>
            <w:r>
              <w:rPr>
                <w:lang w:val="en-ZA"/>
              </w:rPr>
              <w:t xml:space="preserve"> </w:t>
            </w:r>
            <w:r>
              <w:t>(</w:t>
            </w:r>
            <w:r w:rsidR="00DB4E56">
              <w:t>CS)</w:t>
            </w:r>
          </w:p>
          <w:p w14:paraId="50C7C2D3" w14:textId="77777777" w:rsidR="00C55C46" w:rsidRDefault="00C55C46" w:rsidP="00EE166C">
            <w:pPr>
              <w:spacing w:after="120"/>
              <w:ind w:left="32"/>
              <w:jc w:val="both"/>
            </w:pPr>
          </w:p>
          <w:tbl>
            <w:tblPr>
              <w:tblStyle w:val="TableGrid"/>
              <w:tblW w:w="9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4"/>
            </w:tblGrid>
            <w:tr w:rsidR="00DB4E56" w14:paraId="743A952D" w14:textId="77777777" w:rsidTr="00B05045">
              <w:trPr>
                <w:trHeight w:val="286"/>
              </w:trPr>
              <w:tc>
                <w:tcPr>
                  <w:tcW w:w="9394" w:type="dxa"/>
                  <w:shd w:val="clear" w:color="auto" w:fill="E0E8F4" w:themeFill="accent6" w:themeFillTint="33"/>
                </w:tcPr>
                <w:p w14:paraId="3294096E" w14:textId="3C567AC5" w:rsidR="00DB4E56" w:rsidRDefault="00797023" w:rsidP="00EE166C">
                  <w:pPr>
                    <w:pStyle w:val="Heading1"/>
                    <w:ind w:left="32"/>
                    <w:jc w:val="both"/>
                  </w:pPr>
                  <w:r>
                    <w:t>PRICING SCHEDULES</w:t>
                  </w:r>
                </w:p>
              </w:tc>
            </w:tr>
          </w:tbl>
          <w:p w14:paraId="360778B9" w14:textId="4D6A9CBF" w:rsidR="00DB4E56" w:rsidRDefault="00DB4E56" w:rsidP="00EE166C">
            <w:pPr>
              <w:spacing w:after="120"/>
              <w:ind w:left="32"/>
              <w:jc w:val="both"/>
            </w:pPr>
          </w:p>
        </w:tc>
      </w:tr>
    </w:tbl>
    <w:p w14:paraId="0453F3D2" w14:textId="6AC34BAC" w:rsidR="0025263C" w:rsidRDefault="00B3232D" w:rsidP="0006695C">
      <w:pPr>
        <w:ind w:left="142" w:hanging="142"/>
        <w:jc w:val="both"/>
        <w:rPr>
          <w:lang w:val="en-ZA"/>
        </w:rPr>
      </w:pPr>
      <w:r>
        <w:t xml:space="preserve">  </w:t>
      </w:r>
      <w:r w:rsidR="003E638A" w:rsidRPr="003E638A">
        <w:rPr>
          <w:lang w:val="en-ZA"/>
        </w:rPr>
        <w:t>The tariff guidelines as provided by the LPC is</w:t>
      </w:r>
      <w:r w:rsidR="00F707B1">
        <w:rPr>
          <w:lang w:val="en-ZA"/>
        </w:rPr>
        <w:t xml:space="preserve"> a</w:t>
      </w:r>
      <w:r w:rsidR="003E638A" w:rsidRPr="003E638A">
        <w:rPr>
          <w:lang w:val="en-ZA"/>
        </w:rPr>
        <w:t xml:space="preserve"> definite reference used when we </w:t>
      </w:r>
      <w:r w:rsidR="003E638A">
        <w:rPr>
          <w:lang w:val="en-ZA"/>
        </w:rPr>
        <w:t>drafted</w:t>
      </w:r>
      <w:r w:rsidR="003E638A" w:rsidRPr="003E638A">
        <w:rPr>
          <w:lang w:val="en-ZA"/>
        </w:rPr>
        <w:t xml:space="preserve"> the pricing schedule</w:t>
      </w:r>
      <w:r w:rsidR="003E638A">
        <w:rPr>
          <w:lang w:val="en-ZA"/>
        </w:rPr>
        <w:t>. Use this for</w:t>
      </w:r>
      <w:r w:rsidR="003E638A" w:rsidRPr="003E638A">
        <w:rPr>
          <w:lang w:val="en-ZA"/>
        </w:rPr>
        <w:t xml:space="preserve"> your benefit to</w:t>
      </w:r>
      <w:r w:rsidR="003E638A">
        <w:rPr>
          <w:lang w:val="en-ZA"/>
        </w:rPr>
        <w:t xml:space="preserve"> assist</w:t>
      </w:r>
      <w:r w:rsidR="003E638A" w:rsidRPr="003E638A">
        <w:rPr>
          <w:lang w:val="en-ZA"/>
        </w:rPr>
        <w:t xml:space="preserve"> you while you are</w:t>
      </w:r>
      <w:r w:rsidR="003E638A">
        <w:rPr>
          <w:lang w:val="en-ZA"/>
        </w:rPr>
        <w:t xml:space="preserve"> </w:t>
      </w:r>
      <w:r w:rsidR="003E638A" w:rsidRPr="003E638A">
        <w:rPr>
          <w:lang w:val="en-ZA"/>
        </w:rPr>
        <w:t>completing your pricing schedule.</w:t>
      </w:r>
      <w:r w:rsidR="00556A83">
        <w:rPr>
          <w:lang w:val="en-ZA"/>
        </w:rPr>
        <w:t xml:space="preserve"> </w:t>
      </w:r>
      <w:r w:rsidR="00556A83" w:rsidRPr="00556A83">
        <w:rPr>
          <w:lang w:val="en-ZA"/>
        </w:rPr>
        <w:t>Please be advised</w:t>
      </w:r>
      <w:r w:rsidR="00556A83">
        <w:rPr>
          <w:lang w:val="en-ZA"/>
        </w:rPr>
        <w:t xml:space="preserve"> to i</w:t>
      </w:r>
      <w:r w:rsidR="00556A83" w:rsidRPr="00556A83">
        <w:rPr>
          <w:lang w:val="en-ZA"/>
        </w:rPr>
        <w:t xml:space="preserve">nclude your prices in a </w:t>
      </w:r>
      <w:r w:rsidR="00556A83" w:rsidRPr="004618AD">
        <w:rPr>
          <w:b/>
          <w:bCs/>
          <w:lang w:val="en-ZA"/>
        </w:rPr>
        <w:t>rand value</w:t>
      </w:r>
      <w:r w:rsidR="00556A83">
        <w:rPr>
          <w:lang w:val="en-ZA"/>
        </w:rPr>
        <w:t>, i</w:t>
      </w:r>
      <w:r w:rsidR="00556A83" w:rsidRPr="00556A83">
        <w:rPr>
          <w:lang w:val="en-ZA"/>
        </w:rPr>
        <w:t>f it is not in a rand value you have not complied and you</w:t>
      </w:r>
      <w:r w:rsidR="00556A83">
        <w:rPr>
          <w:lang w:val="en-ZA"/>
        </w:rPr>
        <w:t>r</w:t>
      </w:r>
      <w:r w:rsidR="00556A83" w:rsidRPr="00556A83">
        <w:rPr>
          <w:lang w:val="en-ZA"/>
        </w:rPr>
        <w:t xml:space="preserve"> pricing schedule</w:t>
      </w:r>
      <w:r w:rsidR="00556A83">
        <w:rPr>
          <w:lang w:val="en-ZA"/>
        </w:rPr>
        <w:t xml:space="preserve"> are</w:t>
      </w:r>
      <w:r w:rsidR="00556A83" w:rsidRPr="00556A83">
        <w:rPr>
          <w:lang w:val="en-ZA"/>
        </w:rPr>
        <w:t xml:space="preserve"> </w:t>
      </w:r>
      <w:r w:rsidR="00556A83">
        <w:rPr>
          <w:lang w:val="en-ZA"/>
        </w:rPr>
        <w:t>thus in</w:t>
      </w:r>
      <w:r w:rsidR="00556A83" w:rsidRPr="00556A83">
        <w:rPr>
          <w:lang w:val="en-ZA"/>
        </w:rPr>
        <w:t>correct</w:t>
      </w:r>
      <w:r w:rsidR="00556A83">
        <w:rPr>
          <w:lang w:val="en-ZA"/>
        </w:rPr>
        <w:t xml:space="preserve">ly </w:t>
      </w:r>
      <w:r w:rsidR="00556A83">
        <w:rPr>
          <w:lang w:val="en-ZA"/>
        </w:rPr>
        <w:lastRenderedPageBreak/>
        <w:t>completed</w:t>
      </w:r>
      <w:r w:rsidR="00556A83" w:rsidRPr="00556A83">
        <w:rPr>
          <w:lang w:val="en-ZA"/>
        </w:rPr>
        <w:t>.</w:t>
      </w:r>
      <w:r w:rsidR="00556A83">
        <w:rPr>
          <w:lang w:val="en-ZA"/>
        </w:rPr>
        <w:t xml:space="preserve"> </w:t>
      </w:r>
      <w:r w:rsidR="009438E1">
        <w:rPr>
          <w:lang w:val="en-ZA"/>
        </w:rPr>
        <w:t xml:space="preserve">Also make sure you look at the unit we are asking of pricing </w:t>
      </w:r>
      <w:r w:rsidR="0006695C">
        <w:rPr>
          <w:lang w:val="en-ZA"/>
        </w:rPr>
        <w:t xml:space="preserve">which </w:t>
      </w:r>
      <w:r w:rsidR="0006695C" w:rsidRPr="0006695C">
        <w:rPr>
          <w:color w:val="auto"/>
          <w:lang w:val="en-ZA"/>
        </w:rPr>
        <w:t>is</w:t>
      </w:r>
      <w:r w:rsidR="00556A83" w:rsidRPr="0006695C">
        <w:rPr>
          <w:color w:val="auto"/>
          <w:lang w:val="en-ZA"/>
        </w:rPr>
        <w:t xml:space="preserve"> asked for. </w:t>
      </w:r>
      <w:r w:rsidR="0006695C" w:rsidRPr="0006695C">
        <w:rPr>
          <w:color w:val="auto"/>
          <w:lang w:val="en-ZA"/>
        </w:rPr>
        <w:t xml:space="preserve">Your price </w:t>
      </w:r>
      <w:r w:rsidR="00556A83" w:rsidRPr="0006695C">
        <w:rPr>
          <w:color w:val="auto"/>
          <w:lang w:val="en-ZA"/>
        </w:rPr>
        <w:t xml:space="preserve">will be a rand value, but it might be per investment, per certificate. </w:t>
      </w:r>
      <w:r w:rsidR="00556A83">
        <w:rPr>
          <w:lang w:val="en-ZA"/>
        </w:rPr>
        <w:t>B</w:t>
      </w:r>
      <w:r w:rsidR="00556A83" w:rsidRPr="00556A83">
        <w:rPr>
          <w:lang w:val="en-ZA"/>
        </w:rPr>
        <w:t xml:space="preserve">e </w:t>
      </w:r>
      <w:r w:rsidR="00556A83">
        <w:rPr>
          <w:lang w:val="en-ZA"/>
        </w:rPr>
        <w:t xml:space="preserve">mindful as </w:t>
      </w:r>
      <w:r w:rsidR="00556A83" w:rsidRPr="00556A83">
        <w:rPr>
          <w:lang w:val="en-ZA"/>
        </w:rPr>
        <w:t>to what the unit of pricing is that we are looking for.</w:t>
      </w:r>
      <w:r w:rsidR="00F707B1">
        <w:rPr>
          <w:lang w:val="en-ZA"/>
        </w:rPr>
        <w:t xml:space="preserve"> L</w:t>
      </w:r>
      <w:r w:rsidR="00F707B1" w:rsidRPr="00F707B1">
        <w:rPr>
          <w:lang w:val="en-ZA"/>
        </w:rPr>
        <w:t>eave</w:t>
      </w:r>
      <w:r w:rsidR="002C0D01">
        <w:rPr>
          <w:lang w:val="en-ZA"/>
        </w:rPr>
        <w:t xml:space="preserve"> no blank</w:t>
      </w:r>
      <w:r w:rsidR="00F707B1" w:rsidRPr="00F707B1">
        <w:rPr>
          <w:lang w:val="en-ZA"/>
        </w:rPr>
        <w:t xml:space="preserve"> spaces. If you do</w:t>
      </w:r>
      <w:r w:rsidR="002C0D01">
        <w:rPr>
          <w:lang w:val="en-ZA"/>
        </w:rPr>
        <w:t xml:space="preserve"> not</w:t>
      </w:r>
      <w:r w:rsidR="00F707B1" w:rsidRPr="00F707B1">
        <w:rPr>
          <w:lang w:val="en-ZA"/>
        </w:rPr>
        <w:t xml:space="preserve"> want to charge the </w:t>
      </w:r>
      <w:r w:rsidR="002C0D01">
        <w:rPr>
          <w:lang w:val="en-ZA"/>
        </w:rPr>
        <w:t>City</w:t>
      </w:r>
      <w:r w:rsidR="00F707B1" w:rsidRPr="00F707B1">
        <w:rPr>
          <w:lang w:val="en-ZA"/>
        </w:rPr>
        <w:t xml:space="preserve"> for </w:t>
      </w:r>
      <w:r w:rsidR="002C0D01">
        <w:rPr>
          <w:lang w:val="en-ZA"/>
        </w:rPr>
        <w:t>a service</w:t>
      </w:r>
      <w:r w:rsidR="00F707B1" w:rsidRPr="00F707B1">
        <w:rPr>
          <w:lang w:val="en-ZA"/>
        </w:rPr>
        <w:t xml:space="preserve">, </w:t>
      </w:r>
      <w:r w:rsidR="002C0D01">
        <w:rPr>
          <w:lang w:val="en-ZA"/>
        </w:rPr>
        <w:t>indicate with</w:t>
      </w:r>
      <w:r w:rsidR="00F707B1" w:rsidRPr="00F707B1">
        <w:rPr>
          <w:lang w:val="en-ZA"/>
        </w:rPr>
        <w:t xml:space="preserve"> a null value</w:t>
      </w:r>
      <w:r w:rsidR="002C0D01">
        <w:rPr>
          <w:lang w:val="en-ZA"/>
        </w:rPr>
        <w:t>. Blank</w:t>
      </w:r>
      <w:r w:rsidR="00F707B1" w:rsidRPr="00F707B1">
        <w:rPr>
          <w:lang w:val="en-ZA"/>
        </w:rPr>
        <w:t xml:space="preserve"> spaces </w:t>
      </w:r>
      <w:r w:rsidR="002C0D01" w:rsidRPr="00F707B1">
        <w:rPr>
          <w:lang w:val="en-ZA"/>
        </w:rPr>
        <w:t>add</w:t>
      </w:r>
      <w:r w:rsidR="00F707B1" w:rsidRPr="00F707B1">
        <w:rPr>
          <w:lang w:val="en-ZA"/>
        </w:rPr>
        <w:t xml:space="preserve"> additional pressure on us to send clarifications</w:t>
      </w:r>
      <w:r w:rsidR="002C0D01">
        <w:rPr>
          <w:lang w:val="en-ZA"/>
        </w:rPr>
        <w:t xml:space="preserve"> notices</w:t>
      </w:r>
      <w:r w:rsidR="00F707B1" w:rsidRPr="00F707B1">
        <w:rPr>
          <w:lang w:val="en-ZA"/>
        </w:rPr>
        <w:t xml:space="preserve"> to clarify what </w:t>
      </w:r>
      <w:r w:rsidR="002C0D01">
        <w:rPr>
          <w:lang w:val="en-ZA"/>
        </w:rPr>
        <w:t>these blank spaces indicates/mean.</w:t>
      </w:r>
      <w:r w:rsidR="007F5336">
        <w:rPr>
          <w:lang w:val="en-ZA"/>
        </w:rPr>
        <w:t xml:space="preserve"> </w:t>
      </w:r>
    </w:p>
    <w:p w14:paraId="27325DDC" w14:textId="77777777" w:rsidR="0006695C" w:rsidRDefault="0025263C" w:rsidP="0006695C">
      <w:pPr>
        <w:ind w:left="142" w:hanging="142"/>
        <w:jc w:val="both"/>
        <w:rPr>
          <w:lang w:val="en-ZA"/>
        </w:rPr>
      </w:pPr>
      <w:r>
        <w:rPr>
          <w:lang w:val="en-ZA"/>
        </w:rPr>
        <w:t xml:space="preserve">  </w:t>
      </w:r>
      <w:r w:rsidR="007F5336" w:rsidRPr="007F5336">
        <w:rPr>
          <w:lang w:val="en-ZA"/>
        </w:rPr>
        <w:t>As far as possible,</w:t>
      </w:r>
      <w:r w:rsidR="007F5336">
        <w:rPr>
          <w:lang w:val="en-ZA"/>
        </w:rPr>
        <w:t xml:space="preserve"> </w:t>
      </w:r>
      <w:r w:rsidR="007F5336" w:rsidRPr="007F5336">
        <w:rPr>
          <w:lang w:val="en-ZA"/>
        </w:rPr>
        <w:t xml:space="preserve">only include one amount in a block as a price. </w:t>
      </w:r>
      <w:r w:rsidR="007F5336" w:rsidRPr="004618AD">
        <w:rPr>
          <w:b/>
          <w:bCs/>
          <w:lang w:val="en-ZA"/>
        </w:rPr>
        <w:t>Do not include ranges</w:t>
      </w:r>
      <w:r w:rsidR="007F5336" w:rsidRPr="007F5336">
        <w:rPr>
          <w:lang w:val="en-ZA"/>
        </w:rPr>
        <w:t>.</w:t>
      </w:r>
      <w:r w:rsidR="00483D3A">
        <w:rPr>
          <w:lang w:val="en-ZA"/>
        </w:rPr>
        <w:t xml:space="preserve"> </w:t>
      </w:r>
      <w:r w:rsidR="00483D3A" w:rsidRPr="00483D3A">
        <w:rPr>
          <w:lang w:val="en-ZA"/>
        </w:rPr>
        <w:t>If you do decide to include a range, be advised that we will use the highest amount in that range for evaluation purposes</w:t>
      </w:r>
      <w:r w:rsidR="00483D3A">
        <w:rPr>
          <w:lang w:val="en-ZA"/>
        </w:rPr>
        <w:t xml:space="preserve">. </w:t>
      </w:r>
      <w:r w:rsidR="00E0003E">
        <w:rPr>
          <w:lang w:val="en-ZA"/>
        </w:rPr>
        <w:t>However,</w:t>
      </w:r>
      <w:r w:rsidR="00483D3A">
        <w:rPr>
          <w:lang w:val="en-ZA"/>
        </w:rPr>
        <w:t xml:space="preserve"> refrain from ranges and as we would prefer you to use single prices</w:t>
      </w:r>
      <w:r w:rsidR="00483D3A" w:rsidRPr="00483D3A">
        <w:rPr>
          <w:lang w:val="en-ZA"/>
        </w:rPr>
        <w:t>.</w:t>
      </w:r>
      <w:r w:rsidR="00D75CCB">
        <w:rPr>
          <w:lang w:val="en-ZA"/>
        </w:rPr>
        <w:t xml:space="preserve"> </w:t>
      </w:r>
    </w:p>
    <w:p w14:paraId="24D60F62" w14:textId="77777777" w:rsidR="001E23FE" w:rsidRDefault="00D75CCB" w:rsidP="0006695C">
      <w:pPr>
        <w:ind w:left="142"/>
        <w:jc w:val="both"/>
        <w:rPr>
          <w:lang w:val="en-ZA"/>
        </w:rPr>
      </w:pPr>
      <w:r>
        <w:rPr>
          <w:lang w:val="en-ZA"/>
        </w:rPr>
        <w:t>P</w:t>
      </w:r>
      <w:r w:rsidRPr="00D75CCB">
        <w:rPr>
          <w:lang w:val="en-ZA"/>
        </w:rPr>
        <w:t>ricing instructions and the pricing fee structures</w:t>
      </w:r>
      <w:r>
        <w:rPr>
          <w:lang w:val="en-ZA"/>
        </w:rPr>
        <w:t xml:space="preserve"> is</w:t>
      </w:r>
      <w:r w:rsidRPr="00D75CCB">
        <w:rPr>
          <w:lang w:val="en-ZA"/>
        </w:rPr>
        <w:t xml:space="preserve"> very important</w:t>
      </w:r>
      <w:r>
        <w:rPr>
          <w:lang w:val="en-ZA"/>
        </w:rPr>
        <w:t>. T</w:t>
      </w:r>
      <w:r w:rsidRPr="00D75CCB">
        <w:rPr>
          <w:lang w:val="en-ZA"/>
        </w:rPr>
        <w:t>ake note of that</w:t>
      </w:r>
      <w:r w:rsidR="00E0003E">
        <w:rPr>
          <w:lang w:val="en-ZA"/>
        </w:rPr>
        <w:t xml:space="preserve"> </w:t>
      </w:r>
      <w:r w:rsidRPr="00D75CCB">
        <w:rPr>
          <w:lang w:val="en-ZA"/>
        </w:rPr>
        <w:t xml:space="preserve">on page 34 of the Tender document. </w:t>
      </w:r>
      <w:r w:rsidR="00E0003E">
        <w:rPr>
          <w:lang w:val="en-ZA"/>
        </w:rPr>
        <w:t>En</w:t>
      </w:r>
      <w:r w:rsidRPr="00D75CCB">
        <w:rPr>
          <w:lang w:val="en-ZA"/>
        </w:rPr>
        <w:t xml:space="preserve">sure that you are </w:t>
      </w:r>
      <w:r w:rsidR="00E0003E">
        <w:rPr>
          <w:lang w:val="en-ZA"/>
        </w:rPr>
        <w:t>aware</w:t>
      </w:r>
      <w:r w:rsidRPr="00D75CCB">
        <w:rPr>
          <w:lang w:val="en-ZA"/>
        </w:rPr>
        <w:t xml:space="preserve"> as to what the requirements are</w:t>
      </w:r>
      <w:r w:rsidR="00E0003E">
        <w:rPr>
          <w:lang w:val="en-ZA"/>
        </w:rPr>
        <w:t xml:space="preserve"> </w:t>
      </w:r>
      <w:r w:rsidRPr="00D75CCB">
        <w:rPr>
          <w:lang w:val="en-ZA"/>
        </w:rPr>
        <w:t xml:space="preserve">for the pricing schedule and the pricing instructions. </w:t>
      </w:r>
    </w:p>
    <w:p w14:paraId="2D54D25C" w14:textId="77777777" w:rsidR="001E23FE" w:rsidRDefault="00D75CCB" w:rsidP="0006695C">
      <w:pPr>
        <w:ind w:left="142"/>
        <w:jc w:val="both"/>
        <w:rPr>
          <w:lang w:val="en-ZA"/>
        </w:rPr>
      </w:pPr>
      <w:r w:rsidRPr="00D75CCB">
        <w:rPr>
          <w:lang w:val="en-ZA"/>
        </w:rPr>
        <w:t xml:space="preserve">All prices that are included in the pricing schedule are exclusive of </w:t>
      </w:r>
      <w:r w:rsidR="001E23FE">
        <w:rPr>
          <w:lang w:val="en-ZA"/>
        </w:rPr>
        <w:t>VAT</w:t>
      </w:r>
      <w:r w:rsidR="00E0003E">
        <w:rPr>
          <w:lang w:val="en-ZA"/>
        </w:rPr>
        <w:t xml:space="preserve">, which </w:t>
      </w:r>
      <w:r w:rsidR="00E0003E" w:rsidRPr="00E0003E">
        <w:rPr>
          <w:lang w:val="en-ZA"/>
        </w:rPr>
        <w:t>is added later on your account when you submit that.</w:t>
      </w:r>
      <w:r w:rsidR="00E0003E">
        <w:rPr>
          <w:lang w:val="en-ZA"/>
        </w:rPr>
        <w:t xml:space="preserve"> </w:t>
      </w:r>
    </w:p>
    <w:p w14:paraId="33390B98" w14:textId="77777777" w:rsidR="009F65B5" w:rsidRDefault="00E0003E" w:rsidP="0006695C">
      <w:pPr>
        <w:ind w:left="142"/>
        <w:jc w:val="both"/>
        <w:rPr>
          <w:lang w:val="en-ZA"/>
        </w:rPr>
      </w:pPr>
      <w:r>
        <w:rPr>
          <w:lang w:val="en-ZA"/>
        </w:rPr>
        <w:t>Y</w:t>
      </w:r>
      <w:r w:rsidRPr="00E0003E">
        <w:rPr>
          <w:lang w:val="en-ZA"/>
        </w:rPr>
        <w:t>our prices</w:t>
      </w:r>
      <w:r>
        <w:rPr>
          <w:lang w:val="en-ZA"/>
        </w:rPr>
        <w:t xml:space="preserve"> should</w:t>
      </w:r>
      <w:r w:rsidRPr="00E0003E">
        <w:rPr>
          <w:lang w:val="en-ZA"/>
        </w:rPr>
        <w:t xml:space="preserve"> include apart from </w:t>
      </w:r>
      <w:r>
        <w:rPr>
          <w:lang w:val="en-ZA"/>
        </w:rPr>
        <w:t>the</w:t>
      </w:r>
      <w:r w:rsidRPr="00E0003E">
        <w:rPr>
          <w:lang w:val="en-ZA"/>
        </w:rPr>
        <w:t xml:space="preserve"> specific disbursements </w:t>
      </w:r>
      <w:r w:rsidR="003F4908">
        <w:rPr>
          <w:lang w:val="en-ZA"/>
        </w:rPr>
        <w:t>which you will</w:t>
      </w:r>
      <w:r w:rsidRPr="00E0003E">
        <w:rPr>
          <w:lang w:val="en-ZA"/>
        </w:rPr>
        <w:t xml:space="preserve"> submi</w:t>
      </w:r>
      <w:r>
        <w:rPr>
          <w:lang w:val="en-ZA"/>
        </w:rPr>
        <w:t xml:space="preserve">t, </w:t>
      </w:r>
      <w:r w:rsidRPr="00E0003E">
        <w:rPr>
          <w:lang w:val="en-ZA"/>
        </w:rPr>
        <w:t xml:space="preserve">the </w:t>
      </w:r>
      <w:r>
        <w:rPr>
          <w:lang w:val="en-ZA"/>
        </w:rPr>
        <w:t xml:space="preserve">actual </w:t>
      </w:r>
      <w:r w:rsidRPr="00E0003E">
        <w:rPr>
          <w:lang w:val="en-ZA"/>
        </w:rPr>
        <w:t>co</w:t>
      </w:r>
      <w:r w:rsidR="003F4908">
        <w:rPr>
          <w:lang w:val="en-ZA"/>
        </w:rPr>
        <w:t xml:space="preserve">st </w:t>
      </w:r>
      <w:r w:rsidR="001E23FE">
        <w:rPr>
          <w:lang w:val="en-ZA"/>
        </w:rPr>
        <w:t>including all your</w:t>
      </w:r>
      <w:r w:rsidR="003F4908">
        <w:rPr>
          <w:lang w:val="en-ZA"/>
        </w:rPr>
        <w:t xml:space="preserve"> disbursement</w:t>
      </w:r>
      <w:r w:rsidR="001E23FE">
        <w:rPr>
          <w:lang w:val="en-ZA"/>
        </w:rPr>
        <w:t>s</w:t>
      </w:r>
      <w:r w:rsidR="003F4908">
        <w:rPr>
          <w:lang w:val="en-ZA"/>
        </w:rPr>
        <w:t>. En</w:t>
      </w:r>
      <w:r w:rsidRPr="00E0003E">
        <w:rPr>
          <w:lang w:val="en-ZA"/>
        </w:rPr>
        <w:t>sure that your</w:t>
      </w:r>
      <w:r w:rsidR="003F4908">
        <w:rPr>
          <w:lang w:val="en-ZA"/>
        </w:rPr>
        <w:t xml:space="preserve"> </w:t>
      </w:r>
      <w:r w:rsidRPr="00E0003E">
        <w:rPr>
          <w:lang w:val="en-ZA"/>
        </w:rPr>
        <w:t xml:space="preserve">amount </w:t>
      </w:r>
      <w:r w:rsidR="003F4908">
        <w:rPr>
          <w:lang w:val="en-ZA"/>
        </w:rPr>
        <w:t>will</w:t>
      </w:r>
      <w:r w:rsidRPr="00E0003E">
        <w:rPr>
          <w:lang w:val="en-ZA"/>
        </w:rPr>
        <w:t xml:space="preserve"> include, all your travelling expenses, disbursements of your office </w:t>
      </w:r>
      <w:r w:rsidR="009F65B5">
        <w:rPr>
          <w:lang w:val="en-ZA"/>
        </w:rPr>
        <w:t xml:space="preserve">etc. </w:t>
      </w:r>
      <w:r w:rsidRPr="00E0003E">
        <w:rPr>
          <w:lang w:val="en-ZA"/>
        </w:rPr>
        <w:t>in the prices that you tender.</w:t>
      </w:r>
      <w:r w:rsidR="003F4908">
        <w:rPr>
          <w:lang w:val="en-ZA"/>
        </w:rPr>
        <w:t xml:space="preserve"> </w:t>
      </w:r>
    </w:p>
    <w:p w14:paraId="34DB0ED2" w14:textId="263DFDA9" w:rsidR="0025263C" w:rsidRDefault="003F4908" w:rsidP="0006695C">
      <w:pPr>
        <w:ind w:left="142"/>
        <w:jc w:val="both"/>
        <w:rPr>
          <w:b/>
          <w:bCs/>
          <w:lang w:val="en-ZA"/>
        </w:rPr>
      </w:pPr>
      <w:r>
        <w:rPr>
          <w:lang w:val="en-ZA"/>
        </w:rPr>
        <w:t>En</w:t>
      </w:r>
      <w:r w:rsidRPr="003F4908">
        <w:rPr>
          <w:lang w:val="en-ZA"/>
        </w:rPr>
        <w:t>sure that your rate and price is inserted in the relevant columns.</w:t>
      </w:r>
      <w:r w:rsidRPr="004618AD">
        <w:rPr>
          <w:b/>
          <w:bCs/>
          <w:lang w:val="en-ZA"/>
        </w:rPr>
        <w:t xml:space="preserve"> </w:t>
      </w:r>
    </w:p>
    <w:p w14:paraId="2B5DB51E" w14:textId="77777777" w:rsidR="0025263C" w:rsidRDefault="0025263C" w:rsidP="0006695C">
      <w:pPr>
        <w:ind w:left="142" w:hanging="142"/>
        <w:jc w:val="both"/>
        <w:rPr>
          <w:b/>
          <w:bCs/>
          <w:lang w:val="en-ZA"/>
        </w:rPr>
      </w:pPr>
    </w:p>
    <w:p w14:paraId="6C01DEFD" w14:textId="77777777" w:rsidR="006C2CF3" w:rsidRPr="00B341D7" w:rsidRDefault="0025263C" w:rsidP="0006695C">
      <w:pPr>
        <w:ind w:left="142" w:hanging="142"/>
        <w:jc w:val="both"/>
        <w:rPr>
          <w:lang w:val="en-ZA"/>
        </w:rPr>
      </w:pPr>
      <w:r w:rsidRPr="00B341D7">
        <w:rPr>
          <w:lang w:val="en-ZA"/>
        </w:rPr>
        <w:t xml:space="preserve">  </w:t>
      </w:r>
      <w:r w:rsidR="003F4908" w:rsidRPr="00B341D7">
        <w:rPr>
          <w:lang w:val="en-ZA"/>
        </w:rPr>
        <w:t>I am emphasising the importance of any item which has no rate</w:t>
      </w:r>
      <w:r w:rsidR="0018473A" w:rsidRPr="00B341D7">
        <w:rPr>
          <w:lang w:val="en-ZA"/>
        </w:rPr>
        <w:t>.</w:t>
      </w:r>
      <w:r w:rsidR="003F4908" w:rsidRPr="00B341D7">
        <w:rPr>
          <w:lang w:val="en-ZA"/>
        </w:rPr>
        <w:t xml:space="preserve"> </w:t>
      </w:r>
      <w:r w:rsidR="0018473A" w:rsidRPr="00B341D7">
        <w:rPr>
          <w:lang w:val="en-ZA"/>
        </w:rPr>
        <w:t>A</w:t>
      </w:r>
      <w:r w:rsidR="003F4908" w:rsidRPr="00B341D7">
        <w:rPr>
          <w:lang w:val="en-ZA"/>
        </w:rPr>
        <w:t>nything other than the rate or a null rate</w:t>
      </w:r>
      <w:r w:rsidR="0018473A" w:rsidRPr="00B341D7">
        <w:rPr>
          <w:lang w:val="en-ZA"/>
        </w:rPr>
        <w:t>,</w:t>
      </w:r>
      <w:r w:rsidR="003F4908" w:rsidRPr="00B341D7">
        <w:rPr>
          <w:lang w:val="en-ZA"/>
        </w:rPr>
        <w:t xml:space="preserve"> a dash or word </w:t>
      </w:r>
      <w:r w:rsidR="0018473A" w:rsidRPr="00B341D7">
        <w:rPr>
          <w:lang w:val="en-ZA"/>
        </w:rPr>
        <w:t>included,</w:t>
      </w:r>
      <w:r w:rsidR="003F4908" w:rsidRPr="00B341D7">
        <w:rPr>
          <w:lang w:val="en-ZA"/>
        </w:rPr>
        <w:t xml:space="preserve"> or abbreviations thereof is entered against that item, it will be regarded as a null rate.</w:t>
      </w:r>
      <w:r w:rsidR="0018473A" w:rsidRPr="00B341D7">
        <w:rPr>
          <w:lang w:val="en-ZA"/>
        </w:rPr>
        <w:t xml:space="preserve"> We are not required to clarify null rates. So please just take that into account. </w:t>
      </w:r>
    </w:p>
    <w:p w14:paraId="187B729B" w14:textId="77777777" w:rsidR="006C2CF3" w:rsidRDefault="0018473A" w:rsidP="006C2CF3">
      <w:pPr>
        <w:ind w:left="142"/>
        <w:jc w:val="both"/>
        <w:rPr>
          <w:lang w:val="en-ZA"/>
        </w:rPr>
      </w:pPr>
      <w:r w:rsidRPr="00B341D7">
        <w:rPr>
          <w:lang w:val="en-ZA"/>
        </w:rPr>
        <w:t>For the purposes of the pricing schedule, tenders are doing certain hourly rate, excluding VAT. of the lead conveyancer proposed by the tenderer on the ad hoc fee schedule.</w:t>
      </w:r>
      <w:r w:rsidR="0025263C">
        <w:rPr>
          <w:lang w:val="en-ZA"/>
        </w:rPr>
        <w:t xml:space="preserve"> </w:t>
      </w:r>
      <w:r>
        <w:rPr>
          <w:lang w:val="en-ZA"/>
        </w:rPr>
        <w:t>S</w:t>
      </w:r>
      <w:r w:rsidRPr="0018473A">
        <w:rPr>
          <w:lang w:val="en-ZA"/>
        </w:rPr>
        <w:t>hould the lead conveyancer appoint any other legal practitioner to attend to ad hoc services, the hourly rate of that legal practitioner may not exceed the hourly rate of the lead conveyancer that is included in Section C</w:t>
      </w:r>
      <w:r w:rsidR="006C2CF3">
        <w:rPr>
          <w:lang w:val="en-ZA"/>
        </w:rPr>
        <w:t>.</w:t>
      </w:r>
    </w:p>
    <w:p w14:paraId="39706034" w14:textId="79BDF4F4" w:rsidR="00B3232D" w:rsidRDefault="006C2CF3" w:rsidP="006C2CF3">
      <w:pPr>
        <w:ind w:left="142"/>
        <w:jc w:val="both"/>
      </w:pPr>
      <w:r>
        <w:rPr>
          <w:lang w:val="en-ZA"/>
        </w:rPr>
        <w:t>P</w:t>
      </w:r>
      <w:r w:rsidR="0018473A" w:rsidRPr="0018473A">
        <w:rPr>
          <w:lang w:val="en-ZA"/>
        </w:rPr>
        <w:t xml:space="preserve">rices will be </w:t>
      </w:r>
      <w:r w:rsidR="0025263C" w:rsidRPr="0025263C">
        <w:rPr>
          <w:lang w:val="en-ZA"/>
        </w:rPr>
        <w:t>final and binding with contract price adjustment applied in alignment with schedule F1.</w:t>
      </w:r>
      <w:r w:rsidR="0025263C">
        <w:rPr>
          <w:lang w:val="en-ZA"/>
        </w:rPr>
        <w:t xml:space="preserve"> </w:t>
      </w:r>
      <w:r w:rsidR="0025263C" w:rsidRPr="0025263C">
        <w:rPr>
          <w:lang w:val="en-ZA"/>
        </w:rPr>
        <w:t>Th</w:t>
      </w:r>
      <w:r w:rsidR="0025263C">
        <w:rPr>
          <w:lang w:val="en-ZA"/>
        </w:rPr>
        <w:t>ese</w:t>
      </w:r>
      <w:r w:rsidR="0025263C" w:rsidRPr="0025263C">
        <w:rPr>
          <w:lang w:val="en-ZA"/>
        </w:rPr>
        <w:t xml:space="preserve"> were the aspects in terms of the pricing instructions that </w:t>
      </w:r>
      <w:r w:rsidR="0025263C">
        <w:rPr>
          <w:lang w:val="en-ZA"/>
        </w:rPr>
        <w:t>are crucial</w:t>
      </w:r>
      <w:r w:rsidR="0025263C" w:rsidRPr="0025263C">
        <w:rPr>
          <w:lang w:val="en-ZA"/>
        </w:rPr>
        <w:t xml:space="preserve"> </w:t>
      </w:r>
      <w:r w:rsidR="0025263C">
        <w:rPr>
          <w:lang w:val="en-ZA"/>
        </w:rPr>
        <w:t>as</w:t>
      </w:r>
      <w:r w:rsidR="0025263C" w:rsidRPr="0025263C">
        <w:rPr>
          <w:lang w:val="en-ZA"/>
        </w:rPr>
        <w:t xml:space="preserve"> highlight and clarif</w:t>
      </w:r>
      <w:r w:rsidR="0025263C">
        <w:rPr>
          <w:lang w:val="en-ZA"/>
        </w:rPr>
        <w:t>ied</w:t>
      </w:r>
      <w:r w:rsidR="0025263C" w:rsidRPr="0025263C">
        <w:rPr>
          <w:lang w:val="en-ZA"/>
        </w:rPr>
        <w:t xml:space="preserve"> with you.</w:t>
      </w:r>
      <w:r w:rsidR="0025263C">
        <w:rPr>
          <w:lang w:val="en-ZA"/>
        </w:rPr>
        <w:t xml:space="preserve"> (CS)</w:t>
      </w:r>
    </w:p>
    <w:p w14:paraId="75FF6626" w14:textId="65D879BE" w:rsidR="00B3232D" w:rsidRDefault="00AE2191" w:rsidP="00BF320D">
      <w:r>
        <w:tab/>
      </w:r>
    </w:p>
    <w:tbl>
      <w:tblPr>
        <w:tblStyle w:val="TableGrid"/>
        <w:tblW w:w="9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4"/>
      </w:tblGrid>
      <w:tr w:rsidR="002A7F2E" w14:paraId="2D86F087" w14:textId="77777777" w:rsidTr="00516456">
        <w:trPr>
          <w:trHeight w:val="263"/>
        </w:trPr>
        <w:tc>
          <w:tcPr>
            <w:tcW w:w="9394" w:type="dxa"/>
            <w:shd w:val="clear" w:color="auto" w:fill="E0E8F4" w:themeFill="accent6" w:themeFillTint="33"/>
          </w:tcPr>
          <w:p w14:paraId="0B894E21" w14:textId="2CB13DF8" w:rsidR="002A7F2E" w:rsidRDefault="00B341D7" w:rsidP="00B05045">
            <w:pPr>
              <w:pStyle w:val="Heading1"/>
            </w:pPr>
            <w:r>
              <w:t>Deviations and Qualifications</w:t>
            </w:r>
          </w:p>
        </w:tc>
      </w:tr>
      <w:tr w:rsidR="002A7F2E" w14:paraId="49177445" w14:textId="77777777" w:rsidTr="00516456">
        <w:trPr>
          <w:trHeight w:val="837"/>
        </w:trPr>
        <w:tc>
          <w:tcPr>
            <w:tcW w:w="9394" w:type="dxa"/>
          </w:tcPr>
          <w:p w14:paraId="2CC628C9" w14:textId="1E53849C" w:rsidR="00CC40F0" w:rsidRDefault="003E4347" w:rsidP="008F5FE4">
            <w:pPr>
              <w:jc w:val="both"/>
            </w:pPr>
            <w:r>
              <w:rPr>
                <w:lang w:val="en-ZA"/>
              </w:rPr>
              <w:t>B</w:t>
            </w:r>
            <w:r w:rsidRPr="003E4347">
              <w:rPr>
                <w:lang w:val="en-ZA"/>
              </w:rPr>
              <w:t xml:space="preserve">e advised </w:t>
            </w:r>
            <w:r>
              <w:rPr>
                <w:lang w:val="en-ZA"/>
              </w:rPr>
              <w:t>i</w:t>
            </w:r>
            <w:r w:rsidR="0025263C" w:rsidRPr="0025263C">
              <w:rPr>
                <w:lang w:val="en-ZA"/>
              </w:rPr>
              <w:t>n terms of schedule F10 on page 84 of the tender document</w:t>
            </w:r>
            <w:r w:rsidR="0025263C">
              <w:rPr>
                <w:lang w:val="en-ZA"/>
              </w:rPr>
              <w:t xml:space="preserve"> where </w:t>
            </w:r>
            <w:r w:rsidR="0025263C" w:rsidRPr="0025263C">
              <w:rPr>
                <w:lang w:val="en-ZA"/>
              </w:rPr>
              <w:t xml:space="preserve">it </w:t>
            </w:r>
            <w:r w:rsidR="0025263C">
              <w:rPr>
                <w:lang w:val="en-ZA"/>
              </w:rPr>
              <w:t>indicates</w:t>
            </w:r>
            <w:r w:rsidR="0025263C" w:rsidRPr="0025263C">
              <w:rPr>
                <w:lang w:val="en-ZA"/>
              </w:rPr>
              <w:t xml:space="preserve"> </w:t>
            </w:r>
            <w:r w:rsidR="008F5FE4">
              <w:rPr>
                <w:lang w:val="en-ZA"/>
              </w:rPr>
              <w:t>“</w:t>
            </w:r>
            <w:r w:rsidR="0025263C" w:rsidRPr="0025263C">
              <w:rPr>
                <w:lang w:val="en-ZA"/>
              </w:rPr>
              <w:t>not applicable</w:t>
            </w:r>
            <w:r w:rsidR="008F5FE4">
              <w:rPr>
                <w:lang w:val="en-ZA"/>
              </w:rPr>
              <w:t>”</w:t>
            </w:r>
            <w:r w:rsidR="0025263C" w:rsidRPr="0025263C">
              <w:rPr>
                <w:lang w:val="en-ZA"/>
              </w:rPr>
              <w:t xml:space="preserve"> on the schedule</w:t>
            </w:r>
            <w:r w:rsidR="0025263C">
              <w:rPr>
                <w:lang w:val="en-ZA"/>
              </w:rPr>
              <w:t>, t</w:t>
            </w:r>
            <w:r w:rsidR="0025263C" w:rsidRPr="0025263C">
              <w:rPr>
                <w:lang w:val="en-ZA"/>
              </w:rPr>
              <w:t xml:space="preserve">his is because </w:t>
            </w:r>
            <w:r>
              <w:rPr>
                <w:lang w:val="en-ZA"/>
              </w:rPr>
              <w:t xml:space="preserve">there will be </w:t>
            </w:r>
            <w:r w:rsidR="0025263C" w:rsidRPr="0025263C">
              <w:rPr>
                <w:lang w:val="en-ZA"/>
              </w:rPr>
              <w:t>no deviations or qualification</w:t>
            </w:r>
            <w:r>
              <w:rPr>
                <w:lang w:val="en-ZA"/>
              </w:rPr>
              <w:t>s</w:t>
            </w:r>
            <w:r w:rsidR="0025263C" w:rsidRPr="0025263C">
              <w:rPr>
                <w:lang w:val="en-ZA"/>
              </w:rPr>
              <w:t xml:space="preserve"> allowed by the tenderers.</w:t>
            </w:r>
            <w:r w:rsidR="00337803">
              <w:rPr>
                <w:lang w:val="en-ZA"/>
              </w:rPr>
              <w:t xml:space="preserve"> (CS)</w:t>
            </w:r>
          </w:p>
        </w:tc>
      </w:tr>
    </w:tbl>
    <w:p w14:paraId="61977C52" w14:textId="77777777" w:rsidR="002A7F2E" w:rsidRDefault="002A7F2E" w:rsidP="00BF320D"/>
    <w:tbl>
      <w:tblPr>
        <w:tblStyle w:val="TableGrid"/>
        <w:tblW w:w="951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7"/>
      </w:tblGrid>
      <w:tr w:rsidR="00CC40F0" w14:paraId="3F029B9C" w14:textId="77777777" w:rsidTr="004618AD">
        <w:trPr>
          <w:trHeight w:val="256"/>
        </w:trPr>
        <w:tc>
          <w:tcPr>
            <w:tcW w:w="9517" w:type="dxa"/>
            <w:shd w:val="clear" w:color="auto" w:fill="E0E8F4" w:themeFill="accent6" w:themeFillTint="33"/>
          </w:tcPr>
          <w:p w14:paraId="591CC01A" w14:textId="54089E4A" w:rsidR="00CC40F0" w:rsidRDefault="00337803" w:rsidP="00B05045">
            <w:pPr>
              <w:pStyle w:val="Heading1"/>
            </w:pPr>
            <w:r>
              <w:t>Q &amp;A’S</w:t>
            </w:r>
          </w:p>
        </w:tc>
      </w:tr>
      <w:tr w:rsidR="00CC40F0" w14:paraId="5F32BCDC" w14:textId="77777777" w:rsidTr="004618AD">
        <w:trPr>
          <w:trHeight w:val="815"/>
        </w:trPr>
        <w:tc>
          <w:tcPr>
            <w:tcW w:w="9517" w:type="dxa"/>
          </w:tcPr>
          <w:p w14:paraId="0BCCA287" w14:textId="692876F3" w:rsidR="00337803" w:rsidRPr="00DB658E" w:rsidRDefault="00337803" w:rsidP="00B05045">
            <w:pPr>
              <w:rPr>
                <w:b/>
                <w:bCs/>
                <w:i/>
                <w:iCs/>
                <w:color w:val="auto"/>
                <w:lang w:val="en-ZA"/>
              </w:rPr>
            </w:pPr>
            <w:r w:rsidRPr="00DB658E">
              <w:rPr>
                <w:b/>
                <w:bCs/>
                <w:i/>
                <w:iCs/>
                <w:color w:val="auto"/>
                <w:lang w:val="en-ZA"/>
              </w:rPr>
              <w:t xml:space="preserve">Q. The Fidelity Fund, sometimes you want that they ask for Fidelity Fund </w:t>
            </w:r>
            <w:r w:rsidR="00DB658E">
              <w:rPr>
                <w:b/>
                <w:bCs/>
                <w:i/>
                <w:iCs/>
                <w:color w:val="auto"/>
                <w:lang w:val="en-ZA"/>
              </w:rPr>
              <w:t>with</w:t>
            </w:r>
            <w:r w:rsidRPr="00DB658E">
              <w:rPr>
                <w:b/>
                <w:bCs/>
                <w:i/>
                <w:iCs/>
                <w:color w:val="auto"/>
                <w:lang w:val="en-ZA"/>
              </w:rPr>
              <w:t xml:space="preserve"> security. You also want that like an amount </w:t>
            </w:r>
            <w:r w:rsidR="00DB658E">
              <w:rPr>
                <w:b/>
                <w:bCs/>
                <w:i/>
                <w:iCs/>
                <w:color w:val="auto"/>
                <w:lang w:val="en-ZA"/>
              </w:rPr>
              <w:t xml:space="preserve">or just the </w:t>
            </w:r>
            <w:r w:rsidRPr="00DB658E">
              <w:rPr>
                <w:b/>
                <w:bCs/>
                <w:i/>
                <w:iCs/>
                <w:color w:val="auto"/>
                <w:lang w:val="en-ZA"/>
              </w:rPr>
              <w:t>Fidelity Fund certificate?</w:t>
            </w:r>
          </w:p>
          <w:p w14:paraId="4450E42A" w14:textId="21D7EC6E" w:rsidR="00337803" w:rsidRDefault="00337803" w:rsidP="00B05045">
            <w:pPr>
              <w:rPr>
                <w:color w:val="FF0000"/>
                <w:lang w:val="en-ZA"/>
              </w:rPr>
            </w:pPr>
            <w:r w:rsidRPr="004618AD">
              <w:rPr>
                <w:color w:val="auto"/>
                <w:lang w:val="en-ZA"/>
              </w:rPr>
              <w:t xml:space="preserve">A. </w:t>
            </w:r>
            <w:r w:rsidR="00F87326">
              <w:rPr>
                <w:color w:val="auto"/>
                <w:lang w:val="en-ZA"/>
              </w:rPr>
              <w:t xml:space="preserve">Only the Certificate which </w:t>
            </w:r>
            <w:r w:rsidRPr="004618AD">
              <w:rPr>
                <w:color w:val="auto"/>
                <w:lang w:val="en-ZA"/>
              </w:rPr>
              <w:t>needs to be a valid Fidelity Fund certificate.</w:t>
            </w:r>
            <w:r w:rsidRPr="00337803">
              <w:rPr>
                <w:color w:val="FF0000"/>
                <w:lang w:val="en-ZA"/>
              </w:rPr>
              <w:br/>
            </w:r>
          </w:p>
          <w:p w14:paraId="43B66E07" w14:textId="610889C8" w:rsidR="00072367" w:rsidRPr="00F87326" w:rsidRDefault="00072367" w:rsidP="00072367">
            <w:pPr>
              <w:rPr>
                <w:b/>
                <w:bCs/>
                <w:i/>
                <w:iCs/>
                <w:lang w:val="en-ZA"/>
              </w:rPr>
            </w:pPr>
            <w:r w:rsidRPr="00F87326">
              <w:rPr>
                <w:b/>
                <w:bCs/>
                <w:i/>
                <w:iCs/>
                <w:lang w:val="en-ZA"/>
              </w:rPr>
              <w:lastRenderedPageBreak/>
              <w:t xml:space="preserve">Q. Just to the information about the transfers, you require the name of the clients. Any suggestion how we deal with Pop here about that? </w:t>
            </w:r>
          </w:p>
          <w:p w14:paraId="7E8F02E3" w14:textId="196E4085" w:rsidR="00072367" w:rsidRDefault="00072367" w:rsidP="00072367">
            <w:pPr>
              <w:rPr>
                <w:lang w:val="en-ZA"/>
              </w:rPr>
            </w:pPr>
            <w:r w:rsidRPr="004618AD">
              <w:rPr>
                <w:lang w:val="en-ZA"/>
              </w:rPr>
              <w:t>A</w:t>
            </w:r>
            <w:r>
              <w:rPr>
                <w:i/>
                <w:iCs/>
                <w:lang w:val="en-ZA"/>
              </w:rPr>
              <w:t>.</w:t>
            </w:r>
            <w:r>
              <w:rPr>
                <w:lang w:val="en-ZA"/>
              </w:rPr>
              <w:t xml:space="preserve"> </w:t>
            </w:r>
            <w:r w:rsidRPr="00072367">
              <w:rPr>
                <w:lang w:val="en-ZA"/>
              </w:rPr>
              <w:t>The entire process on our side is confidential, so we do not believe that it will impact on P</w:t>
            </w:r>
            <w:r w:rsidR="00F87326">
              <w:rPr>
                <w:lang w:val="en-ZA"/>
              </w:rPr>
              <w:t>OPIA</w:t>
            </w:r>
            <w:r w:rsidRPr="00072367">
              <w:rPr>
                <w:lang w:val="en-ZA"/>
              </w:rPr>
              <w:t>. Other than that, it is also most of that information is available in the deeds office, so it is public knowledge.</w:t>
            </w:r>
            <w:r>
              <w:rPr>
                <w:lang w:val="en-ZA"/>
              </w:rPr>
              <w:t xml:space="preserve"> (CS)</w:t>
            </w:r>
          </w:p>
          <w:p w14:paraId="6AED8031" w14:textId="77777777" w:rsidR="00072367" w:rsidRDefault="00072367" w:rsidP="00072367">
            <w:pPr>
              <w:rPr>
                <w:lang w:val="en-ZA"/>
              </w:rPr>
            </w:pPr>
          </w:p>
          <w:p w14:paraId="35E6A5F9" w14:textId="1F9A9F97" w:rsidR="00072367" w:rsidRPr="008E551F" w:rsidRDefault="00072367" w:rsidP="00072367">
            <w:pPr>
              <w:rPr>
                <w:b/>
                <w:bCs/>
                <w:i/>
                <w:iCs/>
                <w:lang w:val="en-ZA"/>
              </w:rPr>
            </w:pPr>
            <w:r w:rsidRPr="008E551F">
              <w:rPr>
                <w:b/>
                <w:bCs/>
                <w:i/>
                <w:iCs/>
                <w:lang w:val="en-ZA"/>
              </w:rPr>
              <w:t xml:space="preserve">Q. So I want to follow on that question where we have to fill in the </w:t>
            </w:r>
            <w:r w:rsidR="004618AD" w:rsidRPr="008E551F">
              <w:rPr>
                <w:b/>
                <w:bCs/>
                <w:i/>
                <w:iCs/>
                <w:lang w:val="en-ZA"/>
              </w:rPr>
              <w:t>client’s</w:t>
            </w:r>
            <w:r w:rsidRPr="008E551F">
              <w:rPr>
                <w:b/>
                <w:bCs/>
                <w:i/>
                <w:iCs/>
                <w:lang w:val="en-ZA"/>
              </w:rPr>
              <w:t xml:space="preserve"> name. Would that just be the transferor or do you want both </w:t>
            </w:r>
            <w:r w:rsidR="004618AD" w:rsidRPr="008E551F">
              <w:rPr>
                <w:b/>
                <w:bCs/>
                <w:i/>
                <w:iCs/>
                <w:lang w:val="en-ZA"/>
              </w:rPr>
              <w:t>parties’</w:t>
            </w:r>
            <w:r w:rsidRPr="008E551F">
              <w:rPr>
                <w:b/>
                <w:bCs/>
                <w:i/>
                <w:iCs/>
                <w:lang w:val="en-ZA"/>
              </w:rPr>
              <w:t xml:space="preserve"> names? I've completed it under details of the matter. I've put the parties and the property and then client.</w:t>
            </w:r>
            <w:r w:rsidRPr="008E551F">
              <w:rPr>
                <w:b/>
                <w:bCs/>
                <w:i/>
                <w:iCs/>
                <w:lang w:val="en-ZA"/>
              </w:rPr>
              <w:br/>
              <w:t xml:space="preserve">Only the transfer or? </w:t>
            </w:r>
          </w:p>
          <w:p w14:paraId="60573DBC" w14:textId="05245344" w:rsidR="00072367" w:rsidRDefault="00072367" w:rsidP="00072367">
            <w:pPr>
              <w:rPr>
                <w:lang w:val="en-ZA"/>
              </w:rPr>
            </w:pPr>
            <w:r w:rsidRPr="004618AD">
              <w:rPr>
                <w:lang w:val="en-ZA"/>
              </w:rPr>
              <w:t xml:space="preserve">A. </w:t>
            </w:r>
            <w:r w:rsidRPr="00072367">
              <w:rPr>
                <w:lang w:val="en-ZA"/>
              </w:rPr>
              <w:t>We would like to have both parties please.</w:t>
            </w:r>
            <w:r>
              <w:rPr>
                <w:lang w:val="en-ZA"/>
              </w:rPr>
              <w:t xml:space="preserve"> (CS)</w:t>
            </w:r>
          </w:p>
          <w:p w14:paraId="41CD63B5" w14:textId="77777777" w:rsidR="00072367" w:rsidRPr="00072367" w:rsidRDefault="00072367" w:rsidP="00072367">
            <w:pPr>
              <w:rPr>
                <w:lang w:val="en-ZA"/>
              </w:rPr>
            </w:pPr>
          </w:p>
          <w:p w14:paraId="578F7AEF" w14:textId="0EBD0364" w:rsidR="00072367" w:rsidRPr="008A661F" w:rsidRDefault="00072367" w:rsidP="00B05045">
            <w:pPr>
              <w:rPr>
                <w:b/>
                <w:bCs/>
                <w:i/>
                <w:iCs/>
                <w:lang w:val="en-ZA"/>
              </w:rPr>
            </w:pPr>
            <w:r w:rsidRPr="008A661F">
              <w:rPr>
                <w:b/>
                <w:bCs/>
                <w:i/>
                <w:iCs/>
              </w:rPr>
              <w:t>Q. T</w:t>
            </w:r>
            <w:r w:rsidRPr="008A661F">
              <w:rPr>
                <w:b/>
                <w:bCs/>
                <w:i/>
                <w:iCs/>
                <w:lang w:val="en-ZA"/>
              </w:rPr>
              <w:t>hen at nature, where we have to describe the nature of the matter, I heard you say now that now that you're only interested in transfers, but if it was, for example, a subdivision and a consolidation and a section 16 and a servitude and then a transfer, do you want us to list all of that or must we just say it was a...</w:t>
            </w:r>
            <w:r w:rsidRPr="008A661F">
              <w:rPr>
                <w:b/>
                <w:bCs/>
                <w:i/>
                <w:iCs/>
                <w:lang w:val="en-ZA"/>
              </w:rPr>
              <w:br/>
              <w:t xml:space="preserve">Transfer. </w:t>
            </w:r>
          </w:p>
          <w:p w14:paraId="46427104" w14:textId="4089A0A3" w:rsidR="00072367" w:rsidRPr="00072367" w:rsidRDefault="00072367" w:rsidP="00072367">
            <w:pPr>
              <w:rPr>
                <w:lang w:val="en-ZA"/>
              </w:rPr>
            </w:pPr>
            <w:r w:rsidRPr="004618AD">
              <w:t xml:space="preserve">A. </w:t>
            </w:r>
            <w:r>
              <w:t>T</w:t>
            </w:r>
            <w:r w:rsidRPr="00072367">
              <w:rPr>
                <w:lang w:val="en-ZA"/>
              </w:rPr>
              <w:t>ransfer</w:t>
            </w:r>
            <w:r>
              <w:rPr>
                <w:lang w:val="en-ZA"/>
              </w:rPr>
              <w:t xml:space="preserve"> (CS)</w:t>
            </w:r>
          </w:p>
          <w:p w14:paraId="03191F5D" w14:textId="77777777" w:rsidR="00072367" w:rsidRDefault="00072367" w:rsidP="00B05045"/>
          <w:p w14:paraId="6218744E" w14:textId="5334FCEF" w:rsidR="00543C65" w:rsidRPr="00747314" w:rsidRDefault="00543C65" w:rsidP="00B05045">
            <w:pPr>
              <w:rPr>
                <w:b/>
                <w:bCs/>
                <w:i/>
                <w:iCs/>
              </w:rPr>
            </w:pPr>
            <w:r w:rsidRPr="00747314">
              <w:rPr>
                <w:b/>
                <w:bCs/>
                <w:i/>
                <w:iCs/>
              </w:rPr>
              <w:t xml:space="preserve">Q. </w:t>
            </w:r>
            <w:r w:rsidRPr="00747314">
              <w:rPr>
                <w:b/>
                <w:bCs/>
                <w:i/>
                <w:iCs/>
                <w:lang w:val="en-ZA"/>
              </w:rPr>
              <w:t>So I have a few questions, right? So the first thing, what is the typical mix, if you can even indicate between the CCT Disposals and Acquisitions?</w:t>
            </w:r>
            <w:r w:rsidRPr="00747314">
              <w:rPr>
                <w:rFonts w:ascii="Segoe UI" w:eastAsia="Segoe UI" w:hAnsi="Segoe UI" w:cs="Segoe UI"/>
                <w:b/>
                <w:bCs/>
                <w:color w:val="323130"/>
                <w:spacing w:val="0"/>
                <w:sz w:val="24"/>
                <w:szCs w:val="24"/>
                <w:lang w:val="en-ZA" w:eastAsia="en-ZA"/>
              </w:rPr>
              <w:t xml:space="preserve"> </w:t>
            </w:r>
            <w:r w:rsidRPr="00747314">
              <w:rPr>
                <w:b/>
                <w:bCs/>
                <w:i/>
                <w:iCs/>
                <w:lang w:val="en-ZA"/>
              </w:rPr>
              <w:t xml:space="preserve">Is it like 50-50, 60-40? Do you have any idea at this point in time? </w:t>
            </w:r>
          </w:p>
        </w:tc>
      </w:tr>
    </w:tbl>
    <w:p w14:paraId="0416ACEF" w14:textId="61401C6C" w:rsidR="006954AB" w:rsidRDefault="00543C65" w:rsidP="00543C65">
      <w:pPr>
        <w:tabs>
          <w:tab w:val="left" w:pos="840"/>
        </w:tabs>
      </w:pPr>
      <w:r>
        <w:lastRenderedPageBreak/>
        <w:t xml:space="preserve">A. </w:t>
      </w:r>
      <w:r w:rsidRPr="00543C65">
        <w:rPr>
          <w:lang w:val="en-ZA"/>
        </w:rPr>
        <w:t>What the typical split is, unfortunately, very difficult to say. It would depend</w:t>
      </w:r>
      <w:r w:rsidR="00242B08">
        <w:rPr>
          <w:lang w:val="en-ZA"/>
        </w:rPr>
        <w:t>. A</w:t>
      </w:r>
      <w:r w:rsidRPr="00543C65">
        <w:rPr>
          <w:lang w:val="en-ZA"/>
        </w:rPr>
        <w:t>cquisitions is done in terms of as and when required by line departments. We don't just acquire land for no reasons. So that's a very reactive process on an acquisition request that's received and the disposal.</w:t>
      </w:r>
      <w:r>
        <w:rPr>
          <w:lang w:val="en-ZA"/>
        </w:rPr>
        <w:t xml:space="preserve"> </w:t>
      </w:r>
      <w:r w:rsidRPr="00543C65">
        <w:rPr>
          <w:lang w:val="en-ZA"/>
        </w:rPr>
        <w:t xml:space="preserve">I mean, we do about at least 40 big disposals in terms of the auction program. And then there's also quite a few minor or smaller non-viable </w:t>
      </w:r>
      <w:r w:rsidR="008424C5">
        <w:rPr>
          <w:lang w:val="en-ZA"/>
        </w:rPr>
        <w:t>d</w:t>
      </w:r>
      <w:r w:rsidRPr="00543C65">
        <w:rPr>
          <w:lang w:val="en-ZA"/>
        </w:rPr>
        <w:t xml:space="preserve">isposals that happen annually. </w:t>
      </w:r>
      <w:r>
        <w:rPr>
          <w:lang w:val="en-ZA"/>
        </w:rPr>
        <w:t>(CS)</w:t>
      </w:r>
      <w:r>
        <w:tab/>
      </w:r>
    </w:p>
    <w:p w14:paraId="09C2CC10" w14:textId="77777777" w:rsidR="00543C65" w:rsidRDefault="00543C65" w:rsidP="00543C65">
      <w:pPr>
        <w:tabs>
          <w:tab w:val="left" w:pos="840"/>
        </w:tabs>
      </w:pPr>
    </w:p>
    <w:p w14:paraId="55036852" w14:textId="738F4C99" w:rsidR="00543C65" w:rsidRPr="008424C5" w:rsidRDefault="00543C65" w:rsidP="00543C65">
      <w:pPr>
        <w:rPr>
          <w:lang w:val="en-ZA"/>
        </w:rPr>
      </w:pPr>
      <w:r w:rsidRPr="008424C5">
        <w:rPr>
          <w:b/>
          <w:bCs/>
          <w:i/>
          <w:iCs/>
        </w:rPr>
        <w:t xml:space="preserve">Q. </w:t>
      </w:r>
      <w:r w:rsidRPr="008424C5">
        <w:rPr>
          <w:b/>
          <w:bCs/>
          <w:i/>
          <w:iCs/>
          <w:lang w:val="en-ZA"/>
        </w:rPr>
        <w:t>And then my last question, in terms of disbursements, are there any disbursements, or what disbursements require prior written approval from yourselves?</w:t>
      </w:r>
      <w:r w:rsidR="00D31F17" w:rsidRPr="008424C5">
        <w:rPr>
          <w:b/>
          <w:bCs/>
          <w:i/>
          <w:iCs/>
          <w:lang w:val="en-ZA"/>
        </w:rPr>
        <w:t xml:space="preserve"> </w:t>
      </w:r>
    </w:p>
    <w:p w14:paraId="77E5FDA1" w14:textId="37421C38" w:rsidR="00543C65" w:rsidRDefault="00543C65" w:rsidP="00543C65">
      <w:pPr>
        <w:rPr>
          <w:lang w:val="en-ZA"/>
        </w:rPr>
      </w:pPr>
      <w:r>
        <w:rPr>
          <w:lang w:val="en-ZA"/>
        </w:rPr>
        <w:t xml:space="preserve">A. </w:t>
      </w:r>
      <w:r w:rsidRPr="00543C65">
        <w:rPr>
          <w:lang w:val="en-ZA"/>
        </w:rPr>
        <w:t xml:space="preserve">All disbursements need prior written approval from the </w:t>
      </w:r>
      <w:r>
        <w:rPr>
          <w:lang w:val="en-ZA"/>
        </w:rPr>
        <w:t>C</w:t>
      </w:r>
      <w:r w:rsidRPr="00543C65">
        <w:rPr>
          <w:lang w:val="en-ZA"/>
        </w:rPr>
        <w:t>ity.</w:t>
      </w:r>
      <w:r>
        <w:rPr>
          <w:lang w:val="en-ZA"/>
        </w:rPr>
        <w:t xml:space="preserve"> (CS)</w:t>
      </w:r>
    </w:p>
    <w:p w14:paraId="046CCE5B" w14:textId="77777777" w:rsidR="00543C65" w:rsidRDefault="00543C65" w:rsidP="00543C65"/>
    <w:p w14:paraId="38A79F54" w14:textId="3B911857" w:rsidR="00543C65" w:rsidRPr="008424C5" w:rsidRDefault="00543C65" w:rsidP="00543C65">
      <w:pPr>
        <w:rPr>
          <w:b/>
          <w:bCs/>
          <w:i/>
          <w:iCs/>
          <w:lang w:val="en-ZA"/>
        </w:rPr>
      </w:pPr>
      <w:r w:rsidRPr="008424C5">
        <w:rPr>
          <w:b/>
          <w:bCs/>
          <w:i/>
          <w:iCs/>
        </w:rPr>
        <w:t>Q.</w:t>
      </w:r>
      <w:r w:rsidRPr="008424C5">
        <w:rPr>
          <w:b/>
          <w:bCs/>
          <w:i/>
          <w:iCs/>
          <w:lang w:val="en-ZA"/>
        </w:rPr>
        <w:t xml:space="preserve"> I just want a clarification. Page 45, clause 3.51. There's a list of documents that has to be provided. I understand A and B, which has to be provided in terms of</w:t>
      </w:r>
      <w:r w:rsidR="008424C5">
        <w:rPr>
          <w:b/>
          <w:bCs/>
          <w:i/>
          <w:iCs/>
          <w:lang w:val="en-ZA"/>
        </w:rPr>
        <w:t xml:space="preserve"> </w:t>
      </w:r>
      <w:r w:rsidRPr="008424C5">
        <w:rPr>
          <w:b/>
          <w:bCs/>
          <w:i/>
          <w:iCs/>
          <w:lang w:val="en-ZA"/>
        </w:rPr>
        <w:t>submitting a tender. But C and D, is that only when you are, when you have qualified that your bid has been awarded, is that in respect of that? Or is it now that you have to submit those delivery programs?</w:t>
      </w:r>
      <w:r w:rsidR="008424C5" w:rsidRPr="008424C5">
        <w:rPr>
          <w:b/>
          <w:bCs/>
          <w:i/>
          <w:iCs/>
          <w:lang w:val="en-ZA"/>
        </w:rPr>
        <w:t xml:space="preserve"> </w:t>
      </w:r>
      <w:r w:rsidRPr="008424C5">
        <w:rPr>
          <w:b/>
          <w:bCs/>
          <w:i/>
          <w:iCs/>
          <w:lang w:val="en-ZA"/>
        </w:rPr>
        <w:t>and other requirements, I'm not sure.</w:t>
      </w:r>
      <w:r w:rsidR="00D31F17" w:rsidRPr="008424C5">
        <w:rPr>
          <w:b/>
          <w:bCs/>
          <w:i/>
          <w:iCs/>
          <w:lang w:val="en-ZA"/>
        </w:rPr>
        <w:t xml:space="preserve"> </w:t>
      </w:r>
    </w:p>
    <w:p w14:paraId="3D4CE4F6" w14:textId="47087CD6" w:rsidR="00543C65" w:rsidRPr="00543C65" w:rsidRDefault="00543C65" w:rsidP="00543C65">
      <w:r w:rsidRPr="004618AD">
        <w:rPr>
          <w:lang w:val="en-ZA"/>
        </w:rPr>
        <w:t xml:space="preserve">A. </w:t>
      </w:r>
      <w:r>
        <w:rPr>
          <w:lang w:val="en-ZA"/>
        </w:rPr>
        <w:t>T</w:t>
      </w:r>
      <w:r w:rsidRPr="00543C65">
        <w:rPr>
          <w:lang w:val="en-ZA"/>
        </w:rPr>
        <w:t>hose A and B needs to be submitted with the Tender document, the initial delivery programme and other requirements such as the</w:t>
      </w:r>
      <w:r w:rsidR="00D31F17">
        <w:rPr>
          <w:lang w:val="en-ZA"/>
        </w:rPr>
        <w:t xml:space="preserve"> i</w:t>
      </w:r>
      <w:r w:rsidRPr="00543C65">
        <w:rPr>
          <w:lang w:val="en-ZA"/>
        </w:rPr>
        <w:t xml:space="preserve">nsurances and </w:t>
      </w:r>
      <w:r w:rsidR="00D31F17" w:rsidRPr="00543C65">
        <w:rPr>
          <w:lang w:val="en-ZA"/>
        </w:rPr>
        <w:t>those types of things</w:t>
      </w:r>
      <w:r w:rsidRPr="00543C65">
        <w:rPr>
          <w:lang w:val="en-ZA"/>
        </w:rPr>
        <w:t xml:space="preserve"> can</w:t>
      </w:r>
      <w:r w:rsidR="00D31F17">
        <w:rPr>
          <w:lang w:val="en-ZA"/>
        </w:rPr>
        <w:t xml:space="preserve"> </w:t>
      </w:r>
      <w:r w:rsidRPr="00543C65">
        <w:rPr>
          <w:lang w:val="en-ZA"/>
        </w:rPr>
        <w:t xml:space="preserve">be submitted on </w:t>
      </w:r>
      <w:r w:rsidR="00346618">
        <w:rPr>
          <w:lang w:val="en-ZA"/>
        </w:rPr>
        <w:t>issue of a purchase order as per the tender document</w:t>
      </w:r>
      <w:r w:rsidRPr="00543C65">
        <w:rPr>
          <w:lang w:val="en-ZA"/>
        </w:rPr>
        <w:t>.</w:t>
      </w:r>
      <w:r w:rsidR="00D31F17">
        <w:rPr>
          <w:lang w:val="en-ZA"/>
        </w:rPr>
        <w:t xml:space="preserve"> (CS)</w:t>
      </w:r>
      <w:r w:rsidRPr="00543C65">
        <w:rPr>
          <w:lang w:val="en-ZA"/>
        </w:rPr>
        <w:br/>
      </w:r>
    </w:p>
    <w:p w14:paraId="7C6DE4F6" w14:textId="4D673FA9" w:rsidR="00D31F17" w:rsidRPr="00346618" w:rsidRDefault="00D31F17" w:rsidP="00BF320D">
      <w:pPr>
        <w:rPr>
          <w:b/>
          <w:bCs/>
          <w:i/>
          <w:iCs/>
          <w:lang w:val="en-ZA"/>
        </w:rPr>
      </w:pPr>
      <w:r w:rsidRPr="00346618">
        <w:rPr>
          <w:b/>
          <w:bCs/>
          <w:i/>
          <w:iCs/>
        </w:rPr>
        <w:t xml:space="preserve">Q. </w:t>
      </w:r>
      <w:r w:rsidRPr="00346618">
        <w:rPr>
          <w:b/>
          <w:bCs/>
          <w:i/>
          <w:iCs/>
          <w:lang w:val="en-ZA"/>
        </w:rPr>
        <w:t xml:space="preserve">I just wanted to find out regarding the 60 points that you were referring to earlier, where it's two points for the lead conveyancer per year as being a conveyancer, and then you </w:t>
      </w:r>
      <w:r w:rsidRPr="00346618">
        <w:rPr>
          <w:b/>
          <w:bCs/>
          <w:i/>
          <w:iCs/>
          <w:lang w:val="en-ZA"/>
        </w:rPr>
        <w:lastRenderedPageBreak/>
        <w:t>referred to also the local government transfers one point, the transfer is that also</w:t>
      </w:r>
      <w:r w:rsidRPr="00346618">
        <w:rPr>
          <w:b/>
          <w:bCs/>
          <w:i/>
          <w:iCs/>
          <w:lang w:val="en-ZA"/>
        </w:rPr>
        <w:br/>
        <w:t xml:space="preserve">the transfers done by the lead conveyancer or the whole team of conveyancers? </w:t>
      </w:r>
    </w:p>
    <w:p w14:paraId="04C7DF5A" w14:textId="7AF02356" w:rsidR="00D31F17" w:rsidRPr="00D31F17" w:rsidRDefault="00D31F17" w:rsidP="00BF320D">
      <w:r w:rsidRPr="004618AD">
        <w:rPr>
          <w:lang w:val="en-ZA"/>
        </w:rPr>
        <w:t xml:space="preserve">A. </w:t>
      </w:r>
      <w:r w:rsidRPr="00D31F17">
        <w:rPr>
          <w:lang w:val="en-ZA"/>
        </w:rPr>
        <w:t>It will be in terms of the whole team. Just to clarify, that years of experience for the lead conveyancer is a maximum of 30 points. So if you have 15 years of experience, you will get the 30 points.</w:t>
      </w:r>
      <w:r>
        <w:rPr>
          <w:lang w:val="en-ZA"/>
        </w:rPr>
        <w:t xml:space="preserve"> (CS)</w:t>
      </w:r>
    </w:p>
    <w:p w14:paraId="2FDDF286" w14:textId="77777777" w:rsidR="002A7F2E" w:rsidRDefault="002A7F2E" w:rsidP="00BF320D">
      <w:pPr>
        <w:rPr>
          <w:i/>
          <w:iCs/>
        </w:rPr>
      </w:pPr>
    </w:p>
    <w:p w14:paraId="755D0372" w14:textId="0D0216D5" w:rsidR="00D31F17" w:rsidRPr="00F04F10" w:rsidRDefault="00D31F17" w:rsidP="00BF320D">
      <w:pPr>
        <w:rPr>
          <w:b/>
          <w:bCs/>
          <w:i/>
          <w:iCs/>
          <w:lang w:val="en-ZA"/>
        </w:rPr>
      </w:pPr>
      <w:r w:rsidRPr="00F04F10">
        <w:rPr>
          <w:b/>
          <w:bCs/>
          <w:i/>
          <w:iCs/>
        </w:rPr>
        <w:t xml:space="preserve">Q. </w:t>
      </w:r>
      <w:r w:rsidRPr="00F04F10">
        <w:rPr>
          <w:b/>
          <w:bCs/>
          <w:i/>
          <w:iCs/>
          <w:lang w:val="en-ZA"/>
        </w:rPr>
        <w:t xml:space="preserve">Alright, and then the other transfers you were you referring to, the one point per transfer, that's for the whole team? </w:t>
      </w:r>
    </w:p>
    <w:p w14:paraId="343AC8A2" w14:textId="1700B25F" w:rsidR="00D31F17" w:rsidRDefault="00D31F17" w:rsidP="00BF320D">
      <w:pPr>
        <w:rPr>
          <w:lang w:val="en-ZA"/>
        </w:rPr>
      </w:pPr>
      <w:r w:rsidRPr="004618AD">
        <w:rPr>
          <w:lang w:val="en-ZA"/>
        </w:rPr>
        <w:t xml:space="preserve">A. </w:t>
      </w:r>
      <w:r w:rsidRPr="00D31F17">
        <w:rPr>
          <w:lang w:val="en-ZA"/>
        </w:rPr>
        <w:t>That can be the whole team, yes.</w:t>
      </w:r>
      <w:r>
        <w:rPr>
          <w:lang w:val="en-ZA"/>
        </w:rPr>
        <w:t xml:space="preserve"> (CS)</w:t>
      </w:r>
    </w:p>
    <w:p w14:paraId="5E14D5A1" w14:textId="77777777" w:rsidR="00D31F17" w:rsidRDefault="00D31F17" w:rsidP="00BF320D">
      <w:pPr>
        <w:rPr>
          <w:lang w:val="en-ZA"/>
        </w:rPr>
      </w:pPr>
    </w:p>
    <w:p w14:paraId="0CCF8107" w14:textId="34BCC942" w:rsidR="00B3701C" w:rsidRPr="00320F2C" w:rsidRDefault="00B3701C" w:rsidP="00BF320D">
      <w:pPr>
        <w:rPr>
          <w:b/>
          <w:bCs/>
          <w:i/>
          <w:iCs/>
          <w:lang w:val="en-ZA"/>
        </w:rPr>
      </w:pPr>
      <w:r w:rsidRPr="00320F2C">
        <w:rPr>
          <w:b/>
          <w:bCs/>
          <w:i/>
          <w:iCs/>
        </w:rPr>
        <w:t xml:space="preserve">Q. </w:t>
      </w:r>
      <w:r w:rsidRPr="00320F2C">
        <w:rPr>
          <w:b/>
          <w:bCs/>
          <w:i/>
          <w:iCs/>
          <w:lang w:val="en-ZA"/>
        </w:rPr>
        <w:t>I just wanted to please find out when it comes to the local authority transfers, would you regard auctions?</w:t>
      </w:r>
      <w:r w:rsidRPr="00320F2C">
        <w:rPr>
          <w:rFonts w:ascii="Segoe UI" w:eastAsia="Segoe UI" w:hAnsi="Segoe UI" w:cs="Segoe UI"/>
          <w:b/>
          <w:bCs/>
          <w:color w:val="323130"/>
          <w:spacing w:val="0"/>
          <w:sz w:val="24"/>
          <w:szCs w:val="24"/>
          <w:lang w:val="en-ZA" w:eastAsia="en-ZA"/>
        </w:rPr>
        <w:t xml:space="preserve"> </w:t>
      </w:r>
      <w:r w:rsidRPr="00320F2C">
        <w:rPr>
          <w:b/>
          <w:bCs/>
          <w:i/>
          <w:iCs/>
        </w:rPr>
        <w:t>A</w:t>
      </w:r>
      <w:r w:rsidRPr="00320F2C">
        <w:rPr>
          <w:b/>
          <w:bCs/>
          <w:i/>
          <w:iCs/>
          <w:lang w:val="en-ZA"/>
        </w:rPr>
        <w:t xml:space="preserve">s one of the local government transfers or not? </w:t>
      </w:r>
    </w:p>
    <w:p w14:paraId="1718300D" w14:textId="64DF6268" w:rsidR="00B3701C" w:rsidRDefault="00B3701C" w:rsidP="00BF320D">
      <w:pPr>
        <w:rPr>
          <w:lang w:val="en-ZA"/>
        </w:rPr>
      </w:pPr>
      <w:r>
        <w:rPr>
          <w:lang w:val="en-ZA"/>
        </w:rPr>
        <w:t xml:space="preserve">Clarifying question: </w:t>
      </w:r>
      <w:r w:rsidRPr="004618AD">
        <w:rPr>
          <w:lang w:val="en-ZA"/>
        </w:rPr>
        <w:t>Is the municipality a party to the transfer?</w:t>
      </w:r>
      <w:r>
        <w:rPr>
          <w:lang w:val="en-ZA"/>
        </w:rPr>
        <w:t xml:space="preserve"> </w:t>
      </w:r>
      <w:r w:rsidR="00553DFE">
        <w:rPr>
          <w:lang w:val="en-ZA"/>
        </w:rPr>
        <w:t xml:space="preserve"> </w:t>
      </w:r>
      <w:r>
        <w:rPr>
          <w:lang w:val="en-ZA"/>
        </w:rPr>
        <w:t>(CS)</w:t>
      </w:r>
    </w:p>
    <w:p w14:paraId="0C8872EC" w14:textId="5990CA29" w:rsidR="00553DFE" w:rsidRPr="00C37C81" w:rsidRDefault="00553DFE" w:rsidP="00BF320D">
      <w:pPr>
        <w:rPr>
          <w:b/>
          <w:bCs/>
          <w:i/>
          <w:iCs/>
          <w:lang w:val="en-ZA"/>
        </w:rPr>
      </w:pPr>
      <w:r w:rsidRPr="00C37C81">
        <w:rPr>
          <w:b/>
          <w:bCs/>
          <w:i/>
          <w:iCs/>
          <w:lang w:val="en-ZA"/>
        </w:rPr>
        <w:t>Q. To a degree, yes. Because I mean, the default judgement would have come from the municipality, say for arrear rates, for instance, and the property ends up being transferred by virtue of that judgment. Would you consider those as</w:t>
      </w:r>
      <w:r w:rsidR="00C37C81">
        <w:rPr>
          <w:b/>
          <w:bCs/>
          <w:i/>
          <w:iCs/>
          <w:lang w:val="en-ZA"/>
        </w:rPr>
        <w:t xml:space="preserve"> local government?</w:t>
      </w:r>
    </w:p>
    <w:p w14:paraId="1FEDF51E" w14:textId="34111A66" w:rsidR="00553DFE" w:rsidRPr="00C37C81" w:rsidRDefault="00553DFE" w:rsidP="00BF320D">
      <w:r w:rsidRPr="004618AD">
        <w:rPr>
          <w:lang w:val="en-ZA"/>
        </w:rPr>
        <w:t xml:space="preserve">A. </w:t>
      </w:r>
      <w:r w:rsidRPr="00553DFE">
        <w:rPr>
          <w:lang w:val="en-ZA"/>
        </w:rPr>
        <w:t>No, no, that that's a that's a sheriff auction.</w:t>
      </w:r>
      <w:r>
        <w:rPr>
          <w:lang w:val="en-ZA"/>
        </w:rPr>
        <w:t xml:space="preserve"> </w:t>
      </w:r>
      <w:r w:rsidRPr="00553DFE">
        <w:rPr>
          <w:lang w:val="en-ZA"/>
        </w:rPr>
        <w:t>No, that's not a local government transaction.</w:t>
      </w:r>
      <w:r>
        <w:rPr>
          <w:lang w:val="en-ZA"/>
        </w:rPr>
        <w:t xml:space="preserve"> (CS)</w:t>
      </w:r>
    </w:p>
    <w:p w14:paraId="6D32C4EB" w14:textId="77777777" w:rsidR="00553DFE" w:rsidRDefault="00553DFE" w:rsidP="00BF320D"/>
    <w:p w14:paraId="5D074B66" w14:textId="78272E22" w:rsidR="00553DFE" w:rsidRPr="001E64EA" w:rsidRDefault="00553DFE" w:rsidP="00BF320D">
      <w:pPr>
        <w:rPr>
          <w:b/>
          <w:bCs/>
          <w:i/>
          <w:iCs/>
          <w:lang w:val="en-ZA"/>
        </w:rPr>
      </w:pPr>
      <w:r w:rsidRPr="001E64EA">
        <w:rPr>
          <w:b/>
          <w:bCs/>
          <w:i/>
          <w:iCs/>
        </w:rPr>
        <w:t xml:space="preserve">Q. </w:t>
      </w:r>
      <w:r w:rsidRPr="001E64EA">
        <w:rPr>
          <w:b/>
          <w:bCs/>
          <w:i/>
          <w:iCs/>
          <w:lang w:val="en-ZA"/>
        </w:rPr>
        <w:t>I just wanted to find out if the director doesn't have a conve</w:t>
      </w:r>
      <w:r w:rsidR="006016D1" w:rsidRPr="001E64EA">
        <w:rPr>
          <w:b/>
          <w:bCs/>
          <w:i/>
          <w:iCs/>
          <w:lang w:val="en-ZA"/>
        </w:rPr>
        <w:t xml:space="preserve">yancing </w:t>
      </w:r>
      <w:r w:rsidRPr="001E64EA">
        <w:rPr>
          <w:b/>
          <w:bCs/>
          <w:i/>
          <w:iCs/>
          <w:lang w:val="en-ZA"/>
        </w:rPr>
        <w:t>admission, but there's someone within the firm who has the</w:t>
      </w:r>
      <w:r w:rsidR="006016D1" w:rsidRPr="001E64EA">
        <w:rPr>
          <w:b/>
          <w:bCs/>
          <w:i/>
          <w:iCs/>
          <w:lang w:val="en-ZA"/>
        </w:rPr>
        <w:t xml:space="preserve"> </w:t>
      </w:r>
      <w:r w:rsidR="006016D1" w:rsidRPr="001E64EA">
        <w:rPr>
          <w:b/>
          <w:bCs/>
          <w:i/>
          <w:iCs/>
          <w:lang w:val="en-ZA"/>
        </w:rPr>
        <w:t>conveyancing</w:t>
      </w:r>
      <w:r w:rsidR="006016D1" w:rsidRPr="001E64EA">
        <w:rPr>
          <w:b/>
          <w:bCs/>
          <w:i/>
          <w:iCs/>
          <w:lang w:val="en-ZA"/>
        </w:rPr>
        <w:t xml:space="preserve"> </w:t>
      </w:r>
      <w:r w:rsidRPr="001E64EA">
        <w:rPr>
          <w:b/>
          <w:bCs/>
          <w:i/>
          <w:iCs/>
          <w:lang w:val="en-ZA"/>
        </w:rPr>
        <w:t>admission</w:t>
      </w:r>
      <w:r w:rsidR="006016D1" w:rsidRPr="001E64EA">
        <w:rPr>
          <w:b/>
          <w:bCs/>
          <w:i/>
          <w:iCs/>
          <w:lang w:val="en-ZA"/>
        </w:rPr>
        <w:t xml:space="preserve"> b</w:t>
      </w:r>
      <w:r w:rsidRPr="001E64EA">
        <w:rPr>
          <w:b/>
          <w:bCs/>
          <w:i/>
          <w:iCs/>
          <w:lang w:val="en-ZA"/>
        </w:rPr>
        <w:t xml:space="preserve">ut that </w:t>
      </w:r>
      <w:r w:rsidR="006016D1" w:rsidRPr="001E64EA">
        <w:rPr>
          <w:b/>
          <w:bCs/>
          <w:i/>
          <w:iCs/>
          <w:lang w:val="en-ZA"/>
        </w:rPr>
        <w:t xml:space="preserve">conveyancer </w:t>
      </w:r>
      <w:r w:rsidRPr="001E64EA">
        <w:rPr>
          <w:b/>
          <w:bCs/>
          <w:i/>
          <w:iCs/>
          <w:lang w:val="en-ZA"/>
        </w:rPr>
        <w:t>doesn't have a</w:t>
      </w:r>
      <w:r w:rsidR="001E64EA" w:rsidRPr="001E64EA">
        <w:rPr>
          <w:b/>
          <w:bCs/>
          <w:i/>
          <w:iCs/>
          <w:lang w:val="en-ZA"/>
        </w:rPr>
        <w:t xml:space="preserve"> </w:t>
      </w:r>
      <w:r w:rsidRPr="001E64EA">
        <w:rPr>
          <w:b/>
          <w:bCs/>
          <w:i/>
          <w:iCs/>
          <w:lang w:val="en-ZA"/>
        </w:rPr>
        <w:t>fidelity fund</w:t>
      </w:r>
      <w:r w:rsidR="001E64EA" w:rsidRPr="001E64EA">
        <w:rPr>
          <w:b/>
          <w:bCs/>
          <w:i/>
          <w:iCs/>
          <w:lang w:val="en-ZA"/>
        </w:rPr>
        <w:t xml:space="preserve"> certificate</w:t>
      </w:r>
      <w:r w:rsidRPr="001E64EA">
        <w:rPr>
          <w:b/>
          <w:bCs/>
          <w:i/>
          <w:iCs/>
          <w:lang w:val="en-ZA"/>
        </w:rPr>
        <w:t>, but the company does</w:t>
      </w:r>
      <w:r w:rsidR="001E64EA" w:rsidRPr="001E64EA">
        <w:rPr>
          <w:b/>
          <w:bCs/>
          <w:i/>
          <w:iCs/>
          <w:lang w:val="en-ZA"/>
        </w:rPr>
        <w:t xml:space="preserve">. Is that in order? </w:t>
      </w:r>
    </w:p>
    <w:p w14:paraId="4ED12F28" w14:textId="56FEBF67" w:rsidR="00553DFE" w:rsidRDefault="00553DFE" w:rsidP="00BF320D">
      <w:pPr>
        <w:rPr>
          <w:lang w:val="en-ZA"/>
        </w:rPr>
      </w:pPr>
      <w:r w:rsidRPr="004618AD">
        <w:t xml:space="preserve">A. </w:t>
      </w:r>
      <w:r w:rsidR="001E64EA">
        <w:t>Y</w:t>
      </w:r>
      <w:r w:rsidRPr="00553DFE">
        <w:rPr>
          <w:lang w:val="en-ZA"/>
        </w:rPr>
        <w:t xml:space="preserve">es, if the company, if somebody at the company has a Fidelity Fund </w:t>
      </w:r>
      <w:r w:rsidR="004618AD" w:rsidRPr="00553DFE">
        <w:rPr>
          <w:lang w:val="en-ZA"/>
        </w:rPr>
        <w:t xml:space="preserve">certificate, </w:t>
      </w:r>
      <w:r w:rsidR="004618AD">
        <w:rPr>
          <w:lang w:val="en-ZA"/>
        </w:rPr>
        <w:t xml:space="preserve"> </w:t>
      </w:r>
      <w:r>
        <w:rPr>
          <w:lang w:val="en-ZA"/>
        </w:rPr>
        <w:t xml:space="preserve">        </w:t>
      </w:r>
      <w:r w:rsidRPr="00553DFE">
        <w:rPr>
          <w:lang w:val="en-ZA"/>
        </w:rPr>
        <w:t>that is acceptable, but  if that person is not an admitted conveyancer, you cannot list them as your lead conveyancer.</w:t>
      </w:r>
      <w:r>
        <w:rPr>
          <w:lang w:val="en-ZA"/>
        </w:rPr>
        <w:t xml:space="preserve"> </w:t>
      </w:r>
      <w:r w:rsidRPr="00553DFE">
        <w:rPr>
          <w:lang w:val="en-ZA"/>
        </w:rPr>
        <w:t>The actual conveyance must be listed</w:t>
      </w:r>
      <w:r w:rsidR="00DA459F">
        <w:rPr>
          <w:lang w:val="en-ZA"/>
        </w:rPr>
        <w:t xml:space="preserve"> as the lead conveyancer</w:t>
      </w:r>
      <w:r w:rsidRPr="00553DFE">
        <w:rPr>
          <w:lang w:val="en-ZA"/>
        </w:rPr>
        <w:t>.</w:t>
      </w:r>
      <w:r>
        <w:rPr>
          <w:lang w:val="en-ZA"/>
        </w:rPr>
        <w:t xml:space="preserve"> (CS)</w:t>
      </w:r>
    </w:p>
    <w:p w14:paraId="4971AF5E" w14:textId="77777777" w:rsidR="00CC5AA8" w:rsidRPr="004618AD" w:rsidRDefault="00CC5AA8" w:rsidP="00BF320D">
      <w:pPr>
        <w:rPr>
          <w:lang w:val="en-ZA"/>
        </w:rPr>
      </w:pPr>
    </w:p>
    <w:p w14:paraId="24C11B4E" w14:textId="0BE09322" w:rsidR="00553DFE" w:rsidRPr="00DA459F" w:rsidRDefault="00553DFE" w:rsidP="00BF320D">
      <w:pPr>
        <w:rPr>
          <w:b/>
          <w:bCs/>
          <w:i/>
          <w:iCs/>
          <w:lang w:val="en-ZA"/>
        </w:rPr>
      </w:pPr>
      <w:r w:rsidRPr="00DA459F">
        <w:rPr>
          <w:b/>
          <w:bCs/>
          <w:i/>
          <w:iCs/>
        </w:rPr>
        <w:t xml:space="preserve">Q. </w:t>
      </w:r>
      <w:r w:rsidRPr="00DA459F">
        <w:rPr>
          <w:b/>
          <w:bCs/>
          <w:i/>
          <w:iCs/>
          <w:lang w:val="en-ZA"/>
        </w:rPr>
        <w:t xml:space="preserve">Mine is on the human </w:t>
      </w:r>
      <w:r w:rsidR="004618AD" w:rsidRPr="00DA459F">
        <w:rPr>
          <w:b/>
          <w:bCs/>
          <w:i/>
          <w:iCs/>
          <w:lang w:val="en-ZA"/>
        </w:rPr>
        <w:t>settlements’</w:t>
      </w:r>
      <w:r w:rsidRPr="00DA459F">
        <w:rPr>
          <w:b/>
          <w:bCs/>
          <w:i/>
          <w:iCs/>
          <w:lang w:val="en-ZA"/>
        </w:rPr>
        <w:t xml:space="preserve"> transfers. I'm assuming they fall under non-local government. </w:t>
      </w:r>
      <w:r w:rsidR="004618AD" w:rsidRPr="00DA459F">
        <w:rPr>
          <w:b/>
          <w:bCs/>
          <w:i/>
          <w:iCs/>
          <w:lang w:val="en-ZA"/>
        </w:rPr>
        <w:t>So,</w:t>
      </w:r>
      <w:r w:rsidRPr="00DA459F">
        <w:rPr>
          <w:b/>
          <w:bCs/>
          <w:i/>
          <w:iCs/>
          <w:lang w:val="en-ZA"/>
        </w:rPr>
        <w:t xml:space="preserve"> should we also just state that these are from human settlements?</w:t>
      </w:r>
    </w:p>
    <w:p w14:paraId="087772D0" w14:textId="1ED21292" w:rsidR="00553DFE" w:rsidRDefault="008C1EC4" w:rsidP="00BF320D">
      <w:pPr>
        <w:rPr>
          <w:lang w:val="en-ZA"/>
        </w:rPr>
      </w:pPr>
      <w:r>
        <w:t>Clarifying question</w:t>
      </w:r>
      <w:r w:rsidR="00553DFE">
        <w:t xml:space="preserve">: </w:t>
      </w:r>
      <w:r w:rsidR="00553DFE" w:rsidRPr="00553DFE">
        <w:rPr>
          <w:lang w:val="en-ZA"/>
        </w:rPr>
        <w:t>If the human settlements transactions that you are referring to is a local government, w</w:t>
      </w:r>
      <w:r w:rsidR="004D4863">
        <w:rPr>
          <w:lang w:val="en-ZA"/>
        </w:rPr>
        <w:t xml:space="preserve">ho was </w:t>
      </w:r>
      <w:r w:rsidR="00553DFE" w:rsidRPr="00553DFE">
        <w:rPr>
          <w:lang w:val="en-ZA"/>
        </w:rPr>
        <w:t xml:space="preserve"> the party transferring it to an individual?</w:t>
      </w:r>
      <w:r w:rsidR="00553DFE">
        <w:rPr>
          <w:lang w:val="en-ZA"/>
        </w:rPr>
        <w:t xml:space="preserve"> </w:t>
      </w:r>
      <w:r>
        <w:rPr>
          <w:lang w:val="en-ZA"/>
        </w:rPr>
        <w:t>(</w:t>
      </w:r>
      <w:r w:rsidR="00553DFE">
        <w:rPr>
          <w:lang w:val="en-ZA"/>
        </w:rPr>
        <w:t>CS)</w:t>
      </w:r>
    </w:p>
    <w:p w14:paraId="57369C25" w14:textId="7C1F3E0E" w:rsidR="008C1EC4" w:rsidRPr="004D4863" w:rsidRDefault="008C1EC4" w:rsidP="00BF320D">
      <w:pPr>
        <w:rPr>
          <w:b/>
          <w:bCs/>
          <w:i/>
          <w:iCs/>
          <w:lang w:val="en-ZA"/>
        </w:rPr>
      </w:pPr>
      <w:r w:rsidRPr="004D4863">
        <w:rPr>
          <w:b/>
          <w:bCs/>
          <w:i/>
          <w:iCs/>
        </w:rPr>
        <w:t xml:space="preserve">Response: </w:t>
      </w:r>
      <w:r w:rsidRPr="004D4863">
        <w:rPr>
          <w:b/>
          <w:bCs/>
          <w:i/>
          <w:iCs/>
          <w:lang w:val="en-ZA"/>
        </w:rPr>
        <w:t>Yes</w:t>
      </w:r>
      <w:r w:rsidRPr="004D4863">
        <w:rPr>
          <w:b/>
          <w:bCs/>
          <w:lang w:val="en-ZA"/>
        </w:rPr>
        <w:t xml:space="preserve"> </w:t>
      </w:r>
    </w:p>
    <w:p w14:paraId="2BAF3945" w14:textId="1AC410E9" w:rsidR="008C1EC4" w:rsidRDefault="008C1EC4" w:rsidP="008C1EC4">
      <w:pPr>
        <w:rPr>
          <w:lang w:val="en-ZA"/>
        </w:rPr>
      </w:pPr>
      <w:r w:rsidRPr="008C1EC4">
        <w:t xml:space="preserve">A. </w:t>
      </w:r>
      <w:r>
        <w:rPr>
          <w:lang w:val="en-ZA"/>
        </w:rPr>
        <w:t>T</w:t>
      </w:r>
      <w:r w:rsidRPr="008C1EC4">
        <w:rPr>
          <w:lang w:val="en-ZA"/>
        </w:rPr>
        <w:t>hen it is a local government transaction.</w:t>
      </w:r>
      <w:r>
        <w:rPr>
          <w:lang w:val="en-ZA"/>
        </w:rPr>
        <w:t xml:space="preserve"> (CS)</w:t>
      </w:r>
    </w:p>
    <w:p w14:paraId="2A2DB279" w14:textId="77777777" w:rsidR="008C1EC4" w:rsidRDefault="008C1EC4" w:rsidP="008C1EC4">
      <w:pPr>
        <w:rPr>
          <w:lang w:val="en-ZA"/>
        </w:rPr>
      </w:pPr>
    </w:p>
    <w:p w14:paraId="2C7486B5" w14:textId="746C8B03" w:rsidR="008C1EC4" w:rsidRPr="00AF3F26" w:rsidRDefault="008C1EC4" w:rsidP="008C1EC4">
      <w:pPr>
        <w:rPr>
          <w:b/>
          <w:bCs/>
          <w:i/>
          <w:iCs/>
          <w:lang w:val="en-ZA"/>
        </w:rPr>
      </w:pPr>
      <w:r w:rsidRPr="00AF3F26">
        <w:rPr>
          <w:b/>
          <w:bCs/>
          <w:i/>
          <w:iCs/>
          <w:lang w:val="en-ZA"/>
        </w:rPr>
        <w:t xml:space="preserve">Q. You did mention that you're only looking for </w:t>
      </w:r>
      <w:r w:rsidR="00AF3F26" w:rsidRPr="00AF3F26">
        <w:rPr>
          <w:b/>
          <w:bCs/>
          <w:i/>
          <w:iCs/>
          <w:lang w:val="en-ZA"/>
        </w:rPr>
        <w:t>a</w:t>
      </w:r>
      <w:r w:rsidRPr="00AF3F26">
        <w:rPr>
          <w:b/>
          <w:bCs/>
          <w:i/>
          <w:iCs/>
          <w:lang w:val="en-ZA"/>
        </w:rPr>
        <w:t xml:space="preserve"> panel</w:t>
      </w:r>
      <w:r w:rsidR="00AF3F26" w:rsidRPr="00AF3F26">
        <w:rPr>
          <w:b/>
          <w:bCs/>
          <w:i/>
          <w:iCs/>
          <w:lang w:val="en-ZA"/>
        </w:rPr>
        <w:t xml:space="preserve"> of 10</w:t>
      </w:r>
      <w:r w:rsidRPr="00AF3F26">
        <w:rPr>
          <w:b/>
          <w:bCs/>
          <w:i/>
          <w:iCs/>
          <w:lang w:val="en-ZA"/>
        </w:rPr>
        <w:t>. Am I correct?</w:t>
      </w:r>
      <w:r w:rsidR="000E28DD" w:rsidRPr="00AF3F26">
        <w:rPr>
          <w:b/>
          <w:bCs/>
          <w:i/>
          <w:iCs/>
          <w:lang w:val="en-ZA"/>
        </w:rPr>
        <w:t xml:space="preserve"> </w:t>
      </w:r>
    </w:p>
    <w:p w14:paraId="3430E020" w14:textId="5D586461" w:rsidR="008C1EC4" w:rsidRDefault="000E28DD" w:rsidP="008C1EC4">
      <w:pPr>
        <w:rPr>
          <w:lang w:val="en-ZA"/>
        </w:rPr>
      </w:pPr>
      <w:r>
        <w:t xml:space="preserve">A. </w:t>
      </w:r>
      <w:r w:rsidRPr="000E28DD">
        <w:rPr>
          <w:lang w:val="en-ZA"/>
        </w:rPr>
        <w:t>Yes, the panel will be 10 service providers. That's the maximum amount of service providers that we will be appointing with five alternatives, but we also reserve the right not to appoint 10 service providers.</w:t>
      </w:r>
      <w:r>
        <w:rPr>
          <w:lang w:val="en-ZA"/>
        </w:rPr>
        <w:t xml:space="preserve"> (CS)</w:t>
      </w:r>
    </w:p>
    <w:p w14:paraId="1CBC2058" w14:textId="77777777" w:rsidR="000E28DD" w:rsidRDefault="000E28DD" w:rsidP="008C1EC4">
      <w:pPr>
        <w:rPr>
          <w:lang w:val="en-ZA"/>
        </w:rPr>
      </w:pPr>
    </w:p>
    <w:p w14:paraId="619B7B51" w14:textId="09E1E371" w:rsidR="000E28DD" w:rsidRPr="00AF3F26" w:rsidRDefault="000E28DD" w:rsidP="008C1EC4">
      <w:pPr>
        <w:rPr>
          <w:b/>
          <w:bCs/>
          <w:i/>
          <w:iCs/>
        </w:rPr>
      </w:pPr>
      <w:r w:rsidRPr="00AF3F26">
        <w:rPr>
          <w:b/>
          <w:bCs/>
          <w:i/>
          <w:iCs/>
        </w:rPr>
        <w:t>Q.</w:t>
      </w:r>
      <w:r w:rsidRPr="00AF3F26">
        <w:rPr>
          <w:rFonts w:ascii="Segoe UI" w:eastAsia="Segoe UI" w:hAnsi="Segoe UI" w:cs="Segoe UI"/>
          <w:b/>
          <w:bCs/>
          <w:i/>
          <w:iCs/>
          <w:color w:val="323130"/>
          <w:spacing w:val="0"/>
          <w:sz w:val="24"/>
          <w:szCs w:val="24"/>
          <w:lang w:val="en-ZA" w:eastAsia="en-ZA"/>
        </w:rPr>
        <w:t xml:space="preserve"> </w:t>
      </w:r>
      <w:r w:rsidRPr="00AF3F26">
        <w:rPr>
          <w:b/>
          <w:bCs/>
          <w:i/>
          <w:iCs/>
          <w:lang w:val="en-ZA"/>
        </w:rPr>
        <w:t xml:space="preserve">After the briefing, do you expect an addendum to be issued in respect of the </w:t>
      </w:r>
      <w:r w:rsidR="00AF3F26">
        <w:rPr>
          <w:b/>
          <w:bCs/>
          <w:i/>
          <w:iCs/>
          <w:lang w:val="en-ZA"/>
        </w:rPr>
        <w:t>t</w:t>
      </w:r>
      <w:r w:rsidRPr="00AF3F26">
        <w:rPr>
          <w:b/>
          <w:bCs/>
          <w:i/>
          <w:iCs/>
          <w:lang w:val="en-ZA"/>
        </w:rPr>
        <w:t xml:space="preserve">ender? </w:t>
      </w:r>
    </w:p>
    <w:p w14:paraId="0EB82D15" w14:textId="01190A3A" w:rsidR="000E28DD" w:rsidRPr="004618AD" w:rsidRDefault="000E28DD" w:rsidP="008C1EC4">
      <w:pPr>
        <w:rPr>
          <w:lang w:val="en-ZA"/>
        </w:rPr>
      </w:pPr>
      <w:r w:rsidRPr="004618AD">
        <w:t xml:space="preserve">A. </w:t>
      </w:r>
      <w:r w:rsidR="00AF3F26">
        <w:rPr>
          <w:lang w:val="en-ZA"/>
        </w:rPr>
        <w:t>No</w:t>
      </w:r>
      <w:r>
        <w:rPr>
          <w:lang w:val="en-ZA"/>
        </w:rPr>
        <w:t>(CS)</w:t>
      </w:r>
    </w:p>
    <w:p w14:paraId="0DEC1E11" w14:textId="77777777" w:rsidR="008C1EC4" w:rsidRPr="008C1EC4" w:rsidRDefault="008C1EC4" w:rsidP="008C1EC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386FBD" w:rsidRPr="002C2E7D" w14:paraId="04EB7110" w14:textId="77777777" w:rsidTr="007636C1">
        <w:trPr>
          <w:trHeight w:val="485"/>
        </w:trPr>
        <w:tc>
          <w:tcPr>
            <w:tcW w:w="9350" w:type="dxa"/>
            <w:shd w:val="clear" w:color="auto" w:fill="E0E8F4" w:themeFill="accent6" w:themeFillTint="33"/>
          </w:tcPr>
          <w:p w14:paraId="1886C2CA" w14:textId="3F84FE3C" w:rsidR="00386FBD" w:rsidRPr="002C2E7D" w:rsidRDefault="00C00FE5" w:rsidP="002C2E7D">
            <w:pPr>
              <w:pStyle w:val="Heading1"/>
            </w:pPr>
            <w:r>
              <w:t>CLOSURE</w:t>
            </w:r>
          </w:p>
        </w:tc>
      </w:tr>
      <w:tr w:rsidR="00386FBD" w14:paraId="0CAED509" w14:textId="77777777" w:rsidTr="007636C1">
        <w:trPr>
          <w:trHeight w:val="854"/>
        </w:trPr>
        <w:tc>
          <w:tcPr>
            <w:tcW w:w="9350" w:type="dxa"/>
          </w:tcPr>
          <w:p w14:paraId="70C4A9CA" w14:textId="77777777" w:rsidR="00CC5AA8" w:rsidRDefault="00C00FE5" w:rsidP="00C00FE5">
            <w:pPr>
              <w:rPr>
                <w:lang w:val="en-ZA"/>
              </w:rPr>
            </w:pPr>
            <w:r>
              <w:rPr>
                <w:lang w:val="en-ZA"/>
              </w:rPr>
              <w:t>When</w:t>
            </w:r>
            <w:r w:rsidRPr="00C00FE5">
              <w:rPr>
                <w:lang w:val="en-ZA"/>
              </w:rPr>
              <w:t xml:space="preserve"> you list the transactions</w:t>
            </w:r>
            <w:r>
              <w:rPr>
                <w:lang w:val="en-ZA"/>
              </w:rPr>
              <w:t xml:space="preserve"> do </w:t>
            </w:r>
            <w:r w:rsidR="005636ED">
              <w:rPr>
                <w:lang w:val="en-ZA"/>
              </w:rPr>
              <w:t>not</w:t>
            </w:r>
            <w:r w:rsidR="005636ED" w:rsidRPr="00C00FE5">
              <w:rPr>
                <w:lang w:val="en-ZA"/>
              </w:rPr>
              <w:t xml:space="preserve"> </w:t>
            </w:r>
            <w:r w:rsidR="005636ED">
              <w:rPr>
                <w:lang w:val="en-ZA"/>
              </w:rPr>
              <w:t>indicate</w:t>
            </w:r>
            <w:r w:rsidR="005636ED" w:rsidRPr="00C00FE5">
              <w:rPr>
                <w:lang w:val="en-ZA"/>
              </w:rPr>
              <w:t xml:space="preserve"> that</w:t>
            </w:r>
            <w:r w:rsidR="005636ED">
              <w:rPr>
                <w:lang w:val="en-ZA"/>
              </w:rPr>
              <w:t xml:space="preserve"> you </w:t>
            </w:r>
            <w:r w:rsidR="005636ED" w:rsidRPr="005636ED">
              <w:rPr>
                <w:lang w:val="en-ZA"/>
              </w:rPr>
              <w:t>have</w:t>
            </w:r>
            <w:r w:rsidR="005636ED">
              <w:rPr>
                <w:lang w:val="en-ZA"/>
              </w:rPr>
              <w:t xml:space="preserve"> done a lot of </w:t>
            </w:r>
            <w:r w:rsidR="005636ED" w:rsidRPr="005636ED">
              <w:rPr>
                <w:lang w:val="en-ZA"/>
              </w:rPr>
              <w:t xml:space="preserve">the human settlements transactions </w:t>
            </w:r>
            <w:r w:rsidR="005636ED">
              <w:rPr>
                <w:lang w:val="en-ZA"/>
              </w:rPr>
              <w:t xml:space="preserve">we acknowledge they </w:t>
            </w:r>
            <w:r w:rsidR="005636ED" w:rsidRPr="005636ED">
              <w:rPr>
                <w:lang w:val="en-ZA"/>
              </w:rPr>
              <w:t>might be a lot of transactions given at one time.</w:t>
            </w:r>
            <w:r w:rsidR="005636ED">
              <w:rPr>
                <w:lang w:val="en-ZA"/>
              </w:rPr>
              <w:t xml:space="preserve"> </w:t>
            </w:r>
            <w:r w:rsidR="005636ED" w:rsidRPr="005636ED">
              <w:rPr>
                <w:lang w:val="en-ZA"/>
              </w:rPr>
              <w:t>Do</w:t>
            </w:r>
            <w:r w:rsidR="005636ED">
              <w:rPr>
                <w:lang w:val="en-ZA"/>
              </w:rPr>
              <w:t xml:space="preserve"> not </w:t>
            </w:r>
            <w:r w:rsidR="005636ED" w:rsidRPr="005636ED">
              <w:rPr>
                <w:lang w:val="en-ZA"/>
              </w:rPr>
              <w:t>include there that you have done 50 transactions.</w:t>
            </w:r>
            <w:r w:rsidR="005636ED">
              <w:rPr>
                <w:lang w:val="en-ZA"/>
              </w:rPr>
              <w:t xml:space="preserve"> </w:t>
            </w:r>
            <w:r w:rsidR="005636ED" w:rsidRPr="005636ED">
              <w:rPr>
                <w:lang w:val="en-ZA"/>
              </w:rPr>
              <w:t>We cannot accept that as listing the transactions. Take 40 of those or 30 of those and list them, matter by matter.</w:t>
            </w:r>
            <w:r w:rsidR="00CC5AA8">
              <w:rPr>
                <w:lang w:val="en-ZA"/>
              </w:rPr>
              <w:t xml:space="preserve"> B</w:t>
            </w:r>
            <w:r w:rsidR="00CC5AA8" w:rsidRPr="00CC5AA8">
              <w:rPr>
                <w:lang w:val="en-ZA"/>
              </w:rPr>
              <w:t>ecause you didn't provide us with information to verify that you actually attended to that transaction. So, once we go and get that those transaction, we should have done them.</w:t>
            </w:r>
            <w:r w:rsidR="00CC5AA8">
              <w:rPr>
                <w:lang w:val="en-ZA"/>
              </w:rPr>
              <w:t xml:space="preserve"> </w:t>
            </w:r>
            <w:r w:rsidR="00CC5AA8" w:rsidRPr="00CC5AA8">
              <w:rPr>
                <w:lang w:val="en-ZA"/>
              </w:rPr>
              <w:t>There's no need to include more than a maximum of 30 transfers for local government transactions. There's no need to include more than 40 transactions for non-local government because you will only be scored on 30 or 40 depending on</w:t>
            </w:r>
            <w:r w:rsidR="00CC5AA8" w:rsidRPr="00CC5AA8">
              <w:rPr>
                <w:rFonts w:ascii="Segoe UI" w:eastAsia="Segoe UI" w:hAnsi="Segoe UI" w:cs="Segoe UI"/>
                <w:color w:val="323130"/>
                <w:spacing w:val="0"/>
                <w:sz w:val="24"/>
                <w:szCs w:val="24"/>
                <w:lang w:val="en-ZA" w:eastAsia="en-ZA"/>
              </w:rPr>
              <w:t xml:space="preserve"> </w:t>
            </w:r>
            <w:r w:rsidR="00CC5AA8">
              <w:rPr>
                <w:rFonts w:ascii="Segoe UI" w:eastAsia="Segoe UI" w:hAnsi="Segoe UI"/>
                <w:lang w:val="en-ZA" w:eastAsia="en-ZA"/>
              </w:rPr>
              <w:t>w</w:t>
            </w:r>
            <w:r w:rsidR="00CC5AA8" w:rsidRPr="00CC5AA8">
              <w:rPr>
                <w:lang w:val="en-ZA"/>
              </w:rPr>
              <w:t>hich</w:t>
            </w:r>
            <w:r w:rsidR="00CC5AA8" w:rsidRPr="00CC5AA8">
              <w:rPr>
                <w:lang w:val="en-ZA"/>
              </w:rPr>
              <w:br/>
              <w:t>functionality scoring we're looking at</w:t>
            </w:r>
            <w:r w:rsidR="00CC5AA8">
              <w:rPr>
                <w:lang w:val="en-ZA"/>
              </w:rPr>
              <w:t>.</w:t>
            </w:r>
            <w:r w:rsidR="00CC5AA8" w:rsidRPr="00CC5AA8">
              <w:rPr>
                <w:lang w:val="en-ZA"/>
              </w:rPr>
              <w:t xml:space="preserve"> </w:t>
            </w:r>
            <w:r w:rsidR="00CC5AA8">
              <w:rPr>
                <w:lang w:val="en-ZA"/>
              </w:rPr>
              <w:t>Listing</w:t>
            </w:r>
            <w:r w:rsidR="00CC5AA8" w:rsidRPr="00CC5AA8">
              <w:rPr>
                <w:lang w:val="en-ZA"/>
              </w:rPr>
              <w:t xml:space="preserve"> 700 transactions </w:t>
            </w:r>
            <w:r w:rsidR="00CC5AA8">
              <w:rPr>
                <w:lang w:val="en-ZA"/>
              </w:rPr>
              <w:t xml:space="preserve">makes no difference </w:t>
            </w:r>
            <w:r w:rsidR="00CC5AA8" w:rsidRPr="00CC5AA8">
              <w:rPr>
                <w:lang w:val="en-ZA"/>
              </w:rPr>
              <w:t>because you will only get a score of 40 for all of that that you have listed.</w:t>
            </w:r>
          </w:p>
          <w:p w14:paraId="446BE3D8" w14:textId="35A81AFD" w:rsidR="00386FBD" w:rsidRDefault="00CC5AA8" w:rsidP="00BF320D">
            <w:pPr>
              <w:rPr>
                <w:lang w:val="en-ZA"/>
              </w:rPr>
            </w:pPr>
            <w:r w:rsidRPr="00CC5AA8">
              <w:rPr>
                <w:lang w:val="en-ZA"/>
              </w:rPr>
              <w:br/>
            </w:r>
            <w:r w:rsidR="00C00FE5">
              <w:rPr>
                <w:lang w:val="en-ZA"/>
              </w:rPr>
              <w:t>No</w:t>
            </w:r>
            <w:r w:rsidR="00C00FE5" w:rsidRPr="00C00FE5">
              <w:rPr>
                <w:lang w:val="en-ZA"/>
              </w:rPr>
              <w:t xml:space="preserve"> substantive</w:t>
            </w:r>
            <w:r w:rsidR="00C00FE5">
              <w:rPr>
                <w:lang w:val="en-ZA"/>
              </w:rPr>
              <w:t xml:space="preserve"> changes were made </w:t>
            </w:r>
            <w:r w:rsidR="00C00FE5" w:rsidRPr="00C00FE5">
              <w:rPr>
                <w:lang w:val="en-ZA"/>
              </w:rPr>
              <w:t xml:space="preserve">in terms of the </w:t>
            </w:r>
            <w:r w:rsidR="00C00FE5">
              <w:rPr>
                <w:lang w:val="en-ZA"/>
              </w:rPr>
              <w:t>t</w:t>
            </w:r>
            <w:r w:rsidR="00C00FE5" w:rsidRPr="00C00FE5">
              <w:rPr>
                <w:lang w:val="en-ZA"/>
              </w:rPr>
              <w:t>ender document. We clarified aspects in it just</w:t>
            </w:r>
            <w:r w:rsidR="00C00FE5">
              <w:rPr>
                <w:lang w:val="en-ZA"/>
              </w:rPr>
              <w:t xml:space="preserve"> to en</w:t>
            </w:r>
            <w:r w:rsidR="00C00FE5" w:rsidRPr="00C00FE5">
              <w:rPr>
                <w:lang w:val="en-ZA"/>
              </w:rPr>
              <w:t>sure that you know what we require. We did indicate that this briefing</w:t>
            </w:r>
            <w:r w:rsidR="00C00FE5">
              <w:rPr>
                <w:lang w:val="en-ZA"/>
              </w:rPr>
              <w:t xml:space="preserve">, </w:t>
            </w:r>
            <w:r w:rsidR="00C00FE5" w:rsidRPr="00C00FE5">
              <w:rPr>
                <w:lang w:val="en-ZA"/>
              </w:rPr>
              <w:t>clarification meeting isn't required, but highly beneficial.</w:t>
            </w:r>
            <w:r w:rsidR="00C00FE5">
              <w:rPr>
                <w:lang w:val="en-ZA"/>
              </w:rPr>
              <w:t xml:space="preserve"> Hope </w:t>
            </w:r>
            <w:r w:rsidR="00C00FE5" w:rsidRPr="00C00FE5">
              <w:rPr>
                <w:lang w:val="en-ZA"/>
              </w:rPr>
              <w:t>you'll agree why we said it will be highly beneficial</w:t>
            </w:r>
            <w:r w:rsidR="00C00FE5">
              <w:rPr>
                <w:lang w:val="en-ZA"/>
              </w:rPr>
              <w:t xml:space="preserve"> </w:t>
            </w:r>
            <w:r w:rsidR="00C00FE5" w:rsidRPr="00C00FE5">
              <w:rPr>
                <w:lang w:val="en-ZA"/>
              </w:rPr>
              <w:t>for you to attend this meeting.</w:t>
            </w:r>
          </w:p>
          <w:p w14:paraId="2E083A3C" w14:textId="4124EE9B" w:rsidR="004618AD" w:rsidRDefault="004618AD" w:rsidP="00BF320D"/>
        </w:tc>
      </w:tr>
      <w:tr w:rsidR="002A19B9" w14:paraId="103340CE" w14:textId="77777777" w:rsidTr="007636C1">
        <w:trPr>
          <w:trHeight w:val="449"/>
        </w:trPr>
        <w:tc>
          <w:tcPr>
            <w:tcW w:w="9350" w:type="dxa"/>
            <w:shd w:val="clear" w:color="auto" w:fill="E0E8F4" w:themeFill="accent6" w:themeFillTint="33"/>
          </w:tcPr>
          <w:p w14:paraId="0B888A6D" w14:textId="78D87994" w:rsidR="002A19B9" w:rsidRPr="002A19B9" w:rsidRDefault="00C00FE5" w:rsidP="00D72850">
            <w:pPr>
              <w:pStyle w:val="Heading1"/>
            </w:pPr>
            <w:r>
              <w:t>MEETING ADJOURN</w:t>
            </w:r>
          </w:p>
        </w:tc>
      </w:tr>
      <w:tr w:rsidR="00160B9A" w14:paraId="41EFC5C6" w14:textId="77777777" w:rsidTr="007636C1">
        <w:trPr>
          <w:trHeight w:val="1804"/>
        </w:trPr>
        <w:tc>
          <w:tcPr>
            <w:tcW w:w="9350" w:type="dxa"/>
          </w:tcPr>
          <w:p w14:paraId="42BF5A16" w14:textId="357C8100" w:rsidR="00160B9A" w:rsidRDefault="00C00FE5" w:rsidP="00BF320D">
            <w:r w:rsidRPr="00C00FE5">
              <w:rPr>
                <w:lang w:val="en-ZA"/>
              </w:rPr>
              <w:t>If there's no further questions, we can adjourn this meeting. Thank you very much, everybody, for attending. We appreciate it and look forward to receiving your tenders. Have a good day further.</w:t>
            </w:r>
          </w:p>
        </w:tc>
      </w:tr>
    </w:tbl>
    <w:p w14:paraId="687DCE00" w14:textId="3AC318BD" w:rsidR="00CA6B4F" w:rsidRPr="00CA6B4F" w:rsidRDefault="00CA6B4F" w:rsidP="00CA6B4F"/>
    <w:sectPr w:rsidR="00CA6B4F" w:rsidRPr="00CA6B4F" w:rsidSect="00F47B01">
      <w:pgSz w:w="12240" w:h="15840" w:code="1"/>
      <w:pgMar w:top="851" w:right="1440" w:bottom="68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8738A" w14:textId="77777777" w:rsidR="005764A2" w:rsidRDefault="005764A2">
      <w:pPr>
        <w:spacing w:after="0" w:line="240" w:lineRule="auto"/>
      </w:pPr>
      <w:r>
        <w:separator/>
      </w:r>
    </w:p>
  </w:endnote>
  <w:endnote w:type="continuationSeparator" w:id="0">
    <w:p w14:paraId="36E0EF47" w14:textId="77777777" w:rsidR="005764A2" w:rsidRDefault="00576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B1E1A" w14:textId="77777777" w:rsidR="005764A2" w:rsidRDefault="005764A2">
      <w:pPr>
        <w:spacing w:after="0" w:line="240" w:lineRule="auto"/>
      </w:pPr>
      <w:r>
        <w:separator/>
      </w:r>
    </w:p>
  </w:footnote>
  <w:footnote w:type="continuationSeparator" w:id="0">
    <w:p w14:paraId="3A0B7B44" w14:textId="77777777" w:rsidR="005764A2" w:rsidRDefault="005764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0D010A06"/>
    <w:multiLevelType w:val="hybridMultilevel"/>
    <w:tmpl w:val="55BC76E2"/>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32D64C2"/>
    <w:multiLevelType w:val="hybridMultilevel"/>
    <w:tmpl w:val="A28EC4A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3421FBB"/>
    <w:multiLevelType w:val="hybridMultilevel"/>
    <w:tmpl w:val="89224AD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5F4821"/>
    <w:multiLevelType w:val="hybridMultilevel"/>
    <w:tmpl w:val="369EDBC2"/>
    <w:lvl w:ilvl="0" w:tplc="D7D0CBD4">
      <w:start w:val="1"/>
      <w:numFmt w:val="upperLetter"/>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F663FF0"/>
    <w:multiLevelType w:val="hybridMultilevel"/>
    <w:tmpl w:val="D7D0C49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0961517">
    <w:abstractNumId w:val="0"/>
  </w:num>
  <w:num w:numId="2" w16cid:durableId="1381396672">
    <w:abstractNumId w:val="4"/>
  </w:num>
  <w:num w:numId="3" w16cid:durableId="922295057">
    <w:abstractNumId w:val="7"/>
  </w:num>
  <w:num w:numId="4" w16cid:durableId="479468363">
    <w:abstractNumId w:val="2"/>
  </w:num>
  <w:num w:numId="5" w16cid:durableId="1600674218">
    <w:abstractNumId w:val="1"/>
  </w:num>
  <w:num w:numId="6" w16cid:durableId="1144348200">
    <w:abstractNumId w:val="6"/>
  </w:num>
  <w:num w:numId="7" w16cid:durableId="815420026">
    <w:abstractNumId w:val="5"/>
  </w:num>
  <w:num w:numId="8" w16cid:durableId="15004593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68"/>
    <w:rsid w:val="0001495E"/>
    <w:rsid w:val="0001626D"/>
    <w:rsid w:val="000324F6"/>
    <w:rsid w:val="00035454"/>
    <w:rsid w:val="000404F3"/>
    <w:rsid w:val="00050B4F"/>
    <w:rsid w:val="00057E1E"/>
    <w:rsid w:val="000667A1"/>
    <w:rsid w:val="0006695C"/>
    <w:rsid w:val="00072367"/>
    <w:rsid w:val="000733BB"/>
    <w:rsid w:val="000744CE"/>
    <w:rsid w:val="00074E94"/>
    <w:rsid w:val="00076706"/>
    <w:rsid w:val="000A3808"/>
    <w:rsid w:val="000E28DD"/>
    <w:rsid w:val="000F105F"/>
    <w:rsid w:val="000F5E13"/>
    <w:rsid w:val="000F767F"/>
    <w:rsid w:val="001311AF"/>
    <w:rsid w:val="001353A1"/>
    <w:rsid w:val="00137D93"/>
    <w:rsid w:val="00160B9A"/>
    <w:rsid w:val="001679FE"/>
    <w:rsid w:val="00175E79"/>
    <w:rsid w:val="0018473A"/>
    <w:rsid w:val="001C3DAA"/>
    <w:rsid w:val="001C6445"/>
    <w:rsid w:val="001D31F3"/>
    <w:rsid w:val="001E1567"/>
    <w:rsid w:val="001E23FE"/>
    <w:rsid w:val="001E64EA"/>
    <w:rsid w:val="00225593"/>
    <w:rsid w:val="00242B08"/>
    <w:rsid w:val="00242C49"/>
    <w:rsid w:val="00247A6E"/>
    <w:rsid w:val="0025263C"/>
    <w:rsid w:val="002965C2"/>
    <w:rsid w:val="002A19B9"/>
    <w:rsid w:val="002A7F2E"/>
    <w:rsid w:val="002C0D01"/>
    <w:rsid w:val="002C2E7D"/>
    <w:rsid w:val="002C6F40"/>
    <w:rsid w:val="002D2055"/>
    <w:rsid w:val="002E0B9C"/>
    <w:rsid w:val="002E6287"/>
    <w:rsid w:val="002E628A"/>
    <w:rsid w:val="002F7C89"/>
    <w:rsid w:val="00303AE1"/>
    <w:rsid w:val="003071D1"/>
    <w:rsid w:val="00310364"/>
    <w:rsid w:val="00315916"/>
    <w:rsid w:val="003202E0"/>
    <w:rsid w:val="00320F2C"/>
    <w:rsid w:val="00337803"/>
    <w:rsid w:val="00346618"/>
    <w:rsid w:val="00386FBD"/>
    <w:rsid w:val="003949BD"/>
    <w:rsid w:val="00396499"/>
    <w:rsid w:val="003B2C1A"/>
    <w:rsid w:val="003D4CF3"/>
    <w:rsid w:val="003E4347"/>
    <w:rsid w:val="003E638A"/>
    <w:rsid w:val="003E66A4"/>
    <w:rsid w:val="003E7E82"/>
    <w:rsid w:val="003F4908"/>
    <w:rsid w:val="0040174D"/>
    <w:rsid w:val="00412D1F"/>
    <w:rsid w:val="00423C89"/>
    <w:rsid w:val="00443541"/>
    <w:rsid w:val="004461E3"/>
    <w:rsid w:val="004618AD"/>
    <w:rsid w:val="00483D3A"/>
    <w:rsid w:val="004A3A8F"/>
    <w:rsid w:val="004A441F"/>
    <w:rsid w:val="004B3501"/>
    <w:rsid w:val="004C3870"/>
    <w:rsid w:val="004C6FFB"/>
    <w:rsid w:val="004D4863"/>
    <w:rsid w:val="004D61A7"/>
    <w:rsid w:val="004D6625"/>
    <w:rsid w:val="004F3480"/>
    <w:rsid w:val="004F5880"/>
    <w:rsid w:val="004F5B25"/>
    <w:rsid w:val="00516456"/>
    <w:rsid w:val="0052430B"/>
    <w:rsid w:val="00524B92"/>
    <w:rsid w:val="00537948"/>
    <w:rsid w:val="00543C65"/>
    <w:rsid w:val="00544B03"/>
    <w:rsid w:val="00547ECA"/>
    <w:rsid w:val="00553DFE"/>
    <w:rsid w:val="00556A83"/>
    <w:rsid w:val="00560F76"/>
    <w:rsid w:val="005636ED"/>
    <w:rsid w:val="00567CFF"/>
    <w:rsid w:val="0057138F"/>
    <w:rsid w:val="00575735"/>
    <w:rsid w:val="00575E22"/>
    <w:rsid w:val="005764A2"/>
    <w:rsid w:val="005802AD"/>
    <w:rsid w:val="00591FFE"/>
    <w:rsid w:val="005B3062"/>
    <w:rsid w:val="005E6E76"/>
    <w:rsid w:val="006016D1"/>
    <w:rsid w:val="00637062"/>
    <w:rsid w:val="006838F5"/>
    <w:rsid w:val="006954AB"/>
    <w:rsid w:val="006A6ADF"/>
    <w:rsid w:val="006B37DB"/>
    <w:rsid w:val="006B7784"/>
    <w:rsid w:val="006C2CF3"/>
    <w:rsid w:val="006C7516"/>
    <w:rsid w:val="006D5665"/>
    <w:rsid w:val="006D7798"/>
    <w:rsid w:val="006E0ADE"/>
    <w:rsid w:val="006E5DDC"/>
    <w:rsid w:val="006E64FB"/>
    <w:rsid w:val="006F0866"/>
    <w:rsid w:val="006F16F0"/>
    <w:rsid w:val="007154D4"/>
    <w:rsid w:val="00722525"/>
    <w:rsid w:val="00747314"/>
    <w:rsid w:val="007520BE"/>
    <w:rsid w:val="00761CCB"/>
    <w:rsid w:val="007636C1"/>
    <w:rsid w:val="00774389"/>
    <w:rsid w:val="007818B8"/>
    <w:rsid w:val="00783EFC"/>
    <w:rsid w:val="00785618"/>
    <w:rsid w:val="00797023"/>
    <w:rsid w:val="0079746A"/>
    <w:rsid w:val="007A4170"/>
    <w:rsid w:val="007A6D54"/>
    <w:rsid w:val="007C2939"/>
    <w:rsid w:val="007E2871"/>
    <w:rsid w:val="007E7D73"/>
    <w:rsid w:val="007F5336"/>
    <w:rsid w:val="008013C4"/>
    <w:rsid w:val="00802450"/>
    <w:rsid w:val="008033E5"/>
    <w:rsid w:val="00814FD3"/>
    <w:rsid w:val="00817AC0"/>
    <w:rsid w:val="00831CFF"/>
    <w:rsid w:val="008342D0"/>
    <w:rsid w:val="008424C5"/>
    <w:rsid w:val="00845D56"/>
    <w:rsid w:val="00867F32"/>
    <w:rsid w:val="008774A6"/>
    <w:rsid w:val="008A661F"/>
    <w:rsid w:val="008C1EC4"/>
    <w:rsid w:val="008C57A3"/>
    <w:rsid w:val="008D5696"/>
    <w:rsid w:val="008E551F"/>
    <w:rsid w:val="008F5FE4"/>
    <w:rsid w:val="009438E1"/>
    <w:rsid w:val="0095260B"/>
    <w:rsid w:val="009B232D"/>
    <w:rsid w:val="009C176C"/>
    <w:rsid w:val="009E1FB4"/>
    <w:rsid w:val="009F65B5"/>
    <w:rsid w:val="00A0486D"/>
    <w:rsid w:val="00A065F0"/>
    <w:rsid w:val="00A448C1"/>
    <w:rsid w:val="00A44DD7"/>
    <w:rsid w:val="00A531EF"/>
    <w:rsid w:val="00A56976"/>
    <w:rsid w:val="00A63EFD"/>
    <w:rsid w:val="00A643F6"/>
    <w:rsid w:val="00A805EA"/>
    <w:rsid w:val="00AA7560"/>
    <w:rsid w:val="00AA7AA0"/>
    <w:rsid w:val="00AB4981"/>
    <w:rsid w:val="00AD20E5"/>
    <w:rsid w:val="00AD666B"/>
    <w:rsid w:val="00AE2191"/>
    <w:rsid w:val="00AE44C5"/>
    <w:rsid w:val="00AF3F26"/>
    <w:rsid w:val="00B265A1"/>
    <w:rsid w:val="00B3232D"/>
    <w:rsid w:val="00B341D7"/>
    <w:rsid w:val="00B3701C"/>
    <w:rsid w:val="00B43495"/>
    <w:rsid w:val="00B57A74"/>
    <w:rsid w:val="00B61A0F"/>
    <w:rsid w:val="00B63A6F"/>
    <w:rsid w:val="00B70211"/>
    <w:rsid w:val="00B932C9"/>
    <w:rsid w:val="00BA2AFE"/>
    <w:rsid w:val="00BB42BF"/>
    <w:rsid w:val="00BD7AA9"/>
    <w:rsid w:val="00BF320D"/>
    <w:rsid w:val="00C00FE5"/>
    <w:rsid w:val="00C20B2D"/>
    <w:rsid w:val="00C2656C"/>
    <w:rsid w:val="00C37C81"/>
    <w:rsid w:val="00C55C46"/>
    <w:rsid w:val="00C61249"/>
    <w:rsid w:val="00C61E68"/>
    <w:rsid w:val="00C849F5"/>
    <w:rsid w:val="00C91C91"/>
    <w:rsid w:val="00C92869"/>
    <w:rsid w:val="00CA6B4F"/>
    <w:rsid w:val="00CC40F0"/>
    <w:rsid w:val="00CC5AA8"/>
    <w:rsid w:val="00CE4CB4"/>
    <w:rsid w:val="00CF1423"/>
    <w:rsid w:val="00D04142"/>
    <w:rsid w:val="00D076CD"/>
    <w:rsid w:val="00D15F1D"/>
    <w:rsid w:val="00D2602B"/>
    <w:rsid w:val="00D2721F"/>
    <w:rsid w:val="00D31F17"/>
    <w:rsid w:val="00D339D0"/>
    <w:rsid w:val="00D53517"/>
    <w:rsid w:val="00D5484B"/>
    <w:rsid w:val="00D55E9B"/>
    <w:rsid w:val="00D610F8"/>
    <w:rsid w:val="00D67F10"/>
    <w:rsid w:val="00D72850"/>
    <w:rsid w:val="00D75CCB"/>
    <w:rsid w:val="00DA459F"/>
    <w:rsid w:val="00DA4A43"/>
    <w:rsid w:val="00DA5BEB"/>
    <w:rsid w:val="00DB273E"/>
    <w:rsid w:val="00DB4E56"/>
    <w:rsid w:val="00DB658E"/>
    <w:rsid w:val="00DD1852"/>
    <w:rsid w:val="00DE395C"/>
    <w:rsid w:val="00DE5882"/>
    <w:rsid w:val="00DF7AA0"/>
    <w:rsid w:val="00E0003E"/>
    <w:rsid w:val="00E20D02"/>
    <w:rsid w:val="00E2411A"/>
    <w:rsid w:val="00E274AF"/>
    <w:rsid w:val="00E37225"/>
    <w:rsid w:val="00E51439"/>
    <w:rsid w:val="00E54CCD"/>
    <w:rsid w:val="00EC3850"/>
    <w:rsid w:val="00EC6144"/>
    <w:rsid w:val="00ED38D0"/>
    <w:rsid w:val="00EE166C"/>
    <w:rsid w:val="00EE36C0"/>
    <w:rsid w:val="00EF36A5"/>
    <w:rsid w:val="00F0480A"/>
    <w:rsid w:val="00F04F10"/>
    <w:rsid w:val="00F142F2"/>
    <w:rsid w:val="00F31DB4"/>
    <w:rsid w:val="00F3291B"/>
    <w:rsid w:val="00F32AE7"/>
    <w:rsid w:val="00F4078E"/>
    <w:rsid w:val="00F44B23"/>
    <w:rsid w:val="00F47B01"/>
    <w:rsid w:val="00F615E4"/>
    <w:rsid w:val="00F6181D"/>
    <w:rsid w:val="00F707B1"/>
    <w:rsid w:val="00F87326"/>
    <w:rsid w:val="00F974B7"/>
    <w:rsid w:val="00FB17DC"/>
    <w:rsid w:val="00FB3FE1"/>
    <w:rsid w:val="00FC030B"/>
    <w:rsid w:val="00FE4517"/>
    <w:rsid w:val="00FF75DD"/>
    <w:rsid w:val="074D336E"/>
    <w:rsid w:val="28A4758F"/>
    <w:rsid w:val="3EBF191B"/>
    <w:rsid w:val="692973C3"/>
    <w:rsid w:val="6A1A4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A4765"/>
  <w15:chartTrackingRefBased/>
  <w15:docId w15:val="{6BBB6DAC-BB01-4EDB-B93B-AB8758A64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FC030B"/>
    <w:pPr>
      <w:spacing w:before="120"/>
    </w:pPr>
    <w:rPr>
      <w:rFonts w:cs="Times New Roman (Body CS)"/>
      <w:color w:val="000000" w:themeColor="text1"/>
      <w:spacing w:val="6"/>
      <w:sz w:val="20"/>
      <w:szCs w:val="20"/>
    </w:rPr>
  </w:style>
  <w:style w:type="paragraph" w:styleId="Heading1">
    <w:name w:val="heading 1"/>
    <w:basedOn w:val="Normal"/>
    <w:next w:val="Normal"/>
    <w:link w:val="Heading1Char"/>
    <w:uiPriority w:val="4"/>
    <w:qFormat/>
    <w:rsid w:val="00FC030B"/>
    <w:pPr>
      <w:keepNext/>
      <w:keepLines/>
      <w:spacing w:after="0"/>
      <w:outlineLvl w:val="0"/>
    </w:pPr>
    <w:rPr>
      <w:rFonts w:asciiTheme="majorHAnsi" w:eastAsiaTheme="majorEastAsia" w:hAnsiTheme="majorHAnsi" w:cs="Times New Roman (Headings CS)"/>
      <w:b/>
      <w:caps/>
      <w:spacing w:val="14"/>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E8ABC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FC030B"/>
    <w:pPr>
      <w:spacing w:after="0" w:line="240" w:lineRule="auto"/>
      <w:contextualSpacing/>
    </w:pPr>
    <w:rPr>
      <w:rFonts w:asciiTheme="majorHAnsi" w:hAnsiTheme="majorHAnsi"/>
      <w:caps/>
      <w:color w:val="3B68A9" w:themeColor="accent6" w:themeShade="BF"/>
      <w:spacing w:val="20"/>
      <w:sz w:val="80"/>
    </w:rPr>
  </w:style>
  <w:style w:type="character" w:customStyle="1" w:styleId="TitleChar">
    <w:name w:val="Title Char"/>
    <w:basedOn w:val="DefaultParagraphFont"/>
    <w:link w:val="Title"/>
    <w:uiPriority w:val="6"/>
    <w:rsid w:val="00FC030B"/>
    <w:rPr>
      <w:rFonts w:asciiTheme="majorHAnsi" w:hAnsiTheme="majorHAnsi" w:cs="Times New Roman (Body CS)"/>
      <w:caps/>
      <w:color w:val="3B68A9" w:themeColor="accent6" w:themeShade="BF"/>
      <w:spacing w:val="20"/>
      <w:sz w:val="80"/>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FC030B"/>
    <w:rPr>
      <w:rFonts w:asciiTheme="majorHAnsi" w:eastAsiaTheme="majorEastAsia" w:hAnsiTheme="majorHAnsi" w:cs="Times New Roman (Headings CS)"/>
      <w:b/>
      <w:caps/>
      <w:color w:val="000000" w:themeColor="text1"/>
      <w:spacing w:val="14"/>
      <w:sz w:val="2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E8ABCD" w:themeColor="accent1"/>
      <w:sz w:val="24"/>
      <w:szCs w:val="20"/>
    </w:rPr>
  </w:style>
  <w:style w:type="paragraph" w:styleId="Footer">
    <w:name w:val="footer"/>
    <w:basedOn w:val="Normal"/>
    <w:link w:val="FooterChar"/>
    <w:uiPriority w:val="99"/>
    <w:semiHidden/>
    <w:qFormat/>
    <w:pPr>
      <w:spacing w:after="0" w:line="240" w:lineRule="auto"/>
      <w:jc w:val="right"/>
    </w:pPr>
    <w:rPr>
      <w:color w:val="E8ABCD" w:themeColor="accent1"/>
    </w:rPr>
  </w:style>
  <w:style w:type="character" w:customStyle="1" w:styleId="FooterChar">
    <w:name w:val="Footer Char"/>
    <w:basedOn w:val="DefaultParagraphFont"/>
    <w:link w:val="Footer"/>
    <w:uiPriority w:val="99"/>
    <w:semiHidden/>
    <w:rsid w:val="00DE395C"/>
    <w:rPr>
      <w:color w:val="E8ABCD"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774389"/>
    <w:pPr>
      <w:numPr>
        <w:numId w:val="3"/>
      </w:numPr>
      <w:spacing w:before="100" w:after="100" w:line="240" w:lineRule="auto"/>
      <w:ind w:left="432" w:hanging="288"/>
      <w:contextualSpacing/>
    </w:pPr>
    <w:rPr>
      <w:color w:val="auto"/>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paragraph" w:customStyle="1" w:styleId="Subhead">
    <w:name w:val="Subhead"/>
    <w:basedOn w:val="Title"/>
    <w:qFormat/>
    <w:rsid w:val="00AE44C5"/>
    <w:rPr>
      <w:b/>
      <w:sz w:val="52"/>
    </w:rPr>
  </w:style>
  <w:style w:type="paragraph" w:styleId="ListParagraph">
    <w:name w:val="List Paragraph"/>
    <w:basedOn w:val="Normal"/>
    <w:uiPriority w:val="34"/>
    <w:unhideWhenUsed/>
    <w:qFormat/>
    <w:rsid w:val="000733BB"/>
    <w:pPr>
      <w:ind w:left="720"/>
      <w:contextualSpacing/>
    </w:pPr>
  </w:style>
  <w:style w:type="paragraph" w:styleId="Revision">
    <w:name w:val="Revision"/>
    <w:hidden/>
    <w:uiPriority w:val="99"/>
    <w:semiHidden/>
    <w:rsid w:val="00CE4CB4"/>
    <w:pPr>
      <w:spacing w:after="0" w:line="240" w:lineRule="auto"/>
    </w:pPr>
    <w:rPr>
      <w:rFonts w:cs="Times New Roman (Body CS)"/>
      <w:color w:val="000000" w:themeColor="text1"/>
      <w:spacing w:val="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E1E0FA66ED4DEE9F1BBE53348AB8CD"/>
        <w:category>
          <w:name w:val="General"/>
          <w:gallery w:val="placeholder"/>
        </w:category>
        <w:types>
          <w:type w:val="bbPlcHdr"/>
        </w:types>
        <w:behaviors>
          <w:behavior w:val="content"/>
        </w:behaviors>
        <w:guid w:val="{F7437F5F-D683-4D78-9D28-CC20B7716418}"/>
      </w:docPartPr>
      <w:docPartBody>
        <w:p w:rsidR="00785618" w:rsidRDefault="008D5F69">
          <w:r w:rsidRPr="00FC030B">
            <w:t>Date:</w:t>
          </w:r>
        </w:p>
      </w:docPartBody>
    </w:docPart>
    <w:docPart>
      <w:docPartPr>
        <w:name w:val="7A62619960D24386AB331258658BAE25"/>
        <w:category>
          <w:name w:val="General"/>
          <w:gallery w:val="placeholder"/>
        </w:category>
        <w:types>
          <w:type w:val="bbPlcHdr"/>
        </w:types>
        <w:behaviors>
          <w:behavior w:val="content"/>
        </w:behaviors>
        <w:guid w:val="{DACC9B74-236F-4A45-8FC4-82295BD23B85}"/>
      </w:docPartPr>
      <w:docPartBody>
        <w:p w:rsidR="00785618" w:rsidRDefault="008D5F69">
          <w:r w:rsidRPr="00FC030B">
            <w:t>Time:</w:t>
          </w:r>
        </w:p>
      </w:docPartBody>
    </w:docPart>
    <w:docPart>
      <w:docPartPr>
        <w:name w:val="22667EB0A8EA436BA08D330F0D617896"/>
        <w:category>
          <w:name w:val="General"/>
          <w:gallery w:val="placeholder"/>
        </w:category>
        <w:types>
          <w:type w:val="bbPlcHdr"/>
        </w:types>
        <w:behaviors>
          <w:behavior w:val="content"/>
        </w:behaviors>
        <w:guid w:val="{7D63295D-E93D-432E-9D58-BE21BEAE9964}"/>
      </w:docPartPr>
      <w:docPartBody>
        <w:p w:rsidR="00785618" w:rsidRDefault="008D5F69">
          <w:r w:rsidRPr="00FC030B">
            <w:t>Facilitator:</w:t>
          </w:r>
        </w:p>
      </w:docPartBody>
    </w:docPart>
    <w:docPart>
      <w:docPartPr>
        <w:name w:val="C4602A3AE981465094CDFB52332E8B28"/>
        <w:category>
          <w:name w:val="General"/>
          <w:gallery w:val="placeholder"/>
        </w:category>
        <w:types>
          <w:type w:val="bbPlcHdr"/>
        </w:types>
        <w:behaviors>
          <w:behavior w:val="content"/>
        </w:behaviors>
        <w:guid w:val="{51966106-8FFD-4FDF-A0EA-AB133AABCEFA}"/>
      </w:docPartPr>
      <w:docPartBody>
        <w:p w:rsidR="00785618" w:rsidRDefault="008D5F69">
          <w:r w:rsidRPr="00FC030B">
            <w:t>9/8/23</w:t>
          </w:r>
        </w:p>
      </w:docPartBody>
    </w:docPart>
    <w:docPart>
      <w:docPartPr>
        <w:name w:val="4F26FF8A36EF4EBB94AEDD1D6563FBF4"/>
        <w:category>
          <w:name w:val="General"/>
          <w:gallery w:val="placeholder"/>
        </w:category>
        <w:types>
          <w:type w:val="bbPlcHdr"/>
        </w:types>
        <w:behaviors>
          <w:behavior w:val="content"/>
        </w:behaviors>
        <w:guid w:val="{0CA1C49D-2F63-4376-9D1A-87968589C83E}"/>
      </w:docPartPr>
      <w:docPartBody>
        <w:p w:rsidR="00785618" w:rsidRDefault="00785618">
          <w:r w:rsidRPr="00FC030B">
            <w:t>6:00 PM</w:t>
          </w:r>
        </w:p>
      </w:docPartBody>
    </w:docPart>
    <w:docPart>
      <w:docPartPr>
        <w:name w:val="70015A4F528645EF92101B46D579AEA5"/>
        <w:category>
          <w:name w:val="General"/>
          <w:gallery w:val="placeholder"/>
        </w:category>
        <w:types>
          <w:type w:val="bbPlcHdr"/>
        </w:types>
        <w:behaviors>
          <w:behavior w:val="content"/>
        </w:behaviors>
        <w:guid w:val="{8DA42F05-DC44-40ED-95A1-1DC1037A8C45}"/>
      </w:docPartPr>
      <w:docPartBody>
        <w:p w:rsidR="00785618" w:rsidRDefault="008D5F69">
          <w:r w:rsidRPr="00FC030B">
            <w:t>Angelica Astrom</w:t>
          </w:r>
        </w:p>
      </w:docPartBody>
    </w:docPart>
    <w:docPart>
      <w:docPartPr>
        <w:name w:val="E45254F58066406D905D9A79537190F7"/>
        <w:category>
          <w:name w:val="General"/>
          <w:gallery w:val="placeholder"/>
        </w:category>
        <w:types>
          <w:type w:val="bbPlcHdr"/>
        </w:types>
        <w:behaviors>
          <w:behavior w:val="content"/>
        </w:behaviors>
        <w:guid w:val="{37EE0688-8A31-49C4-8615-31734557D166}"/>
      </w:docPartPr>
      <w:docPartBody>
        <w:p w:rsidR="00785618" w:rsidRDefault="008D5F69">
          <w:r w:rsidRPr="00FC030B">
            <w:t>In attendance</w:t>
          </w:r>
        </w:p>
      </w:docPartBody>
    </w:docPart>
    <w:docPart>
      <w:docPartPr>
        <w:name w:val="808DEEF6C3A0440BA86E795735743EDB"/>
        <w:category>
          <w:name w:val="General"/>
          <w:gallery w:val="placeholder"/>
        </w:category>
        <w:types>
          <w:type w:val="bbPlcHdr"/>
        </w:types>
        <w:behaviors>
          <w:behavior w:val="content"/>
        </w:behaviors>
        <w:guid w:val="{1006BA0E-9A98-44DD-87CE-811D6776FEE3}"/>
      </w:docPartPr>
      <w:docPartBody>
        <w:p w:rsidR="00785618" w:rsidRDefault="008D5F69">
          <w:r w:rsidRPr="00FC030B">
            <w:t>Approval of minutes</w:t>
          </w:r>
        </w:p>
      </w:docPartBody>
    </w:docPart>
    <w:docPart>
      <w:docPartPr>
        <w:name w:val="D757C09EAAC041138A0B6C03258E925F"/>
        <w:category>
          <w:name w:val="General"/>
          <w:gallery w:val="placeholder"/>
        </w:category>
        <w:types>
          <w:type w:val="bbPlcHdr"/>
        </w:types>
        <w:behaviors>
          <w:behavior w:val="content"/>
        </w:behaviors>
        <w:guid w:val="{CDA315C5-F79A-46D5-902E-71460FB48B1F}"/>
      </w:docPartPr>
      <w:docPartBody>
        <w:p w:rsidR="00785618" w:rsidRDefault="00785618">
          <w:r w:rsidRPr="00FC030B">
            <w:t>Mira Karlsson, Angelica Astrom, August Bergqvist, Allan Mattsson, Ian Hansson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274310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E8"/>
    <w:rsid w:val="001679FE"/>
    <w:rsid w:val="001F708C"/>
    <w:rsid w:val="00214891"/>
    <w:rsid w:val="00315916"/>
    <w:rsid w:val="003830B9"/>
    <w:rsid w:val="0040174D"/>
    <w:rsid w:val="0043222C"/>
    <w:rsid w:val="00441333"/>
    <w:rsid w:val="004533A5"/>
    <w:rsid w:val="00471D66"/>
    <w:rsid w:val="005B3062"/>
    <w:rsid w:val="00631222"/>
    <w:rsid w:val="006A672D"/>
    <w:rsid w:val="006D5665"/>
    <w:rsid w:val="006E5DDC"/>
    <w:rsid w:val="00785618"/>
    <w:rsid w:val="00792CE0"/>
    <w:rsid w:val="00845D56"/>
    <w:rsid w:val="008D5696"/>
    <w:rsid w:val="008D5F69"/>
    <w:rsid w:val="009008B4"/>
    <w:rsid w:val="009230BB"/>
    <w:rsid w:val="00B61A0F"/>
    <w:rsid w:val="00BF1DCD"/>
    <w:rsid w:val="00C36E70"/>
    <w:rsid w:val="00C92869"/>
    <w:rsid w:val="00D15F1D"/>
    <w:rsid w:val="00D41786"/>
    <w:rsid w:val="00DF37FB"/>
    <w:rsid w:val="00E343E8"/>
    <w:rsid w:val="00F0480A"/>
    <w:rsid w:val="00F25236"/>
    <w:rsid w:val="00F6294F"/>
    <w:rsid w:val="00F81013"/>
    <w:rsid w:val="00FA3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rsid w:val="004533A5"/>
    <w:pPr>
      <w:keepNext/>
      <w:keepLines/>
      <w:spacing w:before="120" w:line="264" w:lineRule="auto"/>
      <w:outlineLvl w:val="0"/>
    </w:pPr>
    <w:rPr>
      <w:rFonts w:asciiTheme="majorHAnsi" w:eastAsiaTheme="majorEastAsia" w:hAnsiTheme="majorHAnsi" w:cs="Times New Roman (Headings CS)"/>
      <w:b/>
      <w:caps/>
      <w:color w:val="000000" w:themeColor="text1"/>
      <w:spacing w:val="14"/>
      <w:sz w:val="20"/>
      <w:szCs w:val="3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10"/>
    <w:qFormat/>
    <w:rsid w:val="008D5F69"/>
    <w:pPr>
      <w:numPr>
        <w:numId w:val="1"/>
      </w:numPr>
      <w:spacing w:before="100" w:after="100"/>
      <w:ind w:left="432" w:hanging="288"/>
      <w:contextualSpacing/>
    </w:pPr>
    <w:rPr>
      <w:rFonts w:cs="Times New Roman (Body CS)"/>
      <w:spacing w:val="6"/>
      <w:sz w:val="20"/>
      <w:szCs w:val="21"/>
      <w:lang w:eastAsia="ja-JP"/>
    </w:rPr>
  </w:style>
  <w:style w:type="character" w:styleId="PlaceholderText">
    <w:name w:val="Placeholder Text"/>
    <w:basedOn w:val="DefaultParagraphFont"/>
    <w:uiPriority w:val="99"/>
    <w:semiHidden/>
    <w:rsid w:val="009008B4"/>
    <w:rPr>
      <w:color w:val="808080"/>
    </w:rPr>
  </w:style>
  <w:style w:type="character" w:customStyle="1" w:styleId="Heading1Char">
    <w:name w:val="Heading 1 Char"/>
    <w:basedOn w:val="DefaultParagraphFont"/>
    <w:link w:val="Heading1"/>
    <w:uiPriority w:val="4"/>
    <w:rsid w:val="004533A5"/>
    <w:rPr>
      <w:rFonts w:asciiTheme="majorHAnsi" w:eastAsiaTheme="majorEastAsia" w:hAnsiTheme="majorHAnsi" w:cs="Times New Roman (Headings CS)"/>
      <w:b/>
      <w:caps/>
      <w:color w:val="000000" w:themeColor="text1"/>
      <w:spacing w:val="14"/>
      <w:sz w:val="20"/>
      <w:szCs w:val="30"/>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M78647202">
      <a:dk1>
        <a:srgbClr val="000000"/>
      </a:dk1>
      <a:lt1>
        <a:srgbClr val="FFFFFF"/>
      </a:lt1>
      <a:dk2>
        <a:srgbClr val="44546A"/>
      </a:dk2>
      <a:lt2>
        <a:srgbClr val="E7E6E6"/>
      </a:lt2>
      <a:accent1>
        <a:srgbClr val="E8ABCD"/>
      </a:accent1>
      <a:accent2>
        <a:srgbClr val="7BCAB3"/>
      </a:accent2>
      <a:accent3>
        <a:srgbClr val="F26F61"/>
      </a:accent3>
      <a:accent4>
        <a:srgbClr val="FFD365"/>
      </a:accent4>
      <a:accent5>
        <a:srgbClr val="FFECD3"/>
      </a:accent5>
      <a:accent6>
        <a:srgbClr val="6890CA"/>
      </a:accent6>
      <a:hlink>
        <a:srgbClr val="0563C1"/>
      </a:hlink>
      <a:folHlink>
        <a:srgbClr val="954F72"/>
      </a:folHlink>
    </a:clrScheme>
    <a:fontScheme name="Custom 80">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ADE23-15A4-4AB2-94AB-8AB0BA979279}">
  <ds:schemaRefs>
    <ds:schemaRef ds:uri="http://schemas.microsoft.com/sharepoint/v3/contenttype/forms"/>
  </ds:schemaRefs>
</ds:datastoreItem>
</file>

<file path=customXml/itemProps2.xml><?xml version="1.0" encoding="utf-8"?>
<ds:datastoreItem xmlns:ds="http://schemas.openxmlformats.org/officeDocument/2006/customXml" ds:itemID="{388B997F-B6E8-4544-B705-30E93B3C41C7}">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2DE5D8B8-35DC-4D2E-9164-68F032D3BAB7}">
  <ds:schemaRefs>
    <ds:schemaRef ds:uri="http://schemas.openxmlformats.org/officeDocument/2006/bibliography"/>
  </ds:schemaRefs>
</ds:datastoreItem>
</file>

<file path=customXml/itemProps4.xml><?xml version="1.0" encoding="utf-8"?>
<ds:datastoreItem xmlns:ds="http://schemas.openxmlformats.org/officeDocument/2006/customXml" ds:itemID="{4A62A1C2-3712-461F-BE2F-15ECFE489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37</TotalTime>
  <Pages>6</Pages>
  <Words>2465</Words>
  <Characters>11857</Characters>
  <Application>Microsoft Office Word</Application>
  <DocSecurity>0</DocSecurity>
  <Lines>252</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Charyl-Maree Joshua</dc:creator>
  <cp:keywords/>
  <dc:description/>
  <cp:lastModifiedBy>Charlain Swart</cp:lastModifiedBy>
  <cp:revision>35</cp:revision>
  <dcterms:created xsi:type="dcterms:W3CDTF">2026-03-17T11:51:00Z</dcterms:created>
  <dcterms:modified xsi:type="dcterms:W3CDTF">2026-03-17T12:24:00Z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