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F45C10" w14:paraId="4177263B" w14:textId="77777777" w:rsidTr="00F45C10">
        <w:trPr>
          <w:trHeight w:val="439"/>
          <w:jc w:val="center"/>
        </w:trPr>
        <w:tc>
          <w:tcPr>
            <w:tcW w:w="5116" w:type="dxa"/>
            <w:vMerge w:val="restart"/>
          </w:tcPr>
          <w:p w14:paraId="4C893A74" w14:textId="77777777" w:rsidR="00A41BC6" w:rsidRPr="00F45C10" w:rsidRDefault="00A41BC6" w:rsidP="00A41BC6">
            <w:pPr>
              <w:rPr>
                <w:rFonts w:ascii="Arial" w:eastAsia="Calibri" w:hAnsi="Arial" w:cs="Arial"/>
                <w:b/>
                <w:bCs/>
              </w:rPr>
            </w:pPr>
            <w:r w:rsidRPr="00F45C10">
              <w:rPr>
                <w:rFonts w:ascii="Arial" w:eastAsia="Calibri" w:hAnsi="Arial" w:cs="Arial"/>
                <w:b/>
                <w:bCs/>
              </w:rPr>
              <w:t>To whom it may concern</w:t>
            </w:r>
          </w:p>
        </w:tc>
        <w:tc>
          <w:tcPr>
            <w:tcW w:w="2126" w:type="dxa"/>
            <w:vAlign w:val="center"/>
          </w:tcPr>
          <w:p w14:paraId="47945087" w14:textId="77777777" w:rsidR="00A41BC6" w:rsidRPr="00F45C10" w:rsidRDefault="00A41BC6" w:rsidP="00F45C10">
            <w:pPr>
              <w:rPr>
                <w:rFonts w:ascii="Arial" w:eastAsia="Calibri" w:hAnsi="Arial" w:cs="Arial"/>
                <w:b/>
                <w:bCs/>
                <w:u w:val="single"/>
              </w:rPr>
            </w:pPr>
            <w:r w:rsidRPr="00F45C10">
              <w:rPr>
                <w:rFonts w:ascii="Arial" w:eastAsia="Calibri" w:hAnsi="Arial" w:cs="Arial"/>
                <w:b/>
                <w:bCs/>
              </w:rPr>
              <w:t>Date</w:t>
            </w:r>
          </w:p>
        </w:tc>
        <w:tc>
          <w:tcPr>
            <w:tcW w:w="7655" w:type="dxa"/>
            <w:vAlign w:val="center"/>
          </w:tcPr>
          <w:p w14:paraId="1FE22376" w14:textId="4A62B222" w:rsidR="00A41BC6" w:rsidRPr="0075558B" w:rsidRDefault="00527627" w:rsidP="00F45C10">
            <w:pPr>
              <w:rPr>
                <w:rFonts w:ascii="Aptos" w:eastAsia="Calibri" w:hAnsi="Aptos" w:cs="Arial"/>
                <w:b/>
                <w:bCs/>
              </w:rPr>
            </w:pPr>
            <w:r>
              <w:rPr>
                <w:rFonts w:ascii="Aptos" w:eastAsia="Calibri" w:hAnsi="Aptos" w:cs="Arial"/>
                <w:b/>
                <w:bCs/>
              </w:rPr>
              <w:t>1</w:t>
            </w:r>
            <w:r w:rsidR="001B6473">
              <w:rPr>
                <w:rFonts w:ascii="Aptos" w:eastAsia="Calibri" w:hAnsi="Aptos" w:cs="Arial"/>
                <w:b/>
                <w:bCs/>
              </w:rPr>
              <w:t>1</w:t>
            </w:r>
            <w:r>
              <w:rPr>
                <w:rFonts w:ascii="Aptos" w:eastAsia="Calibri" w:hAnsi="Aptos" w:cs="Arial"/>
                <w:b/>
                <w:bCs/>
              </w:rPr>
              <w:t xml:space="preserve"> March</w:t>
            </w:r>
            <w:r w:rsidR="00F45C10" w:rsidRPr="0075558B">
              <w:rPr>
                <w:rFonts w:ascii="Aptos" w:eastAsia="Calibri" w:hAnsi="Aptos" w:cs="Arial"/>
                <w:b/>
                <w:bCs/>
              </w:rPr>
              <w:t xml:space="preserve"> 202</w:t>
            </w:r>
            <w:r w:rsidR="00FC0BD0">
              <w:rPr>
                <w:rFonts w:ascii="Aptos" w:eastAsia="Calibri" w:hAnsi="Aptos" w:cs="Arial"/>
                <w:b/>
                <w:bCs/>
              </w:rPr>
              <w:t>6</w:t>
            </w:r>
          </w:p>
        </w:tc>
      </w:tr>
      <w:tr w:rsidR="00A41BC6" w:rsidRPr="00F45C10" w14:paraId="08D31B03" w14:textId="77777777" w:rsidTr="00F45C10">
        <w:trPr>
          <w:trHeight w:val="439"/>
          <w:jc w:val="center"/>
        </w:trPr>
        <w:tc>
          <w:tcPr>
            <w:tcW w:w="5116" w:type="dxa"/>
            <w:vMerge/>
          </w:tcPr>
          <w:p w14:paraId="13028066" w14:textId="77777777" w:rsidR="00A41BC6" w:rsidRPr="00F45C10" w:rsidRDefault="00A41BC6" w:rsidP="00A41BC6">
            <w:pPr>
              <w:rPr>
                <w:rFonts w:ascii="Arial" w:eastAsia="Calibri" w:hAnsi="Arial" w:cs="Arial"/>
                <w:b/>
                <w:bCs/>
                <w:u w:val="single"/>
              </w:rPr>
            </w:pPr>
          </w:p>
        </w:tc>
        <w:tc>
          <w:tcPr>
            <w:tcW w:w="2126" w:type="dxa"/>
            <w:vAlign w:val="center"/>
          </w:tcPr>
          <w:p w14:paraId="62049029" w14:textId="77777777" w:rsidR="00A41BC6" w:rsidRPr="00F45C10" w:rsidRDefault="00A41BC6" w:rsidP="00F45C10">
            <w:pPr>
              <w:rPr>
                <w:rFonts w:ascii="Arial" w:eastAsia="Calibri" w:hAnsi="Arial" w:cs="Arial"/>
                <w:b/>
                <w:bCs/>
                <w:u w:val="single"/>
              </w:rPr>
            </w:pPr>
            <w:r w:rsidRPr="00F45C10">
              <w:rPr>
                <w:rFonts w:ascii="Arial" w:eastAsia="Calibri" w:hAnsi="Arial" w:cs="Arial"/>
                <w:b/>
                <w:bCs/>
              </w:rPr>
              <w:t>Enquiries</w:t>
            </w:r>
          </w:p>
        </w:tc>
        <w:tc>
          <w:tcPr>
            <w:tcW w:w="7655" w:type="dxa"/>
            <w:vAlign w:val="center"/>
          </w:tcPr>
          <w:p w14:paraId="641B5D31" w14:textId="2B969BC3" w:rsidR="00A41BC6" w:rsidRPr="0075558B" w:rsidRDefault="00527627" w:rsidP="00F45C10">
            <w:pPr>
              <w:rPr>
                <w:rFonts w:ascii="Aptos" w:eastAsia="Calibri" w:hAnsi="Aptos" w:cs="Arial"/>
                <w:b/>
                <w:bCs/>
              </w:rPr>
            </w:pPr>
            <w:r>
              <w:rPr>
                <w:rFonts w:ascii="Aptos" w:eastAsia="Calibri" w:hAnsi="Aptos" w:cs="Arial"/>
                <w:b/>
                <w:bCs/>
              </w:rPr>
              <w:t>Refiloe Mabula</w:t>
            </w:r>
          </w:p>
        </w:tc>
      </w:tr>
      <w:tr w:rsidR="00A41BC6" w:rsidRPr="00F45C10" w14:paraId="6D5659FE" w14:textId="77777777" w:rsidTr="00F45C10">
        <w:trPr>
          <w:trHeight w:val="439"/>
          <w:jc w:val="center"/>
        </w:trPr>
        <w:tc>
          <w:tcPr>
            <w:tcW w:w="5116" w:type="dxa"/>
            <w:vMerge/>
          </w:tcPr>
          <w:p w14:paraId="25BFFF62" w14:textId="77777777" w:rsidR="00A41BC6" w:rsidRPr="00F45C10" w:rsidRDefault="00A41BC6" w:rsidP="00A41BC6">
            <w:pPr>
              <w:rPr>
                <w:rFonts w:ascii="Arial" w:eastAsia="Calibri" w:hAnsi="Arial" w:cs="Arial"/>
                <w:b/>
                <w:bCs/>
                <w:u w:val="single"/>
              </w:rPr>
            </w:pPr>
          </w:p>
        </w:tc>
        <w:tc>
          <w:tcPr>
            <w:tcW w:w="2126" w:type="dxa"/>
            <w:vAlign w:val="center"/>
          </w:tcPr>
          <w:p w14:paraId="51B51C68" w14:textId="77777777" w:rsidR="00A41BC6" w:rsidRPr="00F45C10" w:rsidRDefault="00A41BC6" w:rsidP="00F45C10">
            <w:pPr>
              <w:rPr>
                <w:rFonts w:ascii="Arial" w:eastAsia="Calibri" w:hAnsi="Arial" w:cs="Arial"/>
                <w:b/>
                <w:bCs/>
                <w:u w:val="single"/>
              </w:rPr>
            </w:pPr>
            <w:r w:rsidRPr="00F45C10">
              <w:rPr>
                <w:rFonts w:ascii="Arial" w:eastAsia="Calibri" w:hAnsi="Arial" w:cs="Arial"/>
                <w:b/>
                <w:bCs/>
              </w:rPr>
              <w:t>E-mail address</w:t>
            </w:r>
          </w:p>
        </w:tc>
        <w:tc>
          <w:tcPr>
            <w:tcW w:w="7655" w:type="dxa"/>
            <w:vAlign w:val="center"/>
          </w:tcPr>
          <w:p w14:paraId="2C0F9866" w14:textId="60459327" w:rsidR="00A41BC6" w:rsidRPr="0075558B" w:rsidRDefault="00527627" w:rsidP="00F45C10">
            <w:pPr>
              <w:rPr>
                <w:rFonts w:ascii="Aptos" w:eastAsia="Calibri" w:hAnsi="Aptos" w:cs="Arial"/>
                <w:b/>
                <w:bCs/>
              </w:rPr>
            </w:pPr>
            <w:r w:rsidRPr="00527627">
              <w:rPr>
                <w:rStyle w:val="Hyperlink"/>
              </w:rPr>
              <w:t>mabulara@</w:t>
            </w:r>
            <w:r w:rsidR="00FC0BD0">
              <w:rPr>
                <w:rStyle w:val="Hyperlink"/>
              </w:rPr>
              <w:t>ntcsa</w:t>
            </w:r>
            <w:r w:rsidRPr="00527627">
              <w:rPr>
                <w:rStyle w:val="Hyperlink"/>
              </w:rPr>
              <w:t>.co.za</w:t>
            </w:r>
          </w:p>
        </w:tc>
      </w:tr>
    </w:tbl>
    <w:p w14:paraId="24C7566B" w14:textId="5B57BDDB" w:rsidR="00A41BC6" w:rsidRPr="00F45C10" w:rsidRDefault="00A41BC6" w:rsidP="00A41BC6">
      <w:pPr>
        <w:spacing w:before="360" w:line="240" w:lineRule="auto"/>
        <w:ind w:left="709" w:hanging="709"/>
        <w:rPr>
          <w:rFonts w:ascii="Arial" w:eastAsia="Times New Roman" w:hAnsi="Arial" w:cs="Arial"/>
          <w:lang w:val="en-US"/>
        </w:rPr>
      </w:pPr>
      <w:r w:rsidRPr="00F45C10">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F45C10">
        <w:trPr>
          <w:trHeight w:val="414"/>
          <w:jc w:val="center"/>
        </w:trPr>
        <w:tc>
          <w:tcPr>
            <w:tcW w:w="3871" w:type="dxa"/>
            <w:vAlign w:val="center"/>
          </w:tcPr>
          <w:p w14:paraId="0E4B0524" w14:textId="06C9E3AE" w:rsidR="00A41BC6" w:rsidRPr="00A41BC6" w:rsidRDefault="00A41BC6" w:rsidP="00F45C10">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vAlign w:val="center"/>
          </w:tcPr>
          <w:p w14:paraId="6F10E761" w14:textId="3880C359" w:rsidR="00A41BC6" w:rsidRPr="00F23A59" w:rsidRDefault="00FC0BD0" w:rsidP="00F45C10">
            <w:pPr>
              <w:rPr>
                <w:rFonts w:ascii="Aptos" w:eastAsia="Calibri" w:hAnsi="Aptos" w:cs="Arial"/>
                <w:sz w:val="28"/>
                <w:szCs w:val="28"/>
                <w:u w:val="single"/>
              </w:rPr>
            </w:pPr>
            <w:r w:rsidRPr="00FC0BD0">
              <w:rPr>
                <w:rFonts w:ascii="Aptos" w:eastAsia="Calibri" w:hAnsi="Aptos" w:cs="Arial"/>
              </w:rPr>
              <w:t>E2535NTCSAMWP</w:t>
            </w:r>
          </w:p>
        </w:tc>
      </w:tr>
      <w:tr w:rsidR="00A41BC6" w:rsidRPr="00A41BC6" w14:paraId="11EC01B1" w14:textId="77777777" w:rsidTr="00F45C10">
        <w:trPr>
          <w:trHeight w:val="414"/>
          <w:jc w:val="center"/>
        </w:trPr>
        <w:tc>
          <w:tcPr>
            <w:tcW w:w="3871" w:type="dxa"/>
            <w:vAlign w:val="center"/>
          </w:tcPr>
          <w:p w14:paraId="0F81C49D" w14:textId="77777777" w:rsidR="00A41BC6" w:rsidRPr="00A41BC6" w:rsidRDefault="00A41BC6" w:rsidP="00F45C10">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vAlign w:val="center"/>
          </w:tcPr>
          <w:p w14:paraId="00608571" w14:textId="52970C98" w:rsidR="00A41BC6" w:rsidRPr="00FC0BD0" w:rsidRDefault="00FC0BD0" w:rsidP="00FC0BD0">
            <w:pPr>
              <w:rPr>
                <w:rFonts w:ascii="Arial" w:eastAsia="Calibri" w:hAnsi="Arial" w:cs="Arial"/>
                <w:u w:val="single"/>
              </w:rPr>
            </w:pPr>
            <w:r w:rsidRPr="00FC0BD0">
              <w:rPr>
                <w:rFonts w:ascii="Arial" w:hAnsi="Arial" w:cs="Arial"/>
              </w:rPr>
              <w:t>The NTCSA operating technology (OT) endpoint detection response (EDR) &amp; network intrusion detection system (NIDS) solution – supply, delivery, off-loading, installation, configuration, testing, commissioning, decommissioning, maintenance, support and training.</w:t>
            </w:r>
          </w:p>
        </w:tc>
      </w:tr>
      <w:tr w:rsidR="00A41BC6" w:rsidRPr="00A41BC6" w14:paraId="03CDDAC9" w14:textId="77777777" w:rsidTr="00F45C10">
        <w:trPr>
          <w:trHeight w:val="414"/>
          <w:jc w:val="center"/>
        </w:trPr>
        <w:tc>
          <w:tcPr>
            <w:tcW w:w="3871" w:type="dxa"/>
            <w:vAlign w:val="center"/>
          </w:tcPr>
          <w:p w14:paraId="26099B47" w14:textId="4C3C9FFA" w:rsidR="00A41BC6" w:rsidRPr="00A41BC6" w:rsidRDefault="00A41BC6" w:rsidP="00F45C10">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vAlign w:val="center"/>
          </w:tcPr>
          <w:p w14:paraId="5996A892" w14:textId="2C3063B1" w:rsidR="00A41BC6" w:rsidRPr="00F23A59" w:rsidRDefault="00262169" w:rsidP="00F45C10">
            <w:pPr>
              <w:rPr>
                <w:rFonts w:ascii="Aptos" w:eastAsia="Calibri" w:hAnsi="Aptos" w:cs="Arial"/>
                <w:sz w:val="28"/>
                <w:szCs w:val="28"/>
              </w:rPr>
            </w:pPr>
            <w:r w:rsidRPr="002E4520">
              <w:rPr>
                <w:rFonts w:ascii="Aptos" w:eastAsia="Calibri" w:hAnsi="Aptos" w:cs="Arial"/>
                <w:color w:val="000000" w:themeColor="text1"/>
              </w:rPr>
              <w:t>09</w:t>
            </w:r>
            <w:r w:rsidR="00527627" w:rsidRPr="002E4520">
              <w:rPr>
                <w:rFonts w:ascii="Aptos" w:eastAsia="Calibri" w:hAnsi="Aptos" w:cs="Arial"/>
                <w:color w:val="000000" w:themeColor="text1"/>
              </w:rPr>
              <w:t xml:space="preserve"> March</w:t>
            </w:r>
            <w:r w:rsidR="00F45C10" w:rsidRPr="002E4520">
              <w:rPr>
                <w:rFonts w:ascii="Aptos" w:eastAsia="Calibri" w:hAnsi="Aptos" w:cs="Arial"/>
                <w:color w:val="000000" w:themeColor="text1"/>
              </w:rPr>
              <w:t xml:space="preserve"> 202</w:t>
            </w:r>
            <w:r w:rsidRPr="002E4520">
              <w:rPr>
                <w:rFonts w:ascii="Aptos" w:eastAsia="Calibri" w:hAnsi="Aptos" w:cs="Arial"/>
                <w:color w:val="000000" w:themeColor="text1"/>
              </w:rPr>
              <w:t>6</w:t>
            </w:r>
            <w:r w:rsidR="00F45C10" w:rsidRPr="002E4520">
              <w:rPr>
                <w:rFonts w:ascii="Aptos" w:eastAsia="Calibri" w:hAnsi="Aptos" w:cs="Arial"/>
                <w:color w:val="000000" w:themeColor="text1"/>
              </w:rPr>
              <w:t xml:space="preserve"> at 10h00</w:t>
            </w:r>
          </w:p>
        </w:tc>
      </w:tr>
    </w:tbl>
    <w:p w14:paraId="0B4EFA29" w14:textId="77777777" w:rsidR="00A41BC6" w:rsidRPr="00A41BC6" w:rsidRDefault="00A41BC6" w:rsidP="0094680A">
      <w:pPr>
        <w:spacing w:after="0" w:line="259" w:lineRule="auto"/>
        <w:rPr>
          <w:rFonts w:ascii="Arial" w:eastAsia="Calibri" w:hAnsi="Arial" w:cs="Arial"/>
          <w:b/>
          <w:bCs/>
          <w:sz w:val="24"/>
          <w:szCs w:val="24"/>
          <w:u w:val="single"/>
        </w:rPr>
      </w:pPr>
    </w:p>
    <w:tbl>
      <w:tblPr>
        <w:tblStyle w:val="TableGrid"/>
        <w:tblW w:w="15315" w:type="dxa"/>
        <w:jc w:val="center"/>
        <w:tblLook w:val="04A0" w:firstRow="1" w:lastRow="0" w:firstColumn="1" w:lastColumn="0" w:noHBand="0" w:noVBand="1"/>
      </w:tblPr>
      <w:tblGrid>
        <w:gridCol w:w="857"/>
        <w:gridCol w:w="7649"/>
        <w:gridCol w:w="6809"/>
      </w:tblGrid>
      <w:tr w:rsidR="00527627" w:rsidRPr="00A41BC6" w14:paraId="114B9B41" w14:textId="77777777" w:rsidTr="002D2F6D">
        <w:trPr>
          <w:trHeight w:val="405"/>
          <w:jc w:val="center"/>
        </w:trPr>
        <w:tc>
          <w:tcPr>
            <w:tcW w:w="857" w:type="dxa"/>
            <w:shd w:val="clear" w:color="auto" w:fill="D9D9D9" w:themeFill="background1" w:themeFillShade="D9"/>
          </w:tcPr>
          <w:p w14:paraId="6FDF9FA7" w14:textId="77777777" w:rsidR="00527627" w:rsidRPr="00A41BC6" w:rsidRDefault="00527627"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7649" w:type="dxa"/>
            <w:shd w:val="clear" w:color="auto" w:fill="D9D9D9" w:themeFill="background1" w:themeFillShade="D9"/>
          </w:tcPr>
          <w:p w14:paraId="70FCC2AD" w14:textId="77777777" w:rsidR="00527627" w:rsidRPr="00A41BC6" w:rsidRDefault="00527627"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809" w:type="dxa"/>
            <w:shd w:val="clear" w:color="auto" w:fill="D9D9D9" w:themeFill="background1" w:themeFillShade="D9"/>
          </w:tcPr>
          <w:p w14:paraId="2BC54E2D" w14:textId="77777777" w:rsidR="00527627" w:rsidRPr="00A41BC6" w:rsidRDefault="00527627"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r>
      <w:tr w:rsidR="00527627" w:rsidRPr="00EE004F" w14:paraId="1A2F2229" w14:textId="77777777" w:rsidTr="002D2F6D">
        <w:trPr>
          <w:trHeight w:val="405"/>
          <w:jc w:val="center"/>
        </w:trPr>
        <w:tc>
          <w:tcPr>
            <w:tcW w:w="857" w:type="dxa"/>
          </w:tcPr>
          <w:p w14:paraId="1C8FCD6E" w14:textId="77777777" w:rsidR="00527627" w:rsidRPr="00EE004F" w:rsidRDefault="00527627" w:rsidP="007654A3">
            <w:pPr>
              <w:numPr>
                <w:ilvl w:val="0"/>
                <w:numId w:val="5"/>
              </w:numPr>
              <w:ind w:left="360"/>
              <w:rPr>
                <w:rFonts w:ascii="Arial" w:eastAsia="Calibri" w:hAnsi="Arial" w:cs="Arial"/>
                <w:lang w:val="en-US"/>
              </w:rPr>
            </w:pPr>
          </w:p>
        </w:tc>
        <w:tc>
          <w:tcPr>
            <w:tcW w:w="7649" w:type="dxa"/>
          </w:tcPr>
          <w:p w14:paraId="0582DBF4" w14:textId="77777777" w:rsidR="00527627" w:rsidRDefault="009D6AD0" w:rsidP="007654A3">
            <w:pPr>
              <w:jc w:val="both"/>
              <w:rPr>
                <w:rFonts w:ascii="Arial" w:eastAsia="Times New Roman" w:hAnsi="Arial" w:cs="Arial"/>
              </w:rPr>
            </w:pPr>
            <w:r w:rsidRPr="00EE004F">
              <w:rPr>
                <w:rFonts w:ascii="Arial" w:eastAsia="Times New Roman" w:hAnsi="Arial" w:cs="Arial"/>
              </w:rPr>
              <w:t>We would like query the need for the EDS and NIDS solution to be an on-premises solution? Reason behind this query is that cloud solutions work as effectively as on premises solutions if not better. We hereby ask that cloud solutions be considered in this tender.</w:t>
            </w:r>
          </w:p>
          <w:p w14:paraId="53C8AD02" w14:textId="262655F0" w:rsidR="00F26944" w:rsidRPr="00323EEF" w:rsidRDefault="00F26944" w:rsidP="007654A3">
            <w:pPr>
              <w:jc w:val="both"/>
              <w:rPr>
                <w:rFonts w:ascii="Arial" w:eastAsia="Times New Roman" w:hAnsi="Arial" w:cs="Arial"/>
              </w:rPr>
            </w:pPr>
          </w:p>
        </w:tc>
        <w:tc>
          <w:tcPr>
            <w:tcW w:w="6809" w:type="dxa"/>
          </w:tcPr>
          <w:p w14:paraId="35069288" w14:textId="77777777" w:rsidR="00F26944" w:rsidRDefault="004812FE" w:rsidP="007654A3">
            <w:pPr>
              <w:jc w:val="both"/>
              <w:rPr>
                <w:rFonts w:ascii="Arial" w:eastAsia="Calibri" w:hAnsi="Arial" w:cs="Arial"/>
                <w:lang w:val="en-US"/>
              </w:rPr>
            </w:pPr>
            <w:r w:rsidRPr="00EE004F">
              <w:rPr>
                <w:rFonts w:ascii="Arial" w:eastAsia="Calibri" w:hAnsi="Arial" w:cs="Arial"/>
                <w:lang w:val="en-US"/>
              </w:rPr>
              <w:t>Unfortunately, as per</w:t>
            </w:r>
            <w:r w:rsidR="00F26944">
              <w:rPr>
                <w:rFonts w:ascii="Arial" w:eastAsia="Calibri" w:hAnsi="Arial" w:cs="Arial"/>
                <w:lang w:val="en-US"/>
              </w:rPr>
              <w:t xml:space="preserve"> the NTCSA</w:t>
            </w:r>
            <w:r w:rsidRPr="00EE004F">
              <w:rPr>
                <w:rFonts w:ascii="Arial" w:eastAsia="Calibri" w:hAnsi="Arial" w:cs="Arial"/>
                <w:lang w:val="en-US"/>
              </w:rPr>
              <w:t xml:space="preserve"> presentation during the clarification meeting, cloud-based solutions will not be considered.</w:t>
            </w:r>
          </w:p>
          <w:p w14:paraId="4BE395D4" w14:textId="77777777" w:rsidR="00F26944" w:rsidRDefault="00F26944" w:rsidP="007654A3">
            <w:pPr>
              <w:jc w:val="both"/>
              <w:rPr>
                <w:rFonts w:ascii="Arial" w:eastAsia="Calibri" w:hAnsi="Arial" w:cs="Arial"/>
                <w:lang w:val="en-US"/>
              </w:rPr>
            </w:pPr>
          </w:p>
          <w:p w14:paraId="54A1FA78" w14:textId="36AB2FF5" w:rsidR="00527627" w:rsidRPr="00EE004F" w:rsidRDefault="004812FE" w:rsidP="007654A3">
            <w:pPr>
              <w:jc w:val="both"/>
              <w:rPr>
                <w:rFonts w:ascii="Arial" w:eastAsia="Calibri" w:hAnsi="Arial" w:cs="Arial"/>
                <w:lang w:val="en-US"/>
              </w:rPr>
            </w:pPr>
            <w:r w:rsidRPr="00EE004F">
              <w:rPr>
                <w:rFonts w:ascii="Arial" w:eastAsia="Calibri" w:hAnsi="Arial" w:cs="Arial"/>
                <w:lang w:val="en-US"/>
              </w:rPr>
              <w:t xml:space="preserve">This is due to the sensitive nature of </w:t>
            </w:r>
            <w:r w:rsidR="005E2245">
              <w:rPr>
                <w:rFonts w:ascii="Arial" w:eastAsia="Calibri" w:hAnsi="Arial" w:cs="Arial"/>
                <w:lang w:val="en-US"/>
              </w:rPr>
              <w:t>NTCSA</w:t>
            </w:r>
            <w:r w:rsidRPr="00EE004F">
              <w:rPr>
                <w:rFonts w:ascii="Arial" w:eastAsia="Calibri" w:hAnsi="Arial" w:cs="Arial"/>
                <w:lang w:val="en-US"/>
              </w:rPr>
              <w:t xml:space="preserve"> OT data. </w:t>
            </w:r>
            <w:r w:rsidR="005E2245">
              <w:rPr>
                <w:rFonts w:ascii="Arial" w:eastAsia="Calibri" w:hAnsi="Arial" w:cs="Arial"/>
                <w:lang w:val="en-US"/>
              </w:rPr>
              <w:t>NTCSA</w:t>
            </w:r>
            <w:r w:rsidRPr="00EE004F">
              <w:rPr>
                <w:rFonts w:ascii="Arial" w:eastAsia="Calibri" w:hAnsi="Arial" w:cs="Arial"/>
                <w:lang w:val="en-US"/>
              </w:rPr>
              <w:t xml:space="preserve"> also have policies against the use of cloud-based solutions in the OT environment.</w:t>
            </w:r>
          </w:p>
        </w:tc>
      </w:tr>
      <w:tr w:rsidR="00527627" w:rsidRPr="00EE004F" w14:paraId="32D0016B" w14:textId="77777777" w:rsidTr="002D2F6D">
        <w:trPr>
          <w:trHeight w:val="5439"/>
          <w:jc w:val="center"/>
        </w:trPr>
        <w:tc>
          <w:tcPr>
            <w:tcW w:w="857" w:type="dxa"/>
          </w:tcPr>
          <w:p w14:paraId="3FA72E7B" w14:textId="77777777" w:rsidR="00527627" w:rsidRPr="00EE004F" w:rsidRDefault="00527627" w:rsidP="007654A3">
            <w:pPr>
              <w:numPr>
                <w:ilvl w:val="0"/>
                <w:numId w:val="5"/>
              </w:numPr>
              <w:ind w:left="360"/>
              <w:rPr>
                <w:rFonts w:ascii="Arial" w:eastAsia="Calibri" w:hAnsi="Arial" w:cs="Arial"/>
                <w:lang w:val="en-US"/>
              </w:rPr>
            </w:pPr>
          </w:p>
        </w:tc>
        <w:tc>
          <w:tcPr>
            <w:tcW w:w="7649" w:type="dxa"/>
          </w:tcPr>
          <w:p w14:paraId="55C5238C" w14:textId="790BAE8D" w:rsidR="00850594" w:rsidRPr="00850594" w:rsidRDefault="00850594" w:rsidP="00850594">
            <w:pPr>
              <w:spacing w:before="100" w:beforeAutospacing="1" w:after="100" w:afterAutospacing="1"/>
              <w:jc w:val="both"/>
              <w:rPr>
                <w:rFonts w:ascii="Arial" w:eastAsia="Times New Roman" w:hAnsi="Arial" w:cs="Arial"/>
                <w:color w:val="000000"/>
              </w:rPr>
            </w:pPr>
            <w:r w:rsidRPr="00850594">
              <w:rPr>
                <w:rFonts w:ascii="Arial" w:eastAsia="Times New Roman" w:hAnsi="Arial" w:cs="Arial"/>
                <w:color w:val="000000"/>
              </w:rPr>
              <w:t>Please may you clarify the below queries</w:t>
            </w:r>
            <w:r w:rsidR="00D36A2D">
              <w:rPr>
                <w:rFonts w:ascii="Arial" w:eastAsia="Times New Roman" w:hAnsi="Arial" w:cs="Arial"/>
                <w:color w:val="000000"/>
              </w:rPr>
              <w:t>:</w:t>
            </w:r>
          </w:p>
          <w:p w14:paraId="7E7D21AF" w14:textId="56785273" w:rsidR="00850594" w:rsidRDefault="00850594" w:rsidP="000E007D">
            <w:pPr>
              <w:pStyle w:val="ListParagraph"/>
              <w:numPr>
                <w:ilvl w:val="1"/>
                <w:numId w:val="5"/>
              </w:numPr>
              <w:spacing w:before="100" w:beforeAutospacing="1" w:after="100" w:afterAutospacing="1"/>
              <w:jc w:val="both"/>
              <w:rPr>
                <w:rFonts w:ascii="Arial" w:eastAsia="Times New Roman" w:hAnsi="Arial" w:cs="Arial"/>
                <w:color w:val="000000"/>
              </w:rPr>
            </w:pPr>
            <w:r w:rsidRPr="000E007D">
              <w:rPr>
                <w:rFonts w:ascii="Arial" w:eastAsia="Times New Roman" w:hAnsi="Arial" w:cs="Arial"/>
                <w:color w:val="000000"/>
              </w:rPr>
              <w:t>Is subcontracting mandatory even if only one Package is being responded to?</w:t>
            </w:r>
          </w:p>
          <w:p w14:paraId="10ADE5B9" w14:textId="77777777" w:rsidR="000E007D" w:rsidRPr="000E007D" w:rsidRDefault="000E007D" w:rsidP="000E007D">
            <w:pPr>
              <w:spacing w:before="100" w:beforeAutospacing="1" w:after="100" w:afterAutospacing="1"/>
              <w:jc w:val="both"/>
              <w:rPr>
                <w:rFonts w:ascii="Arial" w:eastAsia="Times New Roman" w:hAnsi="Arial" w:cs="Arial"/>
                <w:color w:val="000000"/>
              </w:rPr>
            </w:pPr>
          </w:p>
          <w:p w14:paraId="45CF25CF" w14:textId="50B71251" w:rsidR="000E007D" w:rsidRDefault="000E007D" w:rsidP="000E007D">
            <w:pPr>
              <w:pStyle w:val="ListParagraph"/>
              <w:numPr>
                <w:ilvl w:val="1"/>
                <w:numId w:val="5"/>
              </w:numPr>
              <w:spacing w:before="100" w:beforeAutospacing="1" w:after="100" w:afterAutospacing="1"/>
              <w:jc w:val="both"/>
              <w:rPr>
                <w:rFonts w:ascii="Arial" w:eastAsia="Times New Roman" w:hAnsi="Arial" w:cs="Arial"/>
                <w:color w:val="000000"/>
              </w:rPr>
            </w:pPr>
            <w:r w:rsidRPr="00850594">
              <w:rPr>
                <w:rFonts w:ascii="Arial" w:eastAsia="Times New Roman" w:hAnsi="Arial" w:cs="Arial"/>
                <w:color w:val="000000"/>
              </w:rPr>
              <w:t>Kindly confirm the contract duration for the NIDS and EDR solution as it is not defined in the docs.</w:t>
            </w:r>
          </w:p>
          <w:p w14:paraId="0DE391FE" w14:textId="77777777" w:rsidR="00876685" w:rsidRDefault="00876685" w:rsidP="00876685">
            <w:pPr>
              <w:pStyle w:val="ListParagraph"/>
              <w:rPr>
                <w:rFonts w:ascii="Arial" w:eastAsia="Times New Roman" w:hAnsi="Arial" w:cs="Arial"/>
                <w:color w:val="000000"/>
              </w:rPr>
            </w:pPr>
          </w:p>
          <w:p w14:paraId="67D1E3BC" w14:textId="77777777" w:rsidR="00876685" w:rsidRDefault="00876685" w:rsidP="00876685">
            <w:pPr>
              <w:pStyle w:val="ListParagraph"/>
              <w:rPr>
                <w:rFonts w:ascii="Arial" w:eastAsia="Times New Roman" w:hAnsi="Arial" w:cs="Arial"/>
                <w:color w:val="000000"/>
              </w:rPr>
            </w:pPr>
          </w:p>
          <w:p w14:paraId="69C8C523" w14:textId="77777777" w:rsidR="00876685" w:rsidRDefault="00876685" w:rsidP="00876685">
            <w:pPr>
              <w:pStyle w:val="ListParagraph"/>
              <w:rPr>
                <w:rFonts w:ascii="Arial" w:eastAsia="Times New Roman" w:hAnsi="Arial" w:cs="Arial"/>
                <w:color w:val="000000"/>
              </w:rPr>
            </w:pPr>
          </w:p>
          <w:p w14:paraId="66C256F1" w14:textId="77777777" w:rsidR="00876685" w:rsidRDefault="00876685" w:rsidP="00876685">
            <w:pPr>
              <w:pStyle w:val="ListParagraph"/>
              <w:rPr>
                <w:rFonts w:ascii="Arial" w:eastAsia="Times New Roman" w:hAnsi="Arial" w:cs="Arial"/>
                <w:color w:val="000000"/>
              </w:rPr>
            </w:pPr>
          </w:p>
          <w:p w14:paraId="148BB904" w14:textId="77777777" w:rsidR="00876685" w:rsidRDefault="00876685" w:rsidP="00876685">
            <w:pPr>
              <w:pStyle w:val="ListParagraph"/>
              <w:rPr>
                <w:rFonts w:ascii="Arial" w:eastAsia="Times New Roman" w:hAnsi="Arial" w:cs="Arial"/>
                <w:color w:val="000000"/>
              </w:rPr>
            </w:pPr>
          </w:p>
          <w:p w14:paraId="3E7D3F89" w14:textId="77777777" w:rsidR="00876685" w:rsidRPr="00876685" w:rsidRDefault="00876685" w:rsidP="00876685">
            <w:pPr>
              <w:rPr>
                <w:rFonts w:ascii="Arial" w:eastAsia="Times New Roman" w:hAnsi="Arial" w:cs="Arial"/>
                <w:color w:val="000000"/>
              </w:rPr>
            </w:pPr>
          </w:p>
          <w:p w14:paraId="05048DF5" w14:textId="6B7F5440" w:rsidR="00034A9F" w:rsidRPr="002D2F6D" w:rsidRDefault="00876685" w:rsidP="000E007D">
            <w:pPr>
              <w:pStyle w:val="ListParagraph"/>
              <w:numPr>
                <w:ilvl w:val="1"/>
                <w:numId w:val="5"/>
              </w:numPr>
              <w:spacing w:before="100" w:beforeAutospacing="1" w:after="100" w:afterAutospacing="1"/>
              <w:jc w:val="both"/>
              <w:rPr>
                <w:rFonts w:ascii="Arial" w:eastAsia="Times New Roman" w:hAnsi="Arial" w:cs="Arial"/>
                <w:color w:val="000000"/>
              </w:rPr>
            </w:pPr>
            <w:r w:rsidRPr="00850594">
              <w:rPr>
                <w:rFonts w:ascii="Arial" w:eastAsia="Times New Roman" w:hAnsi="Arial" w:cs="Arial"/>
                <w:color w:val="000000"/>
              </w:rPr>
              <w:t>Some of the tabs mentioned in the excel files (Appendix B.1 and Appendix B.2) are locked and can't be edited. Requesting you to reshare these files with unlocked tabs.</w:t>
            </w:r>
          </w:p>
          <w:p w14:paraId="0BAF0951" w14:textId="0AD84E62" w:rsidR="00527627" w:rsidRPr="00EE004F" w:rsidRDefault="00527627" w:rsidP="007654A3">
            <w:pPr>
              <w:spacing w:before="100" w:beforeAutospacing="1" w:after="100" w:afterAutospacing="1"/>
              <w:jc w:val="both"/>
              <w:rPr>
                <w:rFonts w:ascii="Arial" w:eastAsia="Times New Roman" w:hAnsi="Arial" w:cs="Arial"/>
                <w:color w:val="000000"/>
              </w:rPr>
            </w:pPr>
          </w:p>
        </w:tc>
        <w:tc>
          <w:tcPr>
            <w:tcW w:w="6809" w:type="dxa"/>
          </w:tcPr>
          <w:p w14:paraId="0307C903" w14:textId="77777777" w:rsidR="00AF10D3" w:rsidRDefault="00AF10D3" w:rsidP="00AF10D3">
            <w:pPr>
              <w:rPr>
                <w:rFonts w:ascii="Arial" w:eastAsia="Aptos" w:hAnsi="Arial" w:cs="Arial"/>
                <w14:ligatures w14:val="standardContextual"/>
              </w:rPr>
            </w:pPr>
          </w:p>
          <w:p w14:paraId="444068DC" w14:textId="77777777" w:rsidR="00D36A2D" w:rsidRPr="0070092B" w:rsidRDefault="00D36A2D" w:rsidP="00AF10D3">
            <w:pPr>
              <w:rPr>
                <w:rFonts w:ascii="Arial" w:eastAsia="Aptos" w:hAnsi="Arial" w:cs="Arial"/>
                <w14:ligatures w14:val="standardContextual"/>
              </w:rPr>
            </w:pPr>
          </w:p>
          <w:p w14:paraId="7F243361" w14:textId="428C9B54" w:rsidR="00AF10D3" w:rsidRPr="0070092B" w:rsidRDefault="000E007D" w:rsidP="00AF10D3">
            <w:pPr>
              <w:rPr>
                <w:rFonts w:ascii="Arial" w:eastAsia="Aptos" w:hAnsi="Arial" w:cs="Arial"/>
                <w14:ligatures w14:val="standardContextual"/>
              </w:rPr>
            </w:pPr>
            <w:r>
              <w:rPr>
                <w:rFonts w:ascii="Arial" w:eastAsia="Aptos" w:hAnsi="Arial" w:cs="Arial"/>
                <w14:ligatures w14:val="standardContextual"/>
              </w:rPr>
              <w:t>2.1</w:t>
            </w:r>
            <w:r w:rsidR="00AF10D3" w:rsidRPr="0070092B">
              <w:rPr>
                <w:rFonts w:ascii="Arial" w:eastAsia="Aptos" w:hAnsi="Arial" w:cs="Arial"/>
                <w14:ligatures w14:val="standardContextual"/>
              </w:rPr>
              <w:t>.</w:t>
            </w:r>
            <w:r w:rsidR="00D36A2D" w:rsidRPr="0070092B">
              <w:rPr>
                <w:rFonts w:ascii="Arial" w:eastAsia="Aptos" w:hAnsi="Arial" w:cs="Arial"/>
                <w14:ligatures w14:val="standardContextual"/>
              </w:rPr>
              <w:t xml:space="preserve"> NTCSA </w:t>
            </w:r>
            <w:r w:rsidR="00AF10D3" w:rsidRPr="0070092B">
              <w:rPr>
                <w:rFonts w:ascii="Arial" w:eastAsia="Aptos" w:hAnsi="Arial" w:cs="Arial"/>
                <w14:ligatures w14:val="standardContextual"/>
              </w:rPr>
              <w:t>has stated that it is a requirement that will be negotiated and finalized with the successful tenderer at contract stage.</w:t>
            </w:r>
          </w:p>
          <w:p w14:paraId="22D2A475" w14:textId="77777777" w:rsidR="00AF10D3" w:rsidRPr="0070092B" w:rsidRDefault="00AF10D3" w:rsidP="00AF10D3">
            <w:pPr>
              <w:rPr>
                <w:rFonts w:ascii="Arial" w:eastAsia="Aptos" w:hAnsi="Arial" w:cs="Arial"/>
                <w14:ligatures w14:val="standardContextual"/>
              </w:rPr>
            </w:pPr>
          </w:p>
          <w:p w14:paraId="0819B29F" w14:textId="77777777" w:rsidR="00034A9F" w:rsidRDefault="00034A9F" w:rsidP="00AF10D3">
            <w:pPr>
              <w:rPr>
                <w:rFonts w:ascii="Arial" w:eastAsia="Aptos" w:hAnsi="Arial" w:cs="Arial"/>
                <w14:ligatures w14:val="standardContextual"/>
              </w:rPr>
            </w:pPr>
          </w:p>
          <w:p w14:paraId="4D0D0842" w14:textId="291AE6EC" w:rsidR="00AF10D3" w:rsidRPr="0070092B" w:rsidRDefault="00D36A2D" w:rsidP="00AF10D3">
            <w:pPr>
              <w:rPr>
                <w:rFonts w:ascii="Arial" w:eastAsia="Aptos" w:hAnsi="Arial" w:cs="Arial"/>
                <w14:ligatures w14:val="standardContextual"/>
              </w:rPr>
            </w:pPr>
            <w:r>
              <w:rPr>
                <w:rFonts w:ascii="Arial" w:eastAsia="Aptos" w:hAnsi="Arial" w:cs="Arial"/>
                <w14:ligatures w14:val="standardContextual"/>
              </w:rPr>
              <w:t>2</w:t>
            </w:r>
            <w:r w:rsidR="000E007D">
              <w:rPr>
                <w:rFonts w:ascii="Arial" w:eastAsia="Aptos" w:hAnsi="Arial" w:cs="Arial"/>
                <w14:ligatures w14:val="standardContextual"/>
              </w:rPr>
              <w:t>.2</w:t>
            </w:r>
            <w:r w:rsidR="00AF10D3" w:rsidRPr="0070092B">
              <w:rPr>
                <w:rFonts w:ascii="Arial" w:eastAsia="Aptos" w:hAnsi="Arial" w:cs="Arial"/>
                <w14:ligatures w14:val="standardContextual"/>
              </w:rPr>
              <w:t>. The NTCSA operating technology (OT) endpoint detection response (EDR) &amp; network intrusion detection system (NIDS) solution supply, delivery, off-loading, installation, configuration, testing, commissioning, decommissioning, maintenance, support and training for a period of Five (5) years on an “as and when” required basis for NIDS solution and Two (2) years on an “as and when” required basis for EDR solution.</w:t>
            </w:r>
          </w:p>
          <w:p w14:paraId="40B91C80" w14:textId="77777777" w:rsidR="00AF10D3" w:rsidRPr="0070092B" w:rsidRDefault="00AF10D3" w:rsidP="00AF10D3">
            <w:pPr>
              <w:rPr>
                <w:rFonts w:ascii="Arial" w:eastAsia="Aptos" w:hAnsi="Arial" w:cs="Arial"/>
                <w14:ligatures w14:val="standardContextual"/>
              </w:rPr>
            </w:pPr>
          </w:p>
          <w:p w14:paraId="36D1B978" w14:textId="77777777" w:rsidR="000E007D" w:rsidRDefault="000E007D" w:rsidP="00AF10D3">
            <w:pPr>
              <w:rPr>
                <w:rFonts w:ascii="Arial" w:eastAsia="Aptos" w:hAnsi="Arial" w:cs="Arial"/>
                <w14:ligatures w14:val="standardContextual"/>
              </w:rPr>
            </w:pPr>
          </w:p>
          <w:p w14:paraId="6C684172" w14:textId="77777777" w:rsidR="000E007D" w:rsidRPr="00876685" w:rsidRDefault="000E007D" w:rsidP="00AF10D3">
            <w:pPr>
              <w:rPr>
                <w:rFonts w:ascii="Arial" w:eastAsia="Aptos" w:hAnsi="Arial" w:cs="Arial"/>
                <w:sz w:val="4"/>
                <w:szCs w:val="4"/>
                <w14:ligatures w14:val="standardContextual"/>
              </w:rPr>
            </w:pPr>
          </w:p>
          <w:p w14:paraId="52C7E85A" w14:textId="77777777" w:rsidR="00034A9F" w:rsidRPr="00034A9F" w:rsidRDefault="00034A9F" w:rsidP="00AF10D3">
            <w:pPr>
              <w:rPr>
                <w:rFonts w:ascii="Arial" w:eastAsia="Aptos" w:hAnsi="Arial" w:cs="Arial"/>
                <w:sz w:val="10"/>
                <w:szCs w:val="10"/>
                <w14:ligatures w14:val="standardContextual"/>
              </w:rPr>
            </w:pPr>
          </w:p>
          <w:p w14:paraId="262D92F4" w14:textId="77777777" w:rsidR="00AF10D3" w:rsidRDefault="000E007D" w:rsidP="00AF10D3">
            <w:pPr>
              <w:rPr>
                <w:rFonts w:ascii="Arial" w:eastAsia="Aptos" w:hAnsi="Arial" w:cs="Arial"/>
                <w14:ligatures w14:val="standardContextual"/>
              </w:rPr>
            </w:pPr>
            <w:r>
              <w:rPr>
                <w:rFonts w:ascii="Arial" w:eastAsia="Aptos" w:hAnsi="Arial" w:cs="Arial"/>
                <w14:ligatures w14:val="standardContextual"/>
              </w:rPr>
              <w:t>2.</w:t>
            </w:r>
            <w:r w:rsidR="00D36A2D">
              <w:rPr>
                <w:rFonts w:ascii="Arial" w:eastAsia="Aptos" w:hAnsi="Arial" w:cs="Arial"/>
                <w14:ligatures w14:val="standardContextual"/>
              </w:rPr>
              <w:t>3</w:t>
            </w:r>
            <w:r w:rsidR="00AF10D3" w:rsidRPr="0070092B">
              <w:rPr>
                <w:rFonts w:ascii="Arial" w:eastAsia="Aptos" w:hAnsi="Arial" w:cs="Arial"/>
                <w14:ligatures w14:val="standardContextual"/>
              </w:rPr>
              <w:t>. Appendix B.1 and B.2 are attached in an excel format</w:t>
            </w:r>
          </w:p>
          <w:p w14:paraId="550519BA" w14:textId="23F39AF8" w:rsidR="00034A9F" w:rsidRPr="00034A9F" w:rsidRDefault="00034A9F" w:rsidP="00034A9F">
            <w:pPr>
              <w:rPr>
                <w:rFonts w:ascii="Arial" w:eastAsia="Aptos" w:hAnsi="Arial" w:cs="Arial"/>
              </w:rPr>
            </w:pPr>
          </w:p>
        </w:tc>
      </w:tr>
      <w:tr w:rsidR="00527627" w:rsidRPr="00EE004F" w14:paraId="029FDDC2" w14:textId="77777777" w:rsidTr="002D2F6D">
        <w:trPr>
          <w:trHeight w:val="405"/>
          <w:jc w:val="center"/>
        </w:trPr>
        <w:tc>
          <w:tcPr>
            <w:tcW w:w="857" w:type="dxa"/>
          </w:tcPr>
          <w:p w14:paraId="3540DD3D" w14:textId="77777777" w:rsidR="00527627" w:rsidRPr="00EE004F" w:rsidRDefault="00527627" w:rsidP="007654A3">
            <w:pPr>
              <w:numPr>
                <w:ilvl w:val="0"/>
                <w:numId w:val="5"/>
              </w:numPr>
              <w:ind w:left="360"/>
              <w:rPr>
                <w:rFonts w:ascii="Arial" w:eastAsia="Calibri" w:hAnsi="Arial" w:cs="Arial"/>
                <w:lang w:val="en-US"/>
              </w:rPr>
            </w:pPr>
          </w:p>
        </w:tc>
        <w:tc>
          <w:tcPr>
            <w:tcW w:w="7649" w:type="dxa"/>
          </w:tcPr>
          <w:p w14:paraId="1073140E" w14:textId="71216596" w:rsidR="00850594" w:rsidRPr="00EE004F" w:rsidRDefault="00850594" w:rsidP="00850594">
            <w:pPr>
              <w:spacing w:before="100" w:beforeAutospacing="1" w:after="100" w:afterAutospacing="1"/>
              <w:jc w:val="both"/>
              <w:rPr>
                <w:rFonts w:ascii="Arial" w:eastAsia="Times New Roman" w:hAnsi="Arial" w:cs="Arial"/>
                <w:color w:val="000000"/>
              </w:rPr>
            </w:pPr>
            <w:r w:rsidRPr="00EE004F">
              <w:rPr>
                <w:rFonts w:ascii="Arial" w:eastAsia="Times New Roman" w:hAnsi="Arial" w:cs="Arial"/>
                <w:color w:val="000000"/>
              </w:rPr>
              <w:t>The NTCSA operating technology (OT) endpoint detection response (EDR) &amp; network intrusion detection system (NIDS) solution supply, delivery, off-loading, installation, configuration, testing, commissioning, decommissioning, maintenance, support and training for a period of Five (5) years on an “as and when” required basis for NIDS solution and Two (2) years on an “as and when” required basis for EDR solution</w:t>
            </w:r>
          </w:p>
          <w:p w14:paraId="14743ADD" w14:textId="6A2BABAC" w:rsidR="00527627" w:rsidRPr="00EE004F" w:rsidRDefault="00850594" w:rsidP="007654A3">
            <w:pPr>
              <w:spacing w:before="100" w:beforeAutospacing="1" w:after="100" w:afterAutospacing="1"/>
              <w:jc w:val="both"/>
              <w:rPr>
                <w:rFonts w:ascii="Arial" w:eastAsia="Times New Roman" w:hAnsi="Arial" w:cs="Arial"/>
                <w:color w:val="000000"/>
              </w:rPr>
            </w:pPr>
            <w:r w:rsidRPr="00EE004F">
              <w:rPr>
                <w:rFonts w:ascii="Arial" w:eastAsia="Times New Roman" w:hAnsi="Arial" w:cs="Arial"/>
                <w:color w:val="000000"/>
              </w:rPr>
              <w:t>Does this mean NTCSA is looking for NIDS for 5 years and EDR for 2 years - will the support for the technology be for the same duration? Can you please expand on "as and when"?</w:t>
            </w:r>
          </w:p>
        </w:tc>
        <w:tc>
          <w:tcPr>
            <w:tcW w:w="6809" w:type="dxa"/>
          </w:tcPr>
          <w:p w14:paraId="644DA82B" w14:textId="5B31F315" w:rsidR="0070092B" w:rsidRPr="0070092B" w:rsidRDefault="0070092B" w:rsidP="0070092B">
            <w:pPr>
              <w:rPr>
                <w:rFonts w:ascii="Arial" w:eastAsia="Times New Roman" w:hAnsi="Arial" w:cs="Arial"/>
                <w:color w:val="000000"/>
                <w:lang w:eastAsia="en-ZA"/>
              </w:rPr>
            </w:pPr>
            <w:r w:rsidRPr="0070092B">
              <w:rPr>
                <w:rFonts w:ascii="Arial" w:eastAsia="Times New Roman" w:hAnsi="Arial" w:cs="Arial"/>
                <w:color w:val="000000"/>
                <w:lang w:eastAsia="en-ZA"/>
              </w:rPr>
              <w:t>Yes, 5</w:t>
            </w:r>
            <w:r>
              <w:rPr>
                <w:rFonts w:ascii="Arial" w:eastAsia="Times New Roman" w:hAnsi="Arial" w:cs="Arial"/>
                <w:color w:val="000000"/>
                <w:lang w:eastAsia="en-ZA"/>
              </w:rPr>
              <w:t xml:space="preserve"> </w:t>
            </w:r>
            <w:r w:rsidRPr="0070092B">
              <w:rPr>
                <w:rFonts w:ascii="Arial" w:eastAsia="Times New Roman" w:hAnsi="Arial" w:cs="Arial"/>
                <w:color w:val="000000"/>
                <w:lang w:eastAsia="en-ZA"/>
              </w:rPr>
              <w:t>years and 2</w:t>
            </w:r>
            <w:r>
              <w:rPr>
                <w:rFonts w:ascii="Arial" w:eastAsia="Times New Roman" w:hAnsi="Arial" w:cs="Arial"/>
                <w:color w:val="000000"/>
                <w:lang w:eastAsia="en-ZA"/>
              </w:rPr>
              <w:t xml:space="preserve"> </w:t>
            </w:r>
            <w:r w:rsidRPr="0070092B">
              <w:rPr>
                <w:rFonts w:ascii="Arial" w:eastAsia="Times New Roman" w:hAnsi="Arial" w:cs="Arial"/>
                <w:color w:val="000000"/>
                <w:lang w:eastAsia="en-ZA"/>
              </w:rPr>
              <w:t>years respectively</w:t>
            </w:r>
          </w:p>
          <w:p w14:paraId="3ABF0BA2" w14:textId="77777777" w:rsidR="0070092B" w:rsidRDefault="0070092B" w:rsidP="0070092B">
            <w:pPr>
              <w:rPr>
                <w:rFonts w:ascii="Arial" w:eastAsia="Times New Roman" w:hAnsi="Arial" w:cs="Arial"/>
                <w:color w:val="000000"/>
                <w:lang w:eastAsia="en-ZA"/>
              </w:rPr>
            </w:pPr>
          </w:p>
          <w:p w14:paraId="12396B71" w14:textId="18CAE4FA" w:rsidR="0070092B" w:rsidRPr="0070092B" w:rsidRDefault="0070092B" w:rsidP="0070092B">
            <w:pPr>
              <w:rPr>
                <w:rFonts w:ascii="Arial" w:eastAsia="Times New Roman" w:hAnsi="Arial" w:cs="Arial"/>
                <w:color w:val="000000"/>
                <w:lang w:eastAsia="en-ZA"/>
              </w:rPr>
            </w:pPr>
            <w:r w:rsidRPr="0070092B">
              <w:rPr>
                <w:rFonts w:ascii="Arial" w:eastAsia="Times New Roman" w:hAnsi="Arial" w:cs="Arial"/>
                <w:color w:val="000000"/>
                <w:lang w:eastAsia="en-ZA"/>
              </w:rPr>
              <w:t>Yes, should the need to extend arise, formal process will be followed, thanks</w:t>
            </w:r>
          </w:p>
          <w:p w14:paraId="424C2527" w14:textId="77777777" w:rsidR="0070092B" w:rsidRDefault="0070092B" w:rsidP="0070092B">
            <w:pPr>
              <w:rPr>
                <w:rFonts w:ascii="Arial" w:eastAsia="Times New Roman" w:hAnsi="Arial" w:cs="Arial"/>
                <w:color w:val="000000"/>
                <w:lang w:eastAsia="en-ZA"/>
              </w:rPr>
            </w:pPr>
          </w:p>
          <w:p w14:paraId="3FDB7E28" w14:textId="3F913FDF" w:rsidR="0070092B" w:rsidRPr="0070092B" w:rsidRDefault="0070092B" w:rsidP="0070092B">
            <w:pPr>
              <w:rPr>
                <w:rFonts w:ascii="Arial" w:eastAsia="Times New Roman" w:hAnsi="Arial" w:cs="Arial"/>
                <w:color w:val="000000"/>
                <w:lang w:eastAsia="en-ZA"/>
              </w:rPr>
            </w:pPr>
            <w:r w:rsidRPr="0070092B">
              <w:rPr>
                <w:rFonts w:ascii="Arial" w:eastAsia="Times New Roman" w:hAnsi="Arial" w:cs="Arial"/>
                <w:color w:val="000000"/>
                <w:lang w:eastAsia="en-ZA"/>
              </w:rPr>
              <w:t>For example, within the 5 and 2 years, the support will be needed as and when needed basis, not necessarily everyday</w:t>
            </w:r>
          </w:p>
          <w:p w14:paraId="62838F88" w14:textId="77777777" w:rsidR="0070092B" w:rsidRPr="0070092B" w:rsidRDefault="0070092B" w:rsidP="0070092B">
            <w:pPr>
              <w:rPr>
                <w:rFonts w:ascii="Arial" w:eastAsia="Times New Roman" w:hAnsi="Arial" w:cs="Arial"/>
                <w:color w:val="000000"/>
                <w:lang w:eastAsia="en-ZA"/>
              </w:rPr>
            </w:pPr>
            <w:r w:rsidRPr="0070092B">
              <w:rPr>
                <w:rFonts w:ascii="Arial" w:eastAsia="Times New Roman" w:hAnsi="Arial" w:cs="Arial"/>
                <w:color w:val="000000"/>
                <w:lang w:eastAsia="en-ZA"/>
              </w:rPr>
              <w:t> </w:t>
            </w:r>
          </w:p>
          <w:p w14:paraId="4A02F19F" w14:textId="2743CB10" w:rsidR="00380428" w:rsidRPr="00EE004F" w:rsidRDefault="00380428" w:rsidP="0070092B">
            <w:pPr>
              <w:rPr>
                <w:rFonts w:ascii="Arial" w:eastAsia="Times New Roman" w:hAnsi="Arial" w:cs="Arial"/>
                <w:color w:val="000000"/>
                <w:lang w:eastAsia="en-ZA"/>
              </w:rPr>
            </w:pPr>
          </w:p>
        </w:tc>
      </w:tr>
      <w:tr w:rsidR="005C2053" w:rsidRPr="00EE004F" w14:paraId="1F353F60" w14:textId="77777777" w:rsidTr="002D2F6D">
        <w:trPr>
          <w:trHeight w:val="405"/>
          <w:jc w:val="center"/>
        </w:trPr>
        <w:tc>
          <w:tcPr>
            <w:tcW w:w="857" w:type="dxa"/>
          </w:tcPr>
          <w:p w14:paraId="5F022C08" w14:textId="77777777" w:rsidR="005C2053" w:rsidRPr="00EE004F" w:rsidRDefault="005C2053" w:rsidP="007654A3">
            <w:pPr>
              <w:numPr>
                <w:ilvl w:val="0"/>
                <w:numId w:val="5"/>
              </w:numPr>
              <w:ind w:left="360"/>
              <w:rPr>
                <w:rFonts w:ascii="Arial" w:eastAsia="Calibri" w:hAnsi="Arial" w:cs="Arial"/>
                <w:lang w:val="en-US"/>
              </w:rPr>
            </w:pPr>
          </w:p>
        </w:tc>
        <w:tc>
          <w:tcPr>
            <w:tcW w:w="7649" w:type="dxa"/>
          </w:tcPr>
          <w:p w14:paraId="6BB3A011" w14:textId="77777777" w:rsidR="005C2053" w:rsidRPr="005C2053" w:rsidRDefault="005C2053" w:rsidP="005C2053">
            <w:pPr>
              <w:spacing w:before="100" w:beforeAutospacing="1" w:after="100" w:afterAutospacing="1"/>
              <w:jc w:val="both"/>
              <w:rPr>
                <w:rFonts w:ascii="Arial" w:eastAsia="Times New Roman" w:hAnsi="Arial" w:cs="Arial"/>
                <w:color w:val="000000"/>
              </w:rPr>
            </w:pPr>
            <w:r w:rsidRPr="005C2053">
              <w:rPr>
                <w:rFonts w:ascii="Arial" w:eastAsia="Times New Roman" w:hAnsi="Arial" w:cs="Arial"/>
                <w:color w:val="000000"/>
              </w:rPr>
              <w:t xml:space="preserve">We kindly request clarification regarding the requirement for a </w:t>
            </w:r>
            <w:r w:rsidRPr="005C2053">
              <w:rPr>
                <w:rFonts w:ascii="Arial" w:eastAsia="Times New Roman" w:hAnsi="Arial" w:cs="Arial"/>
                <w:b/>
                <w:bCs/>
                <w:color w:val="000000"/>
              </w:rPr>
              <w:t>Formal Agreement Letter </w:t>
            </w:r>
            <w:r w:rsidRPr="005C2053">
              <w:rPr>
                <w:rFonts w:ascii="Arial" w:eastAsia="Times New Roman" w:hAnsi="Arial" w:cs="Arial"/>
                <w:color w:val="000000"/>
              </w:rPr>
              <w:t>in relation to the tender:</w:t>
            </w:r>
          </w:p>
          <w:p w14:paraId="4972F0DA" w14:textId="77777777" w:rsidR="005C2053" w:rsidRPr="005C2053" w:rsidRDefault="005C2053" w:rsidP="005C2053">
            <w:pPr>
              <w:spacing w:before="100" w:beforeAutospacing="1" w:after="100" w:afterAutospacing="1"/>
              <w:jc w:val="both"/>
              <w:rPr>
                <w:rFonts w:ascii="Arial" w:eastAsia="Times New Roman" w:hAnsi="Arial" w:cs="Arial"/>
                <w:color w:val="000000"/>
              </w:rPr>
            </w:pPr>
            <w:r w:rsidRPr="005C2053">
              <w:rPr>
                <w:rFonts w:ascii="Arial" w:eastAsia="Times New Roman" w:hAnsi="Arial" w:cs="Arial"/>
                <w:b/>
                <w:bCs/>
                <w:color w:val="000000"/>
              </w:rPr>
              <w:t>Tender Title: </w:t>
            </w:r>
            <w:r w:rsidRPr="005C2053">
              <w:rPr>
                <w:rFonts w:ascii="Arial" w:eastAsia="Times New Roman" w:hAnsi="Arial" w:cs="Arial"/>
                <w:color w:val="000000"/>
              </w:rPr>
              <w:t>THE NTCSA OPERATING TECHNOLOGY (OT) ENDPOINT DETECTION RESPONSE (EDR) &amp; NETWORK INTRUSION DETECTION SYSTEM (NIDS) SOLUTION – SUPPLY, DELIVERY, OFF-LOADING, INSTALLATION, CONFIGURATION, TESTING, COMMISSIONING, DECOMMISSIONING, MAINTENANCE, SUPPORT AND TRAINING.</w:t>
            </w:r>
          </w:p>
          <w:p w14:paraId="598EA7C5" w14:textId="77777777" w:rsidR="005C2053" w:rsidRPr="005C2053" w:rsidRDefault="005C2053" w:rsidP="005C2053">
            <w:pPr>
              <w:spacing w:before="100" w:beforeAutospacing="1" w:after="100" w:afterAutospacing="1"/>
              <w:jc w:val="both"/>
              <w:rPr>
                <w:rFonts w:ascii="Arial" w:eastAsia="Times New Roman" w:hAnsi="Arial" w:cs="Arial"/>
                <w:color w:val="000000"/>
              </w:rPr>
            </w:pPr>
            <w:r w:rsidRPr="005C2053">
              <w:rPr>
                <w:rFonts w:ascii="Arial" w:eastAsia="Times New Roman" w:hAnsi="Arial" w:cs="Arial"/>
                <w:color w:val="000000"/>
              </w:rPr>
              <w:t xml:space="preserve">Specifically, we would like to understand whether it would be acceptable for a tenderer to propose a solution where the bidder </w:t>
            </w:r>
            <w:r w:rsidRPr="005C2053">
              <w:rPr>
                <w:rFonts w:ascii="Arial" w:eastAsia="Times New Roman" w:hAnsi="Arial" w:cs="Arial"/>
                <w:b/>
                <w:bCs/>
                <w:color w:val="000000"/>
              </w:rPr>
              <w:t>does not currently have a formal agreement letter or certificate with the OEM</w:t>
            </w:r>
            <w:r w:rsidRPr="005C2053">
              <w:rPr>
                <w:rFonts w:ascii="Arial" w:eastAsia="Times New Roman" w:hAnsi="Arial" w:cs="Arial"/>
                <w:color w:val="000000"/>
              </w:rPr>
              <w:t>, but is able to source and supply the proposed solution through an authorized channel or distributor. Please refer to highlighted section in the attached screenshot</w:t>
            </w:r>
          </w:p>
          <w:p w14:paraId="02901F4C" w14:textId="77777777" w:rsidR="005C2053" w:rsidRPr="005C2053" w:rsidRDefault="005C2053" w:rsidP="005C2053">
            <w:pPr>
              <w:spacing w:before="100" w:beforeAutospacing="1" w:after="100" w:afterAutospacing="1"/>
              <w:jc w:val="both"/>
              <w:rPr>
                <w:rFonts w:ascii="Arial" w:eastAsia="Times New Roman" w:hAnsi="Arial" w:cs="Arial"/>
                <w:color w:val="000000"/>
              </w:rPr>
            </w:pPr>
            <w:r w:rsidRPr="005C2053">
              <w:rPr>
                <w:rFonts w:ascii="Arial" w:eastAsia="Times New Roman" w:hAnsi="Arial" w:cs="Arial"/>
                <w:color w:val="000000"/>
              </w:rPr>
              <w:t xml:space="preserve">Furthermore, we would appreciate confirmation on whether the </w:t>
            </w:r>
            <w:r w:rsidRPr="005C2053">
              <w:rPr>
                <w:rFonts w:ascii="Arial" w:eastAsia="Times New Roman" w:hAnsi="Arial" w:cs="Arial"/>
                <w:b/>
                <w:bCs/>
                <w:color w:val="000000"/>
              </w:rPr>
              <w:t>absence of an OEM Agreement Letter constitutes a disqualification criterion</w:t>
            </w:r>
            <w:r w:rsidRPr="005C2053">
              <w:rPr>
                <w:rFonts w:ascii="Arial" w:eastAsia="Times New Roman" w:hAnsi="Arial" w:cs="Arial"/>
                <w:color w:val="000000"/>
              </w:rPr>
              <w:t xml:space="preserve"> for the tender submission during the Technical Evaluation Or this is for general record keeping purposes</w:t>
            </w:r>
          </w:p>
          <w:p w14:paraId="1117D1BD" w14:textId="77777777" w:rsidR="005C2053" w:rsidRPr="005C2053" w:rsidRDefault="005C2053" w:rsidP="005C2053">
            <w:pPr>
              <w:spacing w:before="100" w:beforeAutospacing="1" w:after="100" w:afterAutospacing="1"/>
              <w:jc w:val="both"/>
              <w:rPr>
                <w:rFonts w:ascii="Arial" w:eastAsia="Times New Roman" w:hAnsi="Arial" w:cs="Arial"/>
                <w:color w:val="000000"/>
              </w:rPr>
            </w:pPr>
            <w:r w:rsidRPr="005C2053">
              <w:rPr>
                <w:rFonts w:ascii="Arial" w:eastAsia="Times New Roman" w:hAnsi="Arial" w:cs="Arial"/>
                <w:color w:val="000000"/>
              </w:rPr>
              <w:t>Your clarification on this matter will assist us in ensuring that our submission complies fully with the tender requirements.</w:t>
            </w:r>
          </w:p>
          <w:p w14:paraId="71601DB9" w14:textId="59D5FEF9" w:rsidR="005C2053" w:rsidRPr="00EE004F" w:rsidRDefault="005C2053" w:rsidP="005C2053">
            <w:pPr>
              <w:spacing w:before="100" w:beforeAutospacing="1" w:after="100" w:afterAutospacing="1"/>
              <w:jc w:val="both"/>
              <w:rPr>
                <w:rFonts w:ascii="Arial" w:eastAsia="Times New Roman" w:hAnsi="Arial" w:cs="Arial"/>
                <w:color w:val="000000"/>
              </w:rPr>
            </w:pPr>
            <w:r w:rsidRPr="00EE004F">
              <w:rPr>
                <w:rFonts w:ascii="Arial" w:eastAsia="Times New Roman" w:hAnsi="Arial" w:cs="Arial"/>
                <w:color w:val="000000"/>
              </w:rPr>
              <w:t>We look forward to your guidance</w:t>
            </w:r>
          </w:p>
        </w:tc>
        <w:tc>
          <w:tcPr>
            <w:tcW w:w="6809" w:type="dxa"/>
          </w:tcPr>
          <w:p w14:paraId="5DE5B216" w14:textId="77777777" w:rsidR="005C2053" w:rsidRPr="005C2053" w:rsidRDefault="005C2053" w:rsidP="005C2053">
            <w:pPr>
              <w:jc w:val="both"/>
              <w:rPr>
                <w:rFonts w:ascii="Arial" w:eastAsia="Calibri" w:hAnsi="Arial" w:cs="Arial"/>
              </w:rPr>
            </w:pPr>
            <w:r w:rsidRPr="005C2053">
              <w:rPr>
                <w:rFonts w:ascii="Arial" w:eastAsia="Calibri" w:hAnsi="Arial" w:cs="Arial"/>
              </w:rPr>
              <w:t>As part of the response to the tender, it is acceptable for  the supplier to indicate how they are sourcing the proposed solution in cases where they do not have an agreement letter.</w:t>
            </w:r>
          </w:p>
          <w:p w14:paraId="7F46F94A" w14:textId="77777777" w:rsidR="005C2053" w:rsidRPr="00EE004F" w:rsidRDefault="005C2053" w:rsidP="00AF10D3">
            <w:pPr>
              <w:jc w:val="both"/>
              <w:rPr>
                <w:rFonts w:ascii="Arial" w:eastAsia="Calibri" w:hAnsi="Arial" w:cs="Arial"/>
              </w:rPr>
            </w:pPr>
          </w:p>
          <w:p w14:paraId="7E505B08" w14:textId="77777777" w:rsidR="005C2053" w:rsidRPr="00EE004F" w:rsidRDefault="005C2053" w:rsidP="00AF10D3">
            <w:pPr>
              <w:jc w:val="both"/>
              <w:rPr>
                <w:rFonts w:ascii="Arial" w:eastAsia="Calibri" w:hAnsi="Arial" w:cs="Arial"/>
              </w:rPr>
            </w:pPr>
          </w:p>
          <w:p w14:paraId="6BC138E4" w14:textId="77777777" w:rsidR="005C2053" w:rsidRPr="005C2053" w:rsidRDefault="005C2053" w:rsidP="005C2053">
            <w:pPr>
              <w:spacing w:before="100" w:beforeAutospacing="1" w:after="100" w:afterAutospacing="1"/>
              <w:jc w:val="both"/>
              <w:rPr>
                <w:rFonts w:ascii="Arial" w:eastAsia="Times New Roman" w:hAnsi="Arial" w:cs="Arial"/>
                <w:color w:val="000000"/>
              </w:rPr>
            </w:pPr>
            <w:r w:rsidRPr="005C2053">
              <w:rPr>
                <w:rFonts w:ascii="Arial" w:eastAsia="Times New Roman" w:hAnsi="Arial" w:cs="Arial"/>
                <w:color w:val="000000"/>
              </w:rPr>
              <w:t xml:space="preserve">The agreement letter is not part of the gatekeepers and therefore it will not constitute a disqualification. </w:t>
            </w:r>
          </w:p>
          <w:p w14:paraId="0F6134DA" w14:textId="77777777" w:rsidR="005C2053" w:rsidRPr="00EE004F" w:rsidRDefault="005C2053" w:rsidP="00AF10D3">
            <w:pPr>
              <w:jc w:val="both"/>
              <w:rPr>
                <w:rFonts w:ascii="Arial" w:eastAsia="Calibri" w:hAnsi="Arial" w:cs="Arial"/>
              </w:rPr>
            </w:pPr>
          </w:p>
        </w:tc>
      </w:tr>
      <w:tr w:rsidR="00167437" w:rsidRPr="00EE004F" w14:paraId="1262E9D3" w14:textId="77777777" w:rsidTr="002D2F6D">
        <w:trPr>
          <w:trHeight w:val="405"/>
          <w:jc w:val="center"/>
        </w:trPr>
        <w:tc>
          <w:tcPr>
            <w:tcW w:w="857" w:type="dxa"/>
          </w:tcPr>
          <w:p w14:paraId="2F16F33B" w14:textId="77777777" w:rsidR="00167437" w:rsidRPr="00EE004F" w:rsidRDefault="00167437" w:rsidP="007654A3">
            <w:pPr>
              <w:numPr>
                <w:ilvl w:val="0"/>
                <w:numId w:val="5"/>
              </w:numPr>
              <w:ind w:left="360"/>
              <w:rPr>
                <w:rFonts w:ascii="Arial" w:eastAsia="Calibri" w:hAnsi="Arial" w:cs="Arial"/>
                <w:lang w:val="en-US"/>
              </w:rPr>
            </w:pPr>
          </w:p>
        </w:tc>
        <w:tc>
          <w:tcPr>
            <w:tcW w:w="7649" w:type="dxa"/>
          </w:tcPr>
          <w:p w14:paraId="1E7DFC65" w14:textId="1F87F601" w:rsidR="00167437" w:rsidRPr="005C2053" w:rsidRDefault="00043B78" w:rsidP="005C2053">
            <w:pPr>
              <w:spacing w:before="100" w:beforeAutospacing="1" w:after="100" w:afterAutospacing="1"/>
              <w:jc w:val="both"/>
              <w:rPr>
                <w:rFonts w:ascii="Arial" w:eastAsia="Times New Roman" w:hAnsi="Arial" w:cs="Arial"/>
                <w:color w:val="000000"/>
              </w:rPr>
            </w:pPr>
            <w:r w:rsidRPr="00043B78">
              <w:rPr>
                <w:rFonts w:ascii="Arial" w:eastAsia="Times New Roman" w:hAnsi="Arial" w:cs="Arial"/>
                <w:color w:val="000000"/>
              </w:rPr>
              <w:t>Could you please confirm whether the tender is an online submission or a physical submission?</w:t>
            </w:r>
          </w:p>
        </w:tc>
        <w:tc>
          <w:tcPr>
            <w:tcW w:w="6809" w:type="dxa"/>
          </w:tcPr>
          <w:p w14:paraId="6C6441D3" w14:textId="74A51F49" w:rsidR="00043B78" w:rsidRPr="00043B78" w:rsidRDefault="00043B78" w:rsidP="00043B78">
            <w:pPr>
              <w:jc w:val="both"/>
              <w:rPr>
                <w:rFonts w:ascii="Arial" w:eastAsia="Calibri" w:hAnsi="Arial" w:cs="Arial"/>
              </w:rPr>
            </w:pPr>
            <w:r w:rsidRPr="00043B78">
              <w:rPr>
                <w:rFonts w:ascii="Arial" w:eastAsia="Calibri" w:hAnsi="Arial" w:cs="Arial"/>
              </w:rPr>
              <w:t>Kindly be advised that all submissions for this tender must be completed online</w:t>
            </w:r>
            <w:r w:rsidR="009928EB">
              <w:rPr>
                <w:rFonts w:ascii="Arial" w:eastAsia="Calibri" w:hAnsi="Arial" w:cs="Arial"/>
              </w:rPr>
              <w:t>.</w:t>
            </w:r>
          </w:p>
          <w:p w14:paraId="62487FFD" w14:textId="77777777" w:rsidR="00167437" w:rsidRPr="005C2053" w:rsidRDefault="00167437" w:rsidP="005C2053">
            <w:pPr>
              <w:jc w:val="both"/>
              <w:rPr>
                <w:rFonts w:ascii="Arial" w:eastAsia="Calibri" w:hAnsi="Arial" w:cs="Arial"/>
              </w:rPr>
            </w:pPr>
          </w:p>
        </w:tc>
      </w:tr>
      <w:tr w:rsidR="0097682B" w:rsidRPr="00EE004F" w14:paraId="0CA55556" w14:textId="77777777" w:rsidTr="002D2F6D">
        <w:trPr>
          <w:trHeight w:val="405"/>
          <w:jc w:val="center"/>
        </w:trPr>
        <w:tc>
          <w:tcPr>
            <w:tcW w:w="857" w:type="dxa"/>
          </w:tcPr>
          <w:p w14:paraId="223B66FB" w14:textId="77777777" w:rsidR="0097682B" w:rsidRPr="00EE004F" w:rsidRDefault="0097682B" w:rsidP="0097682B">
            <w:pPr>
              <w:numPr>
                <w:ilvl w:val="0"/>
                <w:numId w:val="5"/>
              </w:numPr>
              <w:ind w:left="360"/>
              <w:rPr>
                <w:rFonts w:ascii="Arial" w:eastAsia="Calibri" w:hAnsi="Arial" w:cs="Arial"/>
                <w:lang w:val="en-US"/>
              </w:rPr>
            </w:pPr>
          </w:p>
        </w:tc>
        <w:tc>
          <w:tcPr>
            <w:tcW w:w="7649" w:type="dxa"/>
          </w:tcPr>
          <w:p w14:paraId="5BEA7F07" w14:textId="34E90C16" w:rsidR="0097682B" w:rsidRPr="00043B78" w:rsidRDefault="0097682B" w:rsidP="0097682B">
            <w:pPr>
              <w:spacing w:before="100" w:beforeAutospacing="1" w:after="100" w:afterAutospacing="1"/>
              <w:jc w:val="both"/>
              <w:rPr>
                <w:rFonts w:ascii="Arial" w:eastAsia="Times New Roman" w:hAnsi="Arial" w:cs="Arial"/>
                <w:color w:val="000000"/>
              </w:rPr>
            </w:pPr>
            <w:r w:rsidRPr="00FA0497">
              <w:rPr>
                <w:rFonts w:ascii="Arial" w:eastAsia="Times New Roman" w:hAnsi="Arial" w:cs="Arial"/>
                <w:color w:val="000000"/>
              </w:rPr>
              <w:t>Worksheet 10-Rns expertise asks about 10 resources- do we need to provide all 10 or the number of resources tenderer will provide to run the solution.</w:t>
            </w:r>
          </w:p>
        </w:tc>
        <w:tc>
          <w:tcPr>
            <w:tcW w:w="6809" w:type="dxa"/>
          </w:tcPr>
          <w:p w14:paraId="6B816D13" w14:textId="77777777" w:rsidR="0097682B" w:rsidRPr="004E6FDE" w:rsidRDefault="0097682B" w:rsidP="0097682B">
            <w:pPr>
              <w:jc w:val="both"/>
              <w:rPr>
                <w:rFonts w:ascii="Arial" w:eastAsia="Calibri" w:hAnsi="Arial" w:cs="Arial"/>
              </w:rPr>
            </w:pPr>
            <w:r w:rsidRPr="004E6FDE">
              <w:rPr>
                <w:rFonts w:ascii="Arial" w:eastAsia="Calibri" w:hAnsi="Arial" w:cs="Arial"/>
              </w:rPr>
              <w:t xml:space="preserve">The supplier only needs to provide information for </w:t>
            </w:r>
            <w:r w:rsidRPr="004E6FDE">
              <w:rPr>
                <w:rFonts w:ascii="Arial" w:eastAsia="Calibri" w:hAnsi="Arial" w:cs="Arial"/>
                <w:b/>
                <w:bCs/>
              </w:rPr>
              <w:t xml:space="preserve">number of resources the tenderer will provide to run the solution. </w:t>
            </w:r>
            <w:r w:rsidRPr="004E6FDE">
              <w:rPr>
                <w:rFonts w:ascii="Arial" w:eastAsia="Calibri" w:hAnsi="Arial" w:cs="Arial"/>
              </w:rPr>
              <w:t xml:space="preserve">The 10 spaces are just provided for, in case the supplier has many that may resources. </w:t>
            </w:r>
          </w:p>
          <w:p w14:paraId="4E181332" w14:textId="77777777" w:rsidR="0097682B" w:rsidRPr="00043B78" w:rsidRDefault="0097682B" w:rsidP="0097682B">
            <w:pPr>
              <w:jc w:val="both"/>
              <w:rPr>
                <w:rFonts w:ascii="Arial" w:eastAsia="Calibri" w:hAnsi="Arial" w:cs="Arial"/>
              </w:rPr>
            </w:pPr>
          </w:p>
        </w:tc>
      </w:tr>
      <w:tr w:rsidR="0066005E" w:rsidRPr="00EE004F" w14:paraId="12E591D9" w14:textId="77777777" w:rsidTr="002D2F6D">
        <w:trPr>
          <w:trHeight w:val="405"/>
          <w:jc w:val="center"/>
        </w:trPr>
        <w:tc>
          <w:tcPr>
            <w:tcW w:w="857" w:type="dxa"/>
          </w:tcPr>
          <w:p w14:paraId="4A170BFF" w14:textId="77777777" w:rsidR="0066005E" w:rsidRPr="00EE004F" w:rsidRDefault="0066005E" w:rsidP="0097682B">
            <w:pPr>
              <w:numPr>
                <w:ilvl w:val="0"/>
                <w:numId w:val="5"/>
              </w:numPr>
              <w:ind w:left="360"/>
              <w:rPr>
                <w:rFonts w:ascii="Arial" w:eastAsia="Calibri" w:hAnsi="Arial" w:cs="Arial"/>
                <w:lang w:val="en-US"/>
              </w:rPr>
            </w:pPr>
          </w:p>
        </w:tc>
        <w:tc>
          <w:tcPr>
            <w:tcW w:w="7649" w:type="dxa"/>
          </w:tcPr>
          <w:p w14:paraId="6808C838" w14:textId="77777777" w:rsidR="0066005E" w:rsidRPr="00380428" w:rsidRDefault="0066005E" w:rsidP="0066005E">
            <w:pPr>
              <w:spacing w:before="100" w:beforeAutospacing="1" w:after="100" w:afterAutospacing="1"/>
              <w:jc w:val="both"/>
              <w:rPr>
                <w:rFonts w:ascii="Arial" w:eastAsia="Times New Roman" w:hAnsi="Arial" w:cs="Arial"/>
                <w:color w:val="000000"/>
              </w:rPr>
            </w:pPr>
            <w:r w:rsidRPr="00380428">
              <w:rPr>
                <w:rFonts w:ascii="Arial" w:eastAsia="Times New Roman" w:hAnsi="Arial" w:cs="Arial"/>
                <w:color w:val="000000"/>
              </w:rPr>
              <w:t>May you please advise the specifications for the servers and network equipment requested in the BOQ attached.</w:t>
            </w:r>
          </w:p>
          <w:p w14:paraId="71340762" w14:textId="77777777" w:rsidR="0066005E" w:rsidRPr="00FA0497" w:rsidRDefault="0066005E" w:rsidP="0097682B">
            <w:pPr>
              <w:spacing w:before="100" w:beforeAutospacing="1" w:after="100" w:afterAutospacing="1"/>
              <w:jc w:val="both"/>
              <w:rPr>
                <w:rFonts w:ascii="Arial" w:eastAsia="Times New Roman" w:hAnsi="Arial" w:cs="Arial"/>
                <w:color w:val="000000"/>
              </w:rPr>
            </w:pPr>
          </w:p>
        </w:tc>
        <w:tc>
          <w:tcPr>
            <w:tcW w:w="6809" w:type="dxa"/>
          </w:tcPr>
          <w:p w14:paraId="2D65988E" w14:textId="7037A17B" w:rsidR="0066005E" w:rsidRPr="0066005E" w:rsidRDefault="0066005E" w:rsidP="0066005E">
            <w:pPr>
              <w:jc w:val="both"/>
              <w:rPr>
                <w:rFonts w:ascii="Arial" w:eastAsia="Calibri" w:hAnsi="Arial" w:cs="Arial"/>
              </w:rPr>
            </w:pPr>
            <w:r>
              <w:rPr>
                <w:rFonts w:ascii="Arial" w:eastAsia="Calibri" w:hAnsi="Arial" w:cs="Arial"/>
              </w:rPr>
              <w:t xml:space="preserve">NTCSA is </w:t>
            </w:r>
            <w:r w:rsidRPr="0066005E">
              <w:rPr>
                <w:rFonts w:ascii="Arial" w:eastAsia="Calibri" w:hAnsi="Arial" w:cs="Arial"/>
              </w:rPr>
              <w:t xml:space="preserve"> not looking to buy servers and network equipment. As per the provided specifications we are looking for an Endpoint Detection &amp; Response solution to protect the listed equipment. </w:t>
            </w:r>
          </w:p>
          <w:p w14:paraId="740C31F6" w14:textId="77777777" w:rsidR="0066005E" w:rsidRPr="004E6FDE" w:rsidRDefault="0066005E" w:rsidP="0097682B">
            <w:pPr>
              <w:jc w:val="both"/>
              <w:rPr>
                <w:rFonts w:ascii="Arial" w:eastAsia="Calibri" w:hAnsi="Arial" w:cs="Arial"/>
              </w:rPr>
            </w:pPr>
          </w:p>
        </w:tc>
      </w:tr>
    </w:tbl>
    <w:tbl>
      <w:tblPr>
        <w:tblpPr w:leftFromText="180" w:rightFromText="180" w:vertAnchor="text" w:horzAnchor="page" w:tblpX="301" w:tblpY="1"/>
        <w:tblOverlap w:val="never"/>
        <w:tblW w:w="0" w:type="auto"/>
        <w:tblCellSpacing w:w="22" w:type="dxa"/>
        <w:tblCellMar>
          <w:left w:w="0" w:type="dxa"/>
          <w:right w:w="0" w:type="dxa"/>
        </w:tblCellMar>
        <w:tblLook w:val="04A0" w:firstRow="1" w:lastRow="0" w:firstColumn="1" w:lastColumn="0" w:noHBand="0" w:noVBand="1"/>
      </w:tblPr>
      <w:tblGrid>
        <w:gridCol w:w="124"/>
      </w:tblGrid>
      <w:tr w:rsidR="002D2F6D" w:rsidRPr="00850594" w14:paraId="3DC1AE3B" w14:textId="77777777" w:rsidTr="002D2F6D">
        <w:trPr>
          <w:tblCellSpacing w:w="22" w:type="dxa"/>
        </w:trPr>
        <w:tc>
          <w:tcPr>
            <w:tcW w:w="0" w:type="auto"/>
            <w:tcMar>
              <w:top w:w="15" w:type="dxa"/>
              <w:left w:w="15" w:type="dxa"/>
              <w:bottom w:w="15" w:type="dxa"/>
              <w:right w:w="15" w:type="dxa"/>
            </w:tcMar>
            <w:vAlign w:val="center"/>
            <w:hideMark/>
          </w:tcPr>
          <w:p w14:paraId="4142E115" w14:textId="77777777" w:rsidR="002D2F6D" w:rsidRPr="00850594" w:rsidRDefault="002D2F6D" w:rsidP="002D2F6D">
            <w:pPr>
              <w:numPr>
                <w:ilvl w:val="0"/>
                <w:numId w:val="13"/>
              </w:numPr>
              <w:spacing w:before="100" w:beforeAutospacing="1" w:after="100" w:afterAutospacing="1" w:line="240" w:lineRule="auto"/>
              <w:jc w:val="both"/>
              <w:rPr>
                <w:rFonts w:ascii="Arial" w:eastAsia="Times New Roman" w:hAnsi="Arial" w:cs="Arial"/>
                <w:color w:val="000000"/>
              </w:rPr>
            </w:pPr>
          </w:p>
        </w:tc>
      </w:tr>
      <w:tr w:rsidR="002D2F6D" w:rsidRPr="00850594" w14:paraId="785B87DD" w14:textId="77777777" w:rsidTr="002D2F6D">
        <w:trPr>
          <w:tblCellSpacing w:w="22" w:type="dxa"/>
        </w:trPr>
        <w:tc>
          <w:tcPr>
            <w:tcW w:w="0" w:type="auto"/>
            <w:tcMar>
              <w:top w:w="15" w:type="dxa"/>
              <w:left w:w="15" w:type="dxa"/>
              <w:bottom w:w="15" w:type="dxa"/>
              <w:right w:w="15" w:type="dxa"/>
            </w:tcMar>
            <w:vAlign w:val="center"/>
            <w:hideMark/>
          </w:tcPr>
          <w:p w14:paraId="4A45F1D6" w14:textId="77777777" w:rsidR="002D2F6D" w:rsidRPr="00850594" w:rsidRDefault="002D2F6D" w:rsidP="002D2F6D">
            <w:pPr>
              <w:spacing w:before="100" w:beforeAutospacing="1" w:after="100" w:afterAutospacing="1" w:line="240" w:lineRule="auto"/>
              <w:jc w:val="both"/>
              <w:rPr>
                <w:rFonts w:ascii="Arial" w:eastAsia="Times New Roman" w:hAnsi="Arial" w:cs="Arial"/>
                <w:color w:val="000000"/>
              </w:rPr>
            </w:pPr>
          </w:p>
        </w:tc>
      </w:tr>
      <w:tr w:rsidR="002D2F6D" w:rsidRPr="00850594" w14:paraId="1DF39CB6" w14:textId="77777777" w:rsidTr="002D2F6D">
        <w:trPr>
          <w:trHeight w:val="43"/>
          <w:tblCellSpacing w:w="22" w:type="dxa"/>
        </w:trPr>
        <w:tc>
          <w:tcPr>
            <w:tcW w:w="0" w:type="auto"/>
            <w:tcMar>
              <w:top w:w="15" w:type="dxa"/>
              <w:left w:w="15" w:type="dxa"/>
              <w:bottom w:w="15" w:type="dxa"/>
              <w:right w:w="15" w:type="dxa"/>
            </w:tcMar>
            <w:vAlign w:val="center"/>
            <w:hideMark/>
          </w:tcPr>
          <w:p w14:paraId="6A78236B" w14:textId="77777777" w:rsidR="002D2F6D" w:rsidRPr="00850594" w:rsidRDefault="002D2F6D" w:rsidP="002D2F6D">
            <w:pPr>
              <w:spacing w:before="100" w:beforeAutospacing="1" w:after="100" w:afterAutospacing="1" w:line="240" w:lineRule="auto"/>
              <w:jc w:val="both"/>
              <w:rPr>
                <w:rFonts w:ascii="Arial" w:eastAsia="Times New Roman" w:hAnsi="Arial" w:cs="Arial"/>
                <w:color w:val="000000"/>
              </w:rPr>
            </w:pPr>
          </w:p>
        </w:tc>
      </w:tr>
    </w:tbl>
    <w:p w14:paraId="72D9D57D" w14:textId="77777777" w:rsidR="003E4D3F" w:rsidRPr="00EE004F" w:rsidRDefault="003E4D3F" w:rsidP="0094680A">
      <w:pPr>
        <w:rPr>
          <w:rFonts w:ascii="Arial" w:hAnsi="Arial" w:cs="Arial"/>
        </w:rPr>
      </w:pPr>
    </w:p>
    <w:sectPr w:rsidR="003E4D3F" w:rsidRPr="00EE004F" w:rsidSect="00A41BC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A52B" w14:textId="77777777" w:rsidR="00782472" w:rsidRDefault="00782472" w:rsidP="0028391D">
      <w:pPr>
        <w:spacing w:after="0" w:line="240" w:lineRule="auto"/>
      </w:pPr>
      <w:r>
        <w:separator/>
      </w:r>
    </w:p>
  </w:endnote>
  <w:endnote w:type="continuationSeparator" w:id="0">
    <w:p w14:paraId="3E614418" w14:textId="77777777" w:rsidR="00782472" w:rsidRDefault="0078247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29B" w14:textId="77777777" w:rsidR="003A2AA9" w:rsidRDefault="003A2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oZQIAAD0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" filled="f" stroked="f" strokeweight=".5pt">
                    <v:textbo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4F927CE1"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w:t>
    </w:r>
    <w:r w:rsidR="00E57495">
      <w:rPr>
        <w:rFonts w:ascii="Arial" w:hAnsi="Arial" w:cs="Arial"/>
        <w:color w:val="BFBFBF"/>
        <w:sz w:val="16"/>
        <w:szCs w:val="16"/>
      </w:rPr>
      <w:t>1</w:t>
    </w:r>
    <w:r w:rsidRPr="00CA4A59">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059" w14:textId="77777777" w:rsidR="003A2AA9" w:rsidRDefault="003A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132E" w14:textId="77777777" w:rsidR="00782472" w:rsidRDefault="00782472" w:rsidP="0028391D">
      <w:pPr>
        <w:spacing w:after="0" w:line="240" w:lineRule="auto"/>
      </w:pPr>
      <w:r>
        <w:separator/>
      </w:r>
    </w:p>
  </w:footnote>
  <w:footnote w:type="continuationSeparator" w:id="0">
    <w:p w14:paraId="740E4A7D" w14:textId="77777777" w:rsidR="00782472" w:rsidRDefault="0078247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3855" w14:textId="77777777" w:rsidR="003A2AA9" w:rsidRDefault="003A2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6936"/>
      <w:gridCol w:w="2126"/>
      <w:gridCol w:w="1701"/>
      <w:gridCol w:w="567"/>
      <w:gridCol w:w="426"/>
    </w:tblGrid>
    <w:tr w:rsidR="00D54517" w:rsidRPr="003914DE" w14:paraId="37734493" w14:textId="77777777" w:rsidTr="003A2AA9">
      <w:trPr>
        <w:cantSplit/>
        <w:trHeight w:val="274"/>
        <w:jc w:val="center"/>
      </w:trPr>
      <w:tc>
        <w:tcPr>
          <w:tcW w:w="2840" w:type="dxa"/>
          <w:vMerge w:val="restart"/>
          <w:vAlign w:val="bottom"/>
        </w:tcPr>
        <w:p w14:paraId="58244019" w14:textId="79097CBF" w:rsidR="00D54517" w:rsidRPr="003914DE" w:rsidRDefault="00E57495" w:rsidP="00E57495">
          <w:pPr>
            <w:spacing w:after="0"/>
            <w:rPr>
              <w:rFonts w:ascii="Arial" w:hAnsi="Arial"/>
              <w:b/>
              <w:lang w:val="en-GB"/>
            </w:rPr>
          </w:pPr>
          <w:r>
            <w:rPr>
              <w:noProof/>
            </w:rPr>
            <w:drawing>
              <wp:inline distT="0" distB="0" distL="0" distR="0" wp14:anchorId="7C0395B5" wp14:editId="0BB0AB93">
                <wp:extent cx="1478280" cy="601951"/>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7560" cy="605730"/>
                        </a:xfrm>
                        <a:prstGeom prst="rect">
                          <a:avLst/>
                        </a:prstGeom>
                      </pic:spPr>
                    </pic:pic>
                  </a:graphicData>
                </a:graphic>
              </wp:inline>
            </w:drawing>
          </w:r>
        </w:p>
      </w:tc>
      <w:tc>
        <w:tcPr>
          <w:tcW w:w="6936"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126"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AE36F0B" w14:textId="1B11784F" w:rsidR="00D54517" w:rsidRPr="002D548D" w:rsidRDefault="003A2AA9" w:rsidP="007D2711">
          <w:pPr>
            <w:spacing w:after="0"/>
            <w:rPr>
              <w:rFonts w:ascii="Arial" w:hAnsi="Arial"/>
              <w:bCs/>
              <w:sz w:val="20"/>
              <w:lang w:val="en-GB"/>
            </w:rPr>
          </w:pPr>
          <w:r w:rsidRPr="003A2AA9">
            <w:rPr>
              <w:rFonts w:ascii="Arial" w:hAnsi="Arial"/>
              <w:bCs/>
              <w:sz w:val="20"/>
              <w:lang w:val="en-GB"/>
            </w:rPr>
            <w:t>559-222407715</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E57495" w:rsidRPr="003914DE" w14:paraId="4B4A16E4" w14:textId="77777777" w:rsidTr="003A2AA9">
      <w:trPr>
        <w:cantSplit/>
        <w:trHeight w:val="261"/>
        <w:jc w:val="center"/>
      </w:trPr>
      <w:tc>
        <w:tcPr>
          <w:tcW w:w="2840" w:type="dxa"/>
          <w:vMerge/>
          <w:vAlign w:val="bottom"/>
        </w:tcPr>
        <w:p w14:paraId="5C1A9457" w14:textId="77777777" w:rsidR="00E57495" w:rsidRPr="003914DE" w:rsidRDefault="00E57495" w:rsidP="00E57495">
          <w:pPr>
            <w:spacing w:before="840"/>
            <w:rPr>
              <w:rFonts w:ascii="Arial" w:hAnsi="Arial"/>
              <w:b/>
              <w:lang w:val="en-GB"/>
            </w:rPr>
          </w:pPr>
        </w:p>
      </w:tc>
      <w:tc>
        <w:tcPr>
          <w:tcW w:w="6936" w:type="dxa"/>
          <w:vMerge/>
          <w:vAlign w:val="center"/>
        </w:tcPr>
        <w:p w14:paraId="02B9BEC0" w14:textId="77777777" w:rsidR="00E57495" w:rsidRPr="003914DE" w:rsidRDefault="00E57495" w:rsidP="00E57495">
          <w:pPr>
            <w:jc w:val="center"/>
            <w:rPr>
              <w:rFonts w:ascii="Arial" w:hAnsi="Arial" w:cs="Arial"/>
              <w:b/>
              <w:lang w:val="en-GB"/>
            </w:rPr>
          </w:pPr>
        </w:p>
      </w:tc>
      <w:tc>
        <w:tcPr>
          <w:tcW w:w="2126" w:type="dxa"/>
          <w:shd w:val="clear" w:color="auto" w:fill="auto"/>
          <w:vAlign w:val="center"/>
        </w:tcPr>
        <w:p w14:paraId="2AD789DE" w14:textId="77777777" w:rsidR="00E57495" w:rsidRPr="003914DE" w:rsidRDefault="00E57495" w:rsidP="00E57495">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tcPr>
        <w:p w14:paraId="29D0D362" w14:textId="578F2A3A" w:rsidR="00E57495" w:rsidRPr="002D548D" w:rsidRDefault="00E57495" w:rsidP="00E57495">
          <w:pPr>
            <w:spacing w:after="0"/>
            <w:rPr>
              <w:rFonts w:ascii="Arial" w:hAnsi="Arial"/>
              <w:bCs/>
              <w:sz w:val="20"/>
              <w:lang w:val="en-GB"/>
            </w:rPr>
          </w:pPr>
          <w:r w:rsidRPr="00E57495">
            <w:rPr>
              <w:rFonts w:ascii="Arial" w:hAnsi="Arial"/>
              <w:bCs/>
              <w:sz w:val="20"/>
              <w:lang w:val="en-GB"/>
            </w:rPr>
            <w:t>July 2024</w:t>
          </w:r>
        </w:p>
      </w:tc>
    </w:tr>
    <w:tr w:rsidR="00E57495" w:rsidRPr="003914DE" w14:paraId="3A34AA86" w14:textId="77777777" w:rsidTr="003A2AA9">
      <w:trPr>
        <w:cantSplit/>
        <w:trHeight w:hRule="exact" w:val="261"/>
        <w:jc w:val="center"/>
      </w:trPr>
      <w:tc>
        <w:tcPr>
          <w:tcW w:w="2840" w:type="dxa"/>
          <w:vMerge/>
          <w:vAlign w:val="bottom"/>
        </w:tcPr>
        <w:p w14:paraId="745CFCD2" w14:textId="77777777" w:rsidR="00E57495" w:rsidRPr="003914DE" w:rsidRDefault="00E57495" w:rsidP="00E57495">
          <w:pPr>
            <w:spacing w:before="840"/>
            <w:rPr>
              <w:rFonts w:ascii="Arial" w:hAnsi="Arial"/>
              <w:b/>
              <w:lang w:val="en-GB"/>
            </w:rPr>
          </w:pPr>
        </w:p>
      </w:tc>
      <w:tc>
        <w:tcPr>
          <w:tcW w:w="6936" w:type="dxa"/>
          <w:vMerge/>
          <w:vAlign w:val="center"/>
        </w:tcPr>
        <w:p w14:paraId="2E5BF5E2" w14:textId="77777777" w:rsidR="00E57495" w:rsidRPr="003914DE" w:rsidRDefault="00E57495" w:rsidP="00E57495">
          <w:pPr>
            <w:jc w:val="center"/>
            <w:rPr>
              <w:rFonts w:ascii="Arial" w:hAnsi="Arial" w:cs="Arial"/>
              <w:b/>
              <w:lang w:val="en-GB"/>
            </w:rPr>
          </w:pPr>
        </w:p>
      </w:tc>
      <w:tc>
        <w:tcPr>
          <w:tcW w:w="2126" w:type="dxa"/>
          <w:shd w:val="clear" w:color="auto" w:fill="auto"/>
          <w:vAlign w:val="center"/>
        </w:tcPr>
        <w:p w14:paraId="18F4A0AB" w14:textId="77777777" w:rsidR="00E57495" w:rsidRPr="003914DE" w:rsidRDefault="00E57495" w:rsidP="00E57495">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tcPr>
        <w:p w14:paraId="7BC4711F" w14:textId="39195B30" w:rsidR="00E57495" w:rsidRPr="002D548D" w:rsidRDefault="00E57495" w:rsidP="00E57495">
          <w:pPr>
            <w:spacing w:after="0"/>
            <w:rPr>
              <w:rFonts w:ascii="Arial" w:hAnsi="Arial"/>
              <w:bCs/>
              <w:sz w:val="20"/>
              <w:lang w:val="en-GB"/>
            </w:rPr>
          </w:pPr>
          <w:r w:rsidRPr="00E57495">
            <w:rPr>
              <w:rFonts w:ascii="Arial" w:hAnsi="Arial"/>
              <w:bCs/>
              <w:sz w:val="20"/>
              <w:lang w:val="en-GB"/>
            </w:rPr>
            <w:t>July 202</w:t>
          </w:r>
          <w:r>
            <w:rPr>
              <w:rFonts w:ascii="Arial" w:hAnsi="Arial"/>
              <w:bCs/>
              <w:sz w:val="20"/>
              <w:lang w:val="en-GB"/>
            </w:rPr>
            <w:t>7</w:t>
          </w:r>
        </w:p>
      </w:tc>
    </w:tr>
  </w:tbl>
  <w:p w14:paraId="117E9EB0"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8656" w14:textId="77777777" w:rsidR="003A2AA9" w:rsidRDefault="003A2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9E347C"/>
    <w:multiLevelType w:val="hybridMultilevel"/>
    <w:tmpl w:val="1CCC16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8513827"/>
    <w:multiLevelType w:val="hybridMultilevel"/>
    <w:tmpl w:val="8FF06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C8187B"/>
    <w:multiLevelType w:val="multilevel"/>
    <w:tmpl w:val="CF36F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247E72"/>
    <w:multiLevelType w:val="hybridMultilevel"/>
    <w:tmpl w:val="5E8A48C6"/>
    <w:lvl w:ilvl="0" w:tplc="D602B6F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9111AC4"/>
    <w:multiLevelType w:val="multilevel"/>
    <w:tmpl w:val="324AA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A653B"/>
    <w:multiLevelType w:val="hybridMultilevel"/>
    <w:tmpl w:val="1CCC16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C7A0F15"/>
    <w:multiLevelType w:val="hybridMultilevel"/>
    <w:tmpl w:val="1CCC16A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6652328E"/>
    <w:multiLevelType w:val="multilevel"/>
    <w:tmpl w:val="2E56FED0"/>
    <w:lvl w:ilvl="0">
      <w:start w:val="1"/>
      <w:numFmt w:val="decimal"/>
      <w:lvlText w:val="%1."/>
      <w:lvlJc w:val="left"/>
      <w:pPr>
        <w:ind w:left="1070" w:hanging="360"/>
      </w:pPr>
      <w:rPr>
        <w:b w:val="0"/>
        <w:bCs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6B433EC4"/>
    <w:multiLevelType w:val="multilevel"/>
    <w:tmpl w:val="2DC2B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1"/>
  </w:num>
  <w:num w:numId="3" w16cid:durableId="478040650">
    <w:abstractNumId w:val="0"/>
  </w:num>
  <w:num w:numId="4" w16cid:durableId="1383753819">
    <w:abstractNumId w:val="1"/>
  </w:num>
  <w:num w:numId="5" w16cid:durableId="626621306">
    <w:abstractNumId w:val="9"/>
  </w:num>
  <w:num w:numId="6" w16cid:durableId="1265576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1093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503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858828">
    <w:abstractNumId w:val="7"/>
  </w:num>
  <w:num w:numId="10" w16cid:durableId="1243372298">
    <w:abstractNumId w:val="2"/>
  </w:num>
  <w:num w:numId="11" w16cid:durableId="1683975322">
    <w:abstractNumId w:val="10"/>
  </w:num>
  <w:num w:numId="12" w16cid:durableId="657152121">
    <w:abstractNumId w:val="6"/>
  </w:num>
  <w:num w:numId="13" w16cid:durableId="2069835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34A9F"/>
    <w:rsid w:val="00043B78"/>
    <w:rsid w:val="00044EB3"/>
    <w:rsid w:val="000A3E0E"/>
    <w:rsid w:val="000E007D"/>
    <w:rsid w:val="000F45FC"/>
    <w:rsid w:val="00106550"/>
    <w:rsid w:val="001168C2"/>
    <w:rsid w:val="00167437"/>
    <w:rsid w:val="001745DA"/>
    <w:rsid w:val="00177670"/>
    <w:rsid w:val="00190ADA"/>
    <w:rsid w:val="001941FD"/>
    <w:rsid w:val="00195237"/>
    <w:rsid w:val="00195DC6"/>
    <w:rsid w:val="00196CC6"/>
    <w:rsid w:val="0019739B"/>
    <w:rsid w:val="001A2839"/>
    <w:rsid w:val="001B1BB4"/>
    <w:rsid w:val="001B6473"/>
    <w:rsid w:val="001D5F97"/>
    <w:rsid w:val="001D70D3"/>
    <w:rsid w:val="001F548A"/>
    <w:rsid w:val="0022096A"/>
    <w:rsid w:val="002247BD"/>
    <w:rsid w:val="00262169"/>
    <w:rsid w:val="00266BCE"/>
    <w:rsid w:val="00271B83"/>
    <w:rsid w:val="0028391D"/>
    <w:rsid w:val="00286EC4"/>
    <w:rsid w:val="00297DA0"/>
    <w:rsid w:val="002C5969"/>
    <w:rsid w:val="002D0364"/>
    <w:rsid w:val="002D2F6D"/>
    <w:rsid w:val="002D548D"/>
    <w:rsid w:val="002E17A7"/>
    <w:rsid w:val="002E4520"/>
    <w:rsid w:val="003039C9"/>
    <w:rsid w:val="003043D9"/>
    <w:rsid w:val="00305C6F"/>
    <w:rsid w:val="00323EEF"/>
    <w:rsid w:val="00353880"/>
    <w:rsid w:val="00380428"/>
    <w:rsid w:val="003A2AA9"/>
    <w:rsid w:val="003B3BC7"/>
    <w:rsid w:val="003C3222"/>
    <w:rsid w:val="003E1DD0"/>
    <w:rsid w:val="003E2A3B"/>
    <w:rsid w:val="003E4D3F"/>
    <w:rsid w:val="003E6E1E"/>
    <w:rsid w:val="003E74C5"/>
    <w:rsid w:val="00421CEF"/>
    <w:rsid w:val="004812FE"/>
    <w:rsid w:val="004843A4"/>
    <w:rsid w:val="00486962"/>
    <w:rsid w:val="004B106C"/>
    <w:rsid w:val="004C38ED"/>
    <w:rsid w:val="004D677B"/>
    <w:rsid w:val="004E258C"/>
    <w:rsid w:val="00505D98"/>
    <w:rsid w:val="00506F5B"/>
    <w:rsid w:val="00516EAD"/>
    <w:rsid w:val="00517C59"/>
    <w:rsid w:val="00523D87"/>
    <w:rsid w:val="00527627"/>
    <w:rsid w:val="00565F7C"/>
    <w:rsid w:val="00581424"/>
    <w:rsid w:val="005A6F82"/>
    <w:rsid w:val="005C2053"/>
    <w:rsid w:val="005C39F5"/>
    <w:rsid w:val="005E2245"/>
    <w:rsid w:val="005E59F7"/>
    <w:rsid w:val="005F2710"/>
    <w:rsid w:val="0066005E"/>
    <w:rsid w:val="00664987"/>
    <w:rsid w:val="006A2139"/>
    <w:rsid w:val="006B5CBA"/>
    <w:rsid w:val="0070092B"/>
    <w:rsid w:val="0072002E"/>
    <w:rsid w:val="00721782"/>
    <w:rsid w:val="0074269F"/>
    <w:rsid w:val="0075558B"/>
    <w:rsid w:val="007606DA"/>
    <w:rsid w:val="007654A3"/>
    <w:rsid w:val="00782472"/>
    <w:rsid w:val="007A74AD"/>
    <w:rsid w:val="007D2711"/>
    <w:rsid w:val="007E25A9"/>
    <w:rsid w:val="007F27D5"/>
    <w:rsid w:val="007F627F"/>
    <w:rsid w:val="008134BA"/>
    <w:rsid w:val="0083657F"/>
    <w:rsid w:val="0083797C"/>
    <w:rsid w:val="00850594"/>
    <w:rsid w:val="00876685"/>
    <w:rsid w:val="00890A6A"/>
    <w:rsid w:val="00890E7C"/>
    <w:rsid w:val="008A54EF"/>
    <w:rsid w:val="008F3B12"/>
    <w:rsid w:val="00915C6C"/>
    <w:rsid w:val="009246A8"/>
    <w:rsid w:val="0093165A"/>
    <w:rsid w:val="00931908"/>
    <w:rsid w:val="009400CA"/>
    <w:rsid w:val="0094680A"/>
    <w:rsid w:val="0095002E"/>
    <w:rsid w:val="00954D0E"/>
    <w:rsid w:val="0097682B"/>
    <w:rsid w:val="009928EB"/>
    <w:rsid w:val="009D6AD0"/>
    <w:rsid w:val="009F20F2"/>
    <w:rsid w:val="00A204C1"/>
    <w:rsid w:val="00A41BC6"/>
    <w:rsid w:val="00A70BE2"/>
    <w:rsid w:val="00A74B03"/>
    <w:rsid w:val="00A80728"/>
    <w:rsid w:val="00A86A71"/>
    <w:rsid w:val="00AA4948"/>
    <w:rsid w:val="00AA6BCE"/>
    <w:rsid w:val="00AC18C4"/>
    <w:rsid w:val="00AF0C19"/>
    <w:rsid w:val="00AF10D3"/>
    <w:rsid w:val="00B25157"/>
    <w:rsid w:val="00B34624"/>
    <w:rsid w:val="00B37A6E"/>
    <w:rsid w:val="00B37F19"/>
    <w:rsid w:val="00B8552C"/>
    <w:rsid w:val="00B9075E"/>
    <w:rsid w:val="00BA3D87"/>
    <w:rsid w:val="00BC5526"/>
    <w:rsid w:val="00BC655A"/>
    <w:rsid w:val="00BD3722"/>
    <w:rsid w:val="00C57CE8"/>
    <w:rsid w:val="00C80042"/>
    <w:rsid w:val="00C908F0"/>
    <w:rsid w:val="00CA4A59"/>
    <w:rsid w:val="00CC5BF6"/>
    <w:rsid w:val="00CD7A04"/>
    <w:rsid w:val="00D36A2D"/>
    <w:rsid w:val="00D4180B"/>
    <w:rsid w:val="00D54517"/>
    <w:rsid w:val="00D720BB"/>
    <w:rsid w:val="00D818A8"/>
    <w:rsid w:val="00D84A3F"/>
    <w:rsid w:val="00D86337"/>
    <w:rsid w:val="00D9703E"/>
    <w:rsid w:val="00DB4A58"/>
    <w:rsid w:val="00DD5D84"/>
    <w:rsid w:val="00DF2294"/>
    <w:rsid w:val="00DF6072"/>
    <w:rsid w:val="00E00525"/>
    <w:rsid w:val="00E13AED"/>
    <w:rsid w:val="00E41AC6"/>
    <w:rsid w:val="00E50193"/>
    <w:rsid w:val="00E57495"/>
    <w:rsid w:val="00E6178F"/>
    <w:rsid w:val="00E8519F"/>
    <w:rsid w:val="00ED3A94"/>
    <w:rsid w:val="00EE004F"/>
    <w:rsid w:val="00EF231D"/>
    <w:rsid w:val="00F012C2"/>
    <w:rsid w:val="00F12613"/>
    <w:rsid w:val="00F1321C"/>
    <w:rsid w:val="00F1781C"/>
    <w:rsid w:val="00F2388C"/>
    <w:rsid w:val="00F23A59"/>
    <w:rsid w:val="00F26944"/>
    <w:rsid w:val="00F45C10"/>
    <w:rsid w:val="00F5515D"/>
    <w:rsid w:val="00F711BD"/>
    <w:rsid w:val="00F7287E"/>
    <w:rsid w:val="00F76A93"/>
    <w:rsid w:val="00FA1BAA"/>
    <w:rsid w:val="00FB1A71"/>
    <w:rsid w:val="00FB3FD9"/>
    <w:rsid w:val="00FB7ECE"/>
    <w:rsid w:val="00FC0BD0"/>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customStyle="1" w:styleId="Default">
    <w:name w:val="Default"/>
    <w:rsid w:val="005276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863">
      <w:bodyDiv w:val="1"/>
      <w:marLeft w:val="0"/>
      <w:marRight w:val="0"/>
      <w:marTop w:val="0"/>
      <w:marBottom w:val="0"/>
      <w:divBdr>
        <w:top w:val="none" w:sz="0" w:space="0" w:color="auto"/>
        <w:left w:val="none" w:sz="0" w:space="0" w:color="auto"/>
        <w:bottom w:val="none" w:sz="0" w:space="0" w:color="auto"/>
        <w:right w:val="none" w:sz="0" w:space="0" w:color="auto"/>
      </w:divBdr>
    </w:div>
    <w:div w:id="28994862">
      <w:bodyDiv w:val="1"/>
      <w:marLeft w:val="0"/>
      <w:marRight w:val="0"/>
      <w:marTop w:val="0"/>
      <w:marBottom w:val="0"/>
      <w:divBdr>
        <w:top w:val="none" w:sz="0" w:space="0" w:color="auto"/>
        <w:left w:val="none" w:sz="0" w:space="0" w:color="auto"/>
        <w:bottom w:val="none" w:sz="0" w:space="0" w:color="auto"/>
        <w:right w:val="none" w:sz="0" w:space="0" w:color="auto"/>
      </w:divBdr>
    </w:div>
    <w:div w:id="57677419">
      <w:bodyDiv w:val="1"/>
      <w:marLeft w:val="0"/>
      <w:marRight w:val="0"/>
      <w:marTop w:val="0"/>
      <w:marBottom w:val="0"/>
      <w:divBdr>
        <w:top w:val="none" w:sz="0" w:space="0" w:color="auto"/>
        <w:left w:val="none" w:sz="0" w:space="0" w:color="auto"/>
        <w:bottom w:val="none" w:sz="0" w:space="0" w:color="auto"/>
        <w:right w:val="none" w:sz="0" w:space="0" w:color="auto"/>
      </w:divBdr>
    </w:div>
    <w:div w:id="64036864">
      <w:bodyDiv w:val="1"/>
      <w:marLeft w:val="0"/>
      <w:marRight w:val="0"/>
      <w:marTop w:val="0"/>
      <w:marBottom w:val="0"/>
      <w:divBdr>
        <w:top w:val="none" w:sz="0" w:space="0" w:color="auto"/>
        <w:left w:val="none" w:sz="0" w:space="0" w:color="auto"/>
        <w:bottom w:val="none" w:sz="0" w:space="0" w:color="auto"/>
        <w:right w:val="none" w:sz="0" w:space="0" w:color="auto"/>
      </w:divBdr>
    </w:div>
    <w:div w:id="68966891">
      <w:bodyDiv w:val="1"/>
      <w:marLeft w:val="0"/>
      <w:marRight w:val="0"/>
      <w:marTop w:val="0"/>
      <w:marBottom w:val="0"/>
      <w:divBdr>
        <w:top w:val="none" w:sz="0" w:space="0" w:color="auto"/>
        <w:left w:val="none" w:sz="0" w:space="0" w:color="auto"/>
        <w:bottom w:val="none" w:sz="0" w:space="0" w:color="auto"/>
        <w:right w:val="none" w:sz="0" w:space="0" w:color="auto"/>
      </w:divBdr>
    </w:div>
    <w:div w:id="90273529">
      <w:bodyDiv w:val="1"/>
      <w:marLeft w:val="0"/>
      <w:marRight w:val="0"/>
      <w:marTop w:val="0"/>
      <w:marBottom w:val="0"/>
      <w:divBdr>
        <w:top w:val="none" w:sz="0" w:space="0" w:color="auto"/>
        <w:left w:val="none" w:sz="0" w:space="0" w:color="auto"/>
        <w:bottom w:val="none" w:sz="0" w:space="0" w:color="auto"/>
        <w:right w:val="none" w:sz="0" w:space="0" w:color="auto"/>
      </w:divBdr>
    </w:div>
    <w:div w:id="139152038">
      <w:bodyDiv w:val="1"/>
      <w:marLeft w:val="0"/>
      <w:marRight w:val="0"/>
      <w:marTop w:val="0"/>
      <w:marBottom w:val="0"/>
      <w:divBdr>
        <w:top w:val="none" w:sz="0" w:space="0" w:color="auto"/>
        <w:left w:val="none" w:sz="0" w:space="0" w:color="auto"/>
        <w:bottom w:val="none" w:sz="0" w:space="0" w:color="auto"/>
        <w:right w:val="none" w:sz="0" w:space="0" w:color="auto"/>
      </w:divBdr>
    </w:div>
    <w:div w:id="172648176">
      <w:bodyDiv w:val="1"/>
      <w:marLeft w:val="0"/>
      <w:marRight w:val="0"/>
      <w:marTop w:val="0"/>
      <w:marBottom w:val="0"/>
      <w:divBdr>
        <w:top w:val="none" w:sz="0" w:space="0" w:color="auto"/>
        <w:left w:val="none" w:sz="0" w:space="0" w:color="auto"/>
        <w:bottom w:val="none" w:sz="0" w:space="0" w:color="auto"/>
        <w:right w:val="none" w:sz="0" w:space="0" w:color="auto"/>
      </w:divBdr>
      <w:divsChild>
        <w:div w:id="1541210372">
          <w:marLeft w:val="0"/>
          <w:marRight w:val="0"/>
          <w:marTop w:val="0"/>
          <w:marBottom w:val="0"/>
          <w:divBdr>
            <w:top w:val="none" w:sz="0" w:space="0" w:color="auto"/>
            <w:left w:val="none" w:sz="0" w:space="0" w:color="auto"/>
            <w:bottom w:val="none" w:sz="0" w:space="0" w:color="auto"/>
            <w:right w:val="none" w:sz="0" w:space="0" w:color="auto"/>
          </w:divBdr>
        </w:div>
      </w:divsChild>
    </w:div>
    <w:div w:id="539439660">
      <w:bodyDiv w:val="1"/>
      <w:marLeft w:val="0"/>
      <w:marRight w:val="0"/>
      <w:marTop w:val="0"/>
      <w:marBottom w:val="0"/>
      <w:divBdr>
        <w:top w:val="none" w:sz="0" w:space="0" w:color="auto"/>
        <w:left w:val="none" w:sz="0" w:space="0" w:color="auto"/>
        <w:bottom w:val="none" w:sz="0" w:space="0" w:color="auto"/>
        <w:right w:val="none" w:sz="0" w:space="0" w:color="auto"/>
      </w:divBdr>
    </w:div>
    <w:div w:id="542250001">
      <w:bodyDiv w:val="1"/>
      <w:marLeft w:val="0"/>
      <w:marRight w:val="0"/>
      <w:marTop w:val="0"/>
      <w:marBottom w:val="0"/>
      <w:divBdr>
        <w:top w:val="none" w:sz="0" w:space="0" w:color="auto"/>
        <w:left w:val="none" w:sz="0" w:space="0" w:color="auto"/>
        <w:bottom w:val="none" w:sz="0" w:space="0" w:color="auto"/>
        <w:right w:val="none" w:sz="0" w:space="0" w:color="auto"/>
      </w:divBdr>
    </w:div>
    <w:div w:id="552041350">
      <w:bodyDiv w:val="1"/>
      <w:marLeft w:val="0"/>
      <w:marRight w:val="0"/>
      <w:marTop w:val="0"/>
      <w:marBottom w:val="0"/>
      <w:divBdr>
        <w:top w:val="none" w:sz="0" w:space="0" w:color="auto"/>
        <w:left w:val="none" w:sz="0" w:space="0" w:color="auto"/>
        <w:bottom w:val="none" w:sz="0" w:space="0" w:color="auto"/>
        <w:right w:val="none" w:sz="0" w:space="0" w:color="auto"/>
      </w:divBdr>
    </w:div>
    <w:div w:id="600647927">
      <w:bodyDiv w:val="1"/>
      <w:marLeft w:val="0"/>
      <w:marRight w:val="0"/>
      <w:marTop w:val="0"/>
      <w:marBottom w:val="0"/>
      <w:divBdr>
        <w:top w:val="none" w:sz="0" w:space="0" w:color="auto"/>
        <w:left w:val="none" w:sz="0" w:space="0" w:color="auto"/>
        <w:bottom w:val="none" w:sz="0" w:space="0" w:color="auto"/>
        <w:right w:val="none" w:sz="0" w:space="0" w:color="auto"/>
      </w:divBdr>
    </w:div>
    <w:div w:id="621882739">
      <w:bodyDiv w:val="1"/>
      <w:marLeft w:val="0"/>
      <w:marRight w:val="0"/>
      <w:marTop w:val="0"/>
      <w:marBottom w:val="0"/>
      <w:divBdr>
        <w:top w:val="none" w:sz="0" w:space="0" w:color="auto"/>
        <w:left w:val="none" w:sz="0" w:space="0" w:color="auto"/>
        <w:bottom w:val="none" w:sz="0" w:space="0" w:color="auto"/>
        <w:right w:val="none" w:sz="0" w:space="0" w:color="auto"/>
      </w:divBdr>
    </w:div>
    <w:div w:id="681930898">
      <w:bodyDiv w:val="1"/>
      <w:marLeft w:val="0"/>
      <w:marRight w:val="0"/>
      <w:marTop w:val="0"/>
      <w:marBottom w:val="0"/>
      <w:divBdr>
        <w:top w:val="none" w:sz="0" w:space="0" w:color="auto"/>
        <w:left w:val="none" w:sz="0" w:space="0" w:color="auto"/>
        <w:bottom w:val="none" w:sz="0" w:space="0" w:color="auto"/>
        <w:right w:val="none" w:sz="0" w:space="0" w:color="auto"/>
      </w:divBdr>
    </w:div>
    <w:div w:id="699281369">
      <w:bodyDiv w:val="1"/>
      <w:marLeft w:val="0"/>
      <w:marRight w:val="0"/>
      <w:marTop w:val="0"/>
      <w:marBottom w:val="0"/>
      <w:divBdr>
        <w:top w:val="none" w:sz="0" w:space="0" w:color="auto"/>
        <w:left w:val="none" w:sz="0" w:space="0" w:color="auto"/>
        <w:bottom w:val="none" w:sz="0" w:space="0" w:color="auto"/>
        <w:right w:val="none" w:sz="0" w:space="0" w:color="auto"/>
      </w:divBdr>
    </w:div>
    <w:div w:id="726957003">
      <w:bodyDiv w:val="1"/>
      <w:marLeft w:val="0"/>
      <w:marRight w:val="0"/>
      <w:marTop w:val="0"/>
      <w:marBottom w:val="0"/>
      <w:divBdr>
        <w:top w:val="none" w:sz="0" w:space="0" w:color="auto"/>
        <w:left w:val="none" w:sz="0" w:space="0" w:color="auto"/>
        <w:bottom w:val="none" w:sz="0" w:space="0" w:color="auto"/>
        <w:right w:val="none" w:sz="0" w:space="0" w:color="auto"/>
      </w:divBdr>
    </w:div>
    <w:div w:id="740179027">
      <w:bodyDiv w:val="1"/>
      <w:marLeft w:val="0"/>
      <w:marRight w:val="0"/>
      <w:marTop w:val="0"/>
      <w:marBottom w:val="0"/>
      <w:divBdr>
        <w:top w:val="none" w:sz="0" w:space="0" w:color="auto"/>
        <w:left w:val="none" w:sz="0" w:space="0" w:color="auto"/>
        <w:bottom w:val="none" w:sz="0" w:space="0" w:color="auto"/>
        <w:right w:val="none" w:sz="0" w:space="0" w:color="auto"/>
      </w:divBdr>
    </w:div>
    <w:div w:id="795834155">
      <w:bodyDiv w:val="1"/>
      <w:marLeft w:val="0"/>
      <w:marRight w:val="0"/>
      <w:marTop w:val="0"/>
      <w:marBottom w:val="0"/>
      <w:divBdr>
        <w:top w:val="none" w:sz="0" w:space="0" w:color="auto"/>
        <w:left w:val="none" w:sz="0" w:space="0" w:color="auto"/>
        <w:bottom w:val="none" w:sz="0" w:space="0" w:color="auto"/>
        <w:right w:val="none" w:sz="0" w:space="0" w:color="auto"/>
      </w:divBdr>
    </w:div>
    <w:div w:id="843324089">
      <w:bodyDiv w:val="1"/>
      <w:marLeft w:val="0"/>
      <w:marRight w:val="0"/>
      <w:marTop w:val="0"/>
      <w:marBottom w:val="0"/>
      <w:divBdr>
        <w:top w:val="none" w:sz="0" w:space="0" w:color="auto"/>
        <w:left w:val="none" w:sz="0" w:space="0" w:color="auto"/>
        <w:bottom w:val="none" w:sz="0" w:space="0" w:color="auto"/>
        <w:right w:val="none" w:sz="0" w:space="0" w:color="auto"/>
      </w:divBdr>
    </w:div>
    <w:div w:id="878976517">
      <w:bodyDiv w:val="1"/>
      <w:marLeft w:val="0"/>
      <w:marRight w:val="0"/>
      <w:marTop w:val="0"/>
      <w:marBottom w:val="0"/>
      <w:divBdr>
        <w:top w:val="none" w:sz="0" w:space="0" w:color="auto"/>
        <w:left w:val="none" w:sz="0" w:space="0" w:color="auto"/>
        <w:bottom w:val="none" w:sz="0" w:space="0" w:color="auto"/>
        <w:right w:val="none" w:sz="0" w:space="0" w:color="auto"/>
      </w:divBdr>
    </w:div>
    <w:div w:id="899750634">
      <w:bodyDiv w:val="1"/>
      <w:marLeft w:val="0"/>
      <w:marRight w:val="0"/>
      <w:marTop w:val="0"/>
      <w:marBottom w:val="0"/>
      <w:divBdr>
        <w:top w:val="none" w:sz="0" w:space="0" w:color="auto"/>
        <w:left w:val="none" w:sz="0" w:space="0" w:color="auto"/>
        <w:bottom w:val="none" w:sz="0" w:space="0" w:color="auto"/>
        <w:right w:val="none" w:sz="0" w:space="0" w:color="auto"/>
      </w:divBdr>
    </w:div>
    <w:div w:id="906112014">
      <w:bodyDiv w:val="1"/>
      <w:marLeft w:val="0"/>
      <w:marRight w:val="0"/>
      <w:marTop w:val="0"/>
      <w:marBottom w:val="0"/>
      <w:divBdr>
        <w:top w:val="none" w:sz="0" w:space="0" w:color="auto"/>
        <w:left w:val="none" w:sz="0" w:space="0" w:color="auto"/>
        <w:bottom w:val="none" w:sz="0" w:space="0" w:color="auto"/>
        <w:right w:val="none" w:sz="0" w:space="0" w:color="auto"/>
      </w:divBdr>
    </w:div>
    <w:div w:id="933591372">
      <w:bodyDiv w:val="1"/>
      <w:marLeft w:val="0"/>
      <w:marRight w:val="0"/>
      <w:marTop w:val="0"/>
      <w:marBottom w:val="0"/>
      <w:divBdr>
        <w:top w:val="none" w:sz="0" w:space="0" w:color="auto"/>
        <w:left w:val="none" w:sz="0" w:space="0" w:color="auto"/>
        <w:bottom w:val="none" w:sz="0" w:space="0" w:color="auto"/>
        <w:right w:val="none" w:sz="0" w:space="0" w:color="auto"/>
      </w:divBdr>
    </w:div>
    <w:div w:id="955986207">
      <w:bodyDiv w:val="1"/>
      <w:marLeft w:val="0"/>
      <w:marRight w:val="0"/>
      <w:marTop w:val="0"/>
      <w:marBottom w:val="0"/>
      <w:divBdr>
        <w:top w:val="none" w:sz="0" w:space="0" w:color="auto"/>
        <w:left w:val="none" w:sz="0" w:space="0" w:color="auto"/>
        <w:bottom w:val="none" w:sz="0" w:space="0" w:color="auto"/>
        <w:right w:val="none" w:sz="0" w:space="0" w:color="auto"/>
      </w:divBdr>
    </w:div>
    <w:div w:id="961033304">
      <w:bodyDiv w:val="1"/>
      <w:marLeft w:val="0"/>
      <w:marRight w:val="0"/>
      <w:marTop w:val="0"/>
      <w:marBottom w:val="0"/>
      <w:divBdr>
        <w:top w:val="none" w:sz="0" w:space="0" w:color="auto"/>
        <w:left w:val="none" w:sz="0" w:space="0" w:color="auto"/>
        <w:bottom w:val="none" w:sz="0" w:space="0" w:color="auto"/>
        <w:right w:val="none" w:sz="0" w:space="0" w:color="auto"/>
      </w:divBdr>
    </w:div>
    <w:div w:id="996763802">
      <w:bodyDiv w:val="1"/>
      <w:marLeft w:val="0"/>
      <w:marRight w:val="0"/>
      <w:marTop w:val="0"/>
      <w:marBottom w:val="0"/>
      <w:divBdr>
        <w:top w:val="none" w:sz="0" w:space="0" w:color="auto"/>
        <w:left w:val="none" w:sz="0" w:space="0" w:color="auto"/>
        <w:bottom w:val="none" w:sz="0" w:space="0" w:color="auto"/>
        <w:right w:val="none" w:sz="0" w:space="0" w:color="auto"/>
      </w:divBdr>
    </w:div>
    <w:div w:id="1024865715">
      <w:bodyDiv w:val="1"/>
      <w:marLeft w:val="0"/>
      <w:marRight w:val="0"/>
      <w:marTop w:val="0"/>
      <w:marBottom w:val="0"/>
      <w:divBdr>
        <w:top w:val="none" w:sz="0" w:space="0" w:color="auto"/>
        <w:left w:val="none" w:sz="0" w:space="0" w:color="auto"/>
        <w:bottom w:val="none" w:sz="0" w:space="0" w:color="auto"/>
        <w:right w:val="none" w:sz="0" w:space="0" w:color="auto"/>
      </w:divBdr>
    </w:div>
    <w:div w:id="1161431715">
      <w:bodyDiv w:val="1"/>
      <w:marLeft w:val="0"/>
      <w:marRight w:val="0"/>
      <w:marTop w:val="0"/>
      <w:marBottom w:val="0"/>
      <w:divBdr>
        <w:top w:val="none" w:sz="0" w:space="0" w:color="auto"/>
        <w:left w:val="none" w:sz="0" w:space="0" w:color="auto"/>
        <w:bottom w:val="none" w:sz="0" w:space="0" w:color="auto"/>
        <w:right w:val="none" w:sz="0" w:space="0" w:color="auto"/>
      </w:divBdr>
    </w:div>
    <w:div w:id="1175613358">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327591510">
      <w:bodyDiv w:val="1"/>
      <w:marLeft w:val="0"/>
      <w:marRight w:val="0"/>
      <w:marTop w:val="0"/>
      <w:marBottom w:val="0"/>
      <w:divBdr>
        <w:top w:val="none" w:sz="0" w:space="0" w:color="auto"/>
        <w:left w:val="none" w:sz="0" w:space="0" w:color="auto"/>
        <w:bottom w:val="none" w:sz="0" w:space="0" w:color="auto"/>
        <w:right w:val="none" w:sz="0" w:space="0" w:color="auto"/>
      </w:divBdr>
    </w:div>
    <w:div w:id="1345134912">
      <w:bodyDiv w:val="1"/>
      <w:marLeft w:val="0"/>
      <w:marRight w:val="0"/>
      <w:marTop w:val="0"/>
      <w:marBottom w:val="0"/>
      <w:divBdr>
        <w:top w:val="none" w:sz="0" w:space="0" w:color="auto"/>
        <w:left w:val="none" w:sz="0" w:space="0" w:color="auto"/>
        <w:bottom w:val="none" w:sz="0" w:space="0" w:color="auto"/>
        <w:right w:val="none" w:sz="0" w:space="0" w:color="auto"/>
      </w:divBdr>
    </w:div>
    <w:div w:id="1417825209">
      <w:bodyDiv w:val="1"/>
      <w:marLeft w:val="0"/>
      <w:marRight w:val="0"/>
      <w:marTop w:val="0"/>
      <w:marBottom w:val="0"/>
      <w:divBdr>
        <w:top w:val="none" w:sz="0" w:space="0" w:color="auto"/>
        <w:left w:val="none" w:sz="0" w:space="0" w:color="auto"/>
        <w:bottom w:val="none" w:sz="0" w:space="0" w:color="auto"/>
        <w:right w:val="none" w:sz="0" w:space="0" w:color="auto"/>
      </w:divBdr>
    </w:div>
    <w:div w:id="1427069036">
      <w:bodyDiv w:val="1"/>
      <w:marLeft w:val="0"/>
      <w:marRight w:val="0"/>
      <w:marTop w:val="0"/>
      <w:marBottom w:val="0"/>
      <w:divBdr>
        <w:top w:val="none" w:sz="0" w:space="0" w:color="auto"/>
        <w:left w:val="none" w:sz="0" w:space="0" w:color="auto"/>
        <w:bottom w:val="none" w:sz="0" w:space="0" w:color="auto"/>
        <w:right w:val="none" w:sz="0" w:space="0" w:color="auto"/>
      </w:divBdr>
    </w:div>
    <w:div w:id="1470704697">
      <w:bodyDiv w:val="1"/>
      <w:marLeft w:val="0"/>
      <w:marRight w:val="0"/>
      <w:marTop w:val="0"/>
      <w:marBottom w:val="0"/>
      <w:divBdr>
        <w:top w:val="none" w:sz="0" w:space="0" w:color="auto"/>
        <w:left w:val="none" w:sz="0" w:space="0" w:color="auto"/>
        <w:bottom w:val="none" w:sz="0" w:space="0" w:color="auto"/>
        <w:right w:val="none" w:sz="0" w:space="0" w:color="auto"/>
      </w:divBdr>
    </w:div>
    <w:div w:id="1478453177">
      <w:bodyDiv w:val="1"/>
      <w:marLeft w:val="0"/>
      <w:marRight w:val="0"/>
      <w:marTop w:val="0"/>
      <w:marBottom w:val="0"/>
      <w:divBdr>
        <w:top w:val="none" w:sz="0" w:space="0" w:color="auto"/>
        <w:left w:val="none" w:sz="0" w:space="0" w:color="auto"/>
        <w:bottom w:val="none" w:sz="0" w:space="0" w:color="auto"/>
        <w:right w:val="none" w:sz="0" w:space="0" w:color="auto"/>
      </w:divBdr>
    </w:div>
    <w:div w:id="1491486449">
      <w:bodyDiv w:val="1"/>
      <w:marLeft w:val="0"/>
      <w:marRight w:val="0"/>
      <w:marTop w:val="0"/>
      <w:marBottom w:val="0"/>
      <w:divBdr>
        <w:top w:val="none" w:sz="0" w:space="0" w:color="auto"/>
        <w:left w:val="none" w:sz="0" w:space="0" w:color="auto"/>
        <w:bottom w:val="none" w:sz="0" w:space="0" w:color="auto"/>
        <w:right w:val="none" w:sz="0" w:space="0" w:color="auto"/>
      </w:divBdr>
    </w:div>
    <w:div w:id="1495217379">
      <w:bodyDiv w:val="1"/>
      <w:marLeft w:val="0"/>
      <w:marRight w:val="0"/>
      <w:marTop w:val="0"/>
      <w:marBottom w:val="0"/>
      <w:divBdr>
        <w:top w:val="none" w:sz="0" w:space="0" w:color="auto"/>
        <w:left w:val="none" w:sz="0" w:space="0" w:color="auto"/>
        <w:bottom w:val="none" w:sz="0" w:space="0" w:color="auto"/>
        <w:right w:val="none" w:sz="0" w:space="0" w:color="auto"/>
      </w:divBdr>
    </w:div>
    <w:div w:id="1544097907">
      <w:bodyDiv w:val="1"/>
      <w:marLeft w:val="0"/>
      <w:marRight w:val="0"/>
      <w:marTop w:val="0"/>
      <w:marBottom w:val="0"/>
      <w:divBdr>
        <w:top w:val="none" w:sz="0" w:space="0" w:color="auto"/>
        <w:left w:val="none" w:sz="0" w:space="0" w:color="auto"/>
        <w:bottom w:val="none" w:sz="0" w:space="0" w:color="auto"/>
        <w:right w:val="none" w:sz="0" w:space="0" w:color="auto"/>
      </w:divBdr>
    </w:div>
    <w:div w:id="1547372284">
      <w:bodyDiv w:val="1"/>
      <w:marLeft w:val="0"/>
      <w:marRight w:val="0"/>
      <w:marTop w:val="0"/>
      <w:marBottom w:val="0"/>
      <w:divBdr>
        <w:top w:val="none" w:sz="0" w:space="0" w:color="auto"/>
        <w:left w:val="none" w:sz="0" w:space="0" w:color="auto"/>
        <w:bottom w:val="none" w:sz="0" w:space="0" w:color="auto"/>
        <w:right w:val="none" w:sz="0" w:space="0" w:color="auto"/>
      </w:divBdr>
    </w:div>
    <w:div w:id="1564293212">
      <w:bodyDiv w:val="1"/>
      <w:marLeft w:val="0"/>
      <w:marRight w:val="0"/>
      <w:marTop w:val="0"/>
      <w:marBottom w:val="0"/>
      <w:divBdr>
        <w:top w:val="none" w:sz="0" w:space="0" w:color="auto"/>
        <w:left w:val="none" w:sz="0" w:space="0" w:color="auto"/>
        <w:bottom w:val="none" w:sz="0" w:space="0" w:color="auto"/>
        <w:right w:val="none" w:sz="0" w:space="0" w:color="auto"/>
      </w:divBdr>
    </w:div>
    <w:div w:id="1716809589">
      <w:bodyDiv w:val="1"/>
      <w:marLeft w:val="0"/>
      <w:marRight w:val="0"/>
      <w:marTop w:val="0"/>
      <w:marBottom w:val="0"/>
      <w:divBdr>
        <w:top w:val="none" w:sz="0" w:space="0" w:color="auto"/>
        <w:left w:val="none" w:sz="0" w:space="0" w:color="auto"/>
        <w:bottom w:val="none" w:sz="0" w:space="0" w:color="auto"/>
        <w:right w:val="none" w:sz="0" w:space="0" w:color="auto"/>
      </w:divBdr>
    </w:div>
    <w:div w:id="1777601022">
      <w:bodyDiv w:val="1"/>
      <w:marLeft w:val="0"/>
      <w:marRight w:val="0"/>
      <w:marTop w:val="0"/>
      <w:marBottom w:val="0"/>
      <w:divBdr>
        <w:top w:val="none" w:sz="0" w:space="0" w:color="auto"/>
        <w:left w:val="none" w:sz="0" w:space="0" w:color="auto"/>
        <w:bottom w:val="none" w:sz="0" w:space="0" w:color="auto"/>
        <w:right w:val="none" w:sz="0" w:space="0" w:color="auto"/>
      </w:divBdr>
    </w:div>
    <w:div w:id="1844931353">
      <w:bodyDiv w:val="1"/>
      <w:marLeft w:val="0"/>
      <w:marRight w:val="0"/>
      <w:marTop w:val="0"/>
      <w:marBottom w:val="0"/>
      <w:divBdr>
        <w:top w:val="none" w:sz="0" w:space="0" w:color="auto"/>
        <w:left w:val="none" w:sz="0" w:space="0" w:color="auto"/>
        <w:bottom w:val="none" w:sz="0" w:space="0" w:color="auto"/>
        <w:right w:val="none" w:sz="0" w:space="0" w:color="auto"/>
      </w:divBdr>
    </w:div>
    <w:div w:id="1862814945">
      <w:bodyDiv w:val="1"/>
      <w:marLeft w:val="0"/>
      <w:marRight w:val="0"/>
      <w:marTop w:val="0"/>
      <w:marBottom w:val="0"/>
      <w:divBdr>
        <w:top w:val="none" w:sz="0" w:space="0" w:color="auto"/>
        <w:left w:val="none" w:sz="0" w:space="0" w:color="auto"/>
        <w:bottom w:val="none" w:sz="0" w:space="0" w:color="auto"/>
        <w:right w:val="none" w:sz="0" w:space="0" w:color="auto"/>
      </w:divBdr>
    </w:div>
    <w:div w:id="1908952517">
      <w:bodyDiv w:val="1"/>
      <w:marLeft w:val="0"/>
      <w:marRight w:val="0"/>
      <w:marTop w:val="0"/>
      <w:marBottom w:val="0"/>
      <w:divBdr>
        <w:top w:val="none" w:sz="0" w:space="0" w:color="auto"/>
        <w:left w:val="none" w:sz="0" w:space="0" w:color="auto"/>
        <w:bottom w:val="none" w:sz="0" w:space="0" w:color="auto"/>
        <w:right w:val="none" w:sz="0" w:space="0" w:color="auto"/>
      </w:divBdr>
    </w:div>
    <w:div w:id="1913614821">
      <w:bodyDiv w:val="1"/>
      <w:marLeft w:val="0"/>
      <w:marRight w:val="0"/>
      <w:marTop w:val="0"/>
      <w:marBottom w:val="0"/>
      <w:divBdr>
        <w:top w:val="none" w:sz="0" w:space="0" w:color="auto"/>
        <w:left w:val="none" w:sz="0" w:space="0" w:color="auto"/>
        <w:bottom w:val="none" w:sz="0" w:space="0" w:color="auto"/>
        <w:right w:val="none" w:sz="0" w:space="0" w:color="auto"/>
      </w:divBdr>
    </w:div>
    <w:div w:id="1921063379">
      <w:bodyDiv w:val="1"/>
      <w:marLeft w:val="0"/>
      <w:marRight w:val="0"/>
      <w:marTop w:val="0"/>
      <w:marBottom w:val="0"/>
      <w:divBdr>
        <w:top w:val="none" w:sz="0" w:space="0" w:color="auto"/>
        <w:left w:val="none" w:sz="0" w:space="0" w:color="auto"/>
        <w:bottom w:val="none" w:sz="0" w:space="0" w:color="auto"/>
        <w:right w:val="none" w:sz="0" w:space="0" w:color="auto"/>
      </w:divBdr>
    </w:div>
    <w:div w:id="2054229143">
      <w:bodyDiv w:val="1"/>
      <w:marLeft w:val="0"/>
      <w:marRight w:val="0"/>
      <w:marTop w:val="0"/>
      <w:marBottom w:val="0"/>
      <w:divBdr>
        <w:top w:val="none" w:sz="0" w:space="0" w:color="auto"/>
        <w:left w:val="none" w:sz="0" w:space="0" w:color="auto"/>
        <w:bottom w:val="none" w:sz="0" w:space="0" w:color="auto"/>
        <w:right w:val="none" w:sz="0" w:space="0" w:color="auto"/>
      </w:divBdr>
    </w:div>
    <w:div w:id="2096170302">
      <w:bodyDiv w:val="1"/>
      <w:marLeft w:val="0"/>
      <w:marRight w:val="0"/>
      <w:marTop w:val="0"/>
      <w:marBottom w:val="0"/>
      <w:divBdr>
        <w:top w:val="none" w:sz="0" w:space="0" w:color="auto"/>
        <w:left w:val="none" w:sz="0" w:space="0" w:color="auto"/>
        <w:bottom w:val="none" w:sz="0" w:space="0" w:color="auto"/>
        <w:right w:val="none" w:sz="0" w:space="0" w:color="auto"/>
      </w:divBdr>
    </w:div>
    <w:div w:id="2119329217">
      <w:bodyDiv w:val="1"/>
      <w:marLeft w:val="0"/>
      <w:marRight w:val="0"/>
      <w:marTop w:val="0"/>
      <w:marBottom w:val="0"/>
      <w:divBdr>
        <w:top w:val="none" w:sz="0" w:space="0" w:color="auto"/>
        <w:left w:val="none" w:sz="0" w:space="0" w:color="auto"/>
        <w:bottom w:val="none" w:sz="0" w:space="0" w:color="auto"/>
        <w:right w:val="none" w:sz="0" w:space="0" w:color="auto"/>
      </w:divBdr>
    </w:div>
    <w:div w:id="2127042545">
      <w:bodyDiv w:val="1"/>
      <w:marLeft w:val="0"/>
      <w:marRight w:val="0"/>
      <w:marTop w:val="0"/>
      <w:marBottom w:val="0"/>
      <w:divBdr>
        <w:top w:val="none" w:sz="0" w:space="0" w:color="auto"/>
        <w:left w:val="none" w:sz="0" w:space="0" w:color="auto"/>
        <w:bottom w:val="none" w:sz="0" w:space="0" w:color="auto"/>
        <w:right w:val="none" w:sz="0" w:space="0" w:color="auto"/>
      </w:divBdr>
    </w:div>
    <w:div w:id="2142113944">
      <w:bodyDiv w:val="1"/>
      <w:marLeft w:val="0"/>
      <w:marRight w:val="0"/>
      <w:marTop w:val="0"/>
      <w:marBottom w:val="0"/>
      <w:divBdr>
        <w:top w:val="none" w:sz="0" w:space="0" w:color="auto"/>
        <w:left w:val="none" w:sz="0" w:space="0" w:color="auto"/>
        <w:bottom w:val="none" w:sz="0" w:space="0" w:color="auto"/>
        <w:right w:val="none" w:sz="0" w:space="0" w:color="auto"/>
      </w:divBdr>
      <w:divsChild>
        <w:div w:id="118922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Refiloe Mabula</cp:lastModifiedBy>
  <cp:revision>31</cp:revision>
  <dcterms:created xsi:type="dcterms:W3CDTF">2025-02-14T08:54:00Z</dcterms:created>
  <dcterms:modified xsi:type="dcterms:W3CDTF">2026-03-13T06:05:00Z</dcterms:modified>
</cp:coreProperties>
</file>