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8A2" w:rsidRDefault="00D76396" w:rsidP="00223791">
      <w:pPr>
        <w:spacing w:after="0"/>
        <w:rPr>
          <w:rFonts w:ascii="Arial" w:hAnsi="Arial" w:cs="Arial"/>
          <w:b/>
        </w:rPr>
      </w:pPr>
      <w:bookmarkStart w:id="0" w:name="_GoBack"/>
      <w:bookmarkEnd w:id="0"/>
      <w:r>
        <w:rPr>
          <w:rFonts w:ascii="Arial" w:hAnsi="Arial" w:cs="Arial"/>
          <w:b/>
        </w:rPr>
        <w:t xml:space="preserve"> Annexure A:  B</w:t>
      </w:r>
      <w:r w:rsidR="007218A2" w:rsidRPr="00223791">
        <w:rPr>
          <w:rFonts w:ascii="Arial" w:hAnsi="Arial" w:cs="Arial"/>
          <w:b/>
        </w:rPr>
        <w:t>a</w:t>
      </w:r>
      <w:r>
        <w:rPr>
          <w:rFonts w:ascii="Arial" w:hAnsi="Arial" w:cs="Arial"/>
          <w:b/>
        </w:rPr>
        <w:t>ckground Information</w:t>
      </w:r>
    </w:p>
    <w:p w:rsidR="00223791" w:rsidRPr="00223791" w:rsidRDefault="00223791" w:rsidP="00223791">
      <w:pPr>
        <w:spacing w:after="0"/>
        <w:rPr>
          <w:rFonts w:ascii="Arial" w:hAnsi="Arial" w:cs="Arial"/>
          <w:b/>
        </w:rPr>
      </w:pPr>
    </w:p>
    <w:p w:rsidR="005B097A" w:rsidRPr="005B097A" w:rsidRDefault="005B097A" w:rsidP="005B097A">
      <w:pPr>
        <w:numPr>
          <w:ilvl w:val="0"/>
          <w:numId w:val="2"/>
        </w:numPr>
        <w:spacing w:before="120" w:after="120" w:line="240" w:lineRule="auto"/>
        <w:contextualSpacing/>
        <w:jc w:val="both"/>
        <w:rPr>
          <w:rFonts w:ascii="Arial" w:eastAsia="Calibri" w:hAnsi="Arial" w:cs="Arial"/>
          <w:bCs/>
          <w:lang w:val="en-US"/>
        </w:rPr>
      </w:pPr>
      <w:r w:rsidRPr="005B097A">
        <w:rPr>
          <w:rFonts w:ascii="Arial" w:eastAsia="Calibri" w:hAnsi="Arial" w:cs="Arial"/>
          <w:bCs/>
          <w:lang w:val="en-US"/>
        </w:rPr>
        <w:t xml:space="preserve">The current Eskom Vending System is a revenue collection platform for 6.5 million prepaid electricity customers. It significantly contributes to Eskom’s revenue stream and compliance with NERSA requirements to serve our </w:t>
      </w:r>
      <w:r w:rsidR="00860B80" w:rsidRPr="005B097A">
        <w:rPr>
          <w:rFonts w:ascii="Arial" w:eastAsia="Calibri" w:hAnsi="Arial" w:cs="Arial"/>
          <w:bCs/>
          <w:lang w:val="en-US"/>
        </w:rPr>
        <w:t>prepaid</w:t>
      </w:r>
      <w:r w:rsidRPr="005B097A">
        <w:rPr>
          <w:rFonts w:ascii="Arial" w:eastAsia="Calibri" w:hAnsi="Arial" w:cs="Arial"/>
          <w:bCs/>
          <w:lang w:val="en-US"/>
        </w:rPr>
        <w:t xml:space="preserve"> customer base, specifically indigent customers on the Free Basic Electricity Tariff.</w:t>
      </w:r>
    </w:p>
    <w:p w:rsidR="005B097A" w:rsidRPr="005B097A" w:rsidRDefault="005B097A" w:rsidP="005B097A">
      <w:pPr>
        <w:numPr>
          <w:ilvl w:val="0"/>
          <w:numId w:val="2"/>
        </w:numPr>
        <w:spacing w:before="120" w:after="120" w:line="240" w:lineRule="auto"/>
        <w:contextualSpacing/>
        <w:jc w:val="both"/>
        <w:rPr>
          <w:rFonts w:ascii="Arial" w:eastAsia="Calibri" w:hAnsi="Arial" w:cs="Arial"/>
          <w:bCs/>
          <w:lang w:val="en-US"/>
        </w:rPr>
      </w:pPr>
      <w:r w:rsidRPr="005B097A">
        <w:rPr>
          <w:rFonts w:ascii="Arial" w:eastAsia="Calibri" w:hAnsi="Arial" w:cs="Arial"/>
          <w:bCs/>
          <w:lang w:val="en-US"/>
        </w:rPr>
        <w:t>The current online vending system was initiated back in 2006 and since then the system has been enhanced several times and now there is a need for a more integrated system with enhanced controls and functionality aligned to the Smart Grid Technology strategy</w:t>
      </w:r>
      <w:r>
        <w:rPr>
          <w:rFonts w:ascii="Arial" w:eastAsia="Calibri" w:hAnsi="Arial" w:cs="Arial"/>
          <w:bCs/>
          <w:lang w:val="en-US"/>
        </w:rPr>
        <w:t xml:space="preserve"> which needs to cater for</w:t>
      </w:r>
      <w:r w:rsidRPr="005B097A">
        <w:rPr>
          <w:rFonts w:ascii="Arial" w:eastAsia="Calibri" w:hAnsi="Arial" w:cs="Arial"/>
          <w:bCs/>
          <w:lang w:val="en-US"/>
        </w:rPr>
        <w:t>:</w:t>
      </w:r>
    </w:p>
    <w:p w:rsidR="005B097A" w:rsidRPr="005B097A" w:rsidRDefault="005B097A" w:rsidP="005B097A">
      <w:pPr>
        <w:numPr>
          <w:ilvl w:val="1"/>
          <w:numId w:val="2"/>
        </w:numPr>
        <w:spacing w:before="120" w:after="120" w:line="240" w:lineRule="auto"/>
        <w:contextualSpacing/>
        <w:jc w:val="both"/>
        <w:rPr>
          <w:rFonts w:ascii="Arial" w:eastAsia="Calibri" w:hAnsi="Arial" w:cs="Arial"/>
          <w:bCs/>
          <w:lang w:val="en-US"/>
        </w:rPr>
      </w:pPr>
      <w:r w:rsidRPr="005B097A">
        <w:rPr>
          <w:rFonts w:ascii="Arial" w:eastAsia="Calibri" w:hAnsi="Arial" w:cs="Arial"/>
          <w:bCs/>
          <w:lang w:val="en-US"/>
        </w:rPr>
        <w:t>An integrated, modernized solution with better controls and loss management capability</w:t>
      </w:r>
    </w:p>
    <w:p w:rsidR="005B097A" w:rsidRPr="005B097A" w:rsidRDefault="005B097A" w:rsidP="005B097A">
      <w:pPr>
        <w:numPr>
          <w:ilvl w:val="1"/>
          <w:numId w:val="2"/>
        </w:numPr>
        <w:spacing w:before="120" w:after="120" w:line="240" w:lineRule="auto"/>
        <w:contextualSpacing/>
        <w:jc w:val="both"/>
        <w:rPr>
          <w:rFonts w:ascii="Arial" w:eastAsia="Calibri" w:hAnsi="Arial" w:cs="Arial"/>
          <w:bCs/>
          <w:lang w:val="en-US"/>
        </w:rPr>
      </w:pPr>
      <w:r w:rsidRPr="005B097A">
        <w:rPr>
          <w:rFonts w:ascii="Arial" w:eastAsia="Calibri" w:hAnsi="Arial" w:cs="Arial"/>
          <w:bCs/>
          <w:lang w:val="en-US"/>
        </w:rPr>
        <w:t xml:space="preserve">Currency vending and enable transfer of virtual prepaid electricity tokens automatically to the designated Eskom system (smart meters), in addition to the normal printing of numeric token receipts. </w:t>
      </w:r>
    </w:p>
    <w:p w:rsidR="005B097A" w:rsidRPr="005B097A" w:rsidRDefault="00860B80" w:rsidP="005B097A">
      <w:pPr>
        <w:numPr>
          <w:ilvl w:val="1"/>
          <w:numId w:val="2"/>
        </w:numPr>
        <w:spacing w:before="120" w:after="120" w:line="240" w:lineRule="auto"/>
        <w:contextualSpacing/>
        <w:jc w:val="both"/>
        <w:rPr>
          <w:rFonts w:ascii="Arial" w:eastAsia="Calibri" w:hAnsi="Arial" w:cs="Arial"/>
          <w:bCs/>
          <w:lang w:val="en-US"/>
        </w:rPr>
      </w:pPr>
      <w:r>
        <w:rPr>
          <w:rFonts w:ascii="Arial" w:eastAsia="Calibri" w:hAnsi="Arial" w:cs="Arial"/>
          <w:bCs/>
          <w:lang w:val="en-US"/>
        </w:rPr>
        <w:t>O</w:t>
      </w:r>
      <w:r w:rsidR="005B097A" w:rsidRPr="005B097A">
        <w:rPr>
          <w:rFonts w:ascii="Arial" w:eastAsia="Calibri" w:hAnsi="Arial" w:cs="Arial"/>
          <w:bCs/>
          <w:lang w:val="en-US"/>
        </w:rPr>
        <w:t xml:space="preserve">ther Eskom approved tariffs like, </w:t>
      </w:r>
      <w:proofErr w:type="spellStart"/>
      <w:r w:rsidR="005B097A" w:rsidRPr="005B097A">
        <w:rPr>
          <w:rFonts w:ascii="Arial" w:eastAsia="Calibri" w:hAnsi="Arial" w:cs="Arial"/>
          <w:bCs/>
          <w:lang w:val="en-US"/>
        </w:rPr>
        <w:t>Businessrate</w:t>
      </w:r>
      <w:proofErr w:type="spellEnd"/>
      <w:r w:rsidR="005B097A" w:rsidRPr="005B097A">
        <w:rPr>
          <w:rFonts w:ascii="Arial" w:eastAsia="Calibri" w:hAnsi="Arial" w:cs="Arial"/>
          <w:bCs/>
          <w:lang w:val="en-US"/>
        </w:rPr>
        <w:t xml:space="preserve"> and </w:t>
      </w:r>
      <w:proofErr w:type="spellStart"/>
      <w:r w:rsidR="005B097A" w:rsidRPr="005B097A">
        <w:rPr>
          <w:rFonts w:ascii="Arial" w:eastAsia="Calibri" w:hAnsi="Arial" w:cs="Arial"/>
          <w:bCs/>
          <w:lang w:val="en-US"/>
        </w:rPr>
        <w:t>Landrate</w:t>
      </w:r>
      <w:proofErr w:type="spellEnd"/>
      <w:r w:rsidR="005B097A" w:rsidRPr="005B097A">
        <w:rPr>
          <w:rFonts w:ascii="Arial" w:eastAsia="Calibri" w:hAnsi="Arial" w:cs="Arial"/>
          <w:bCs/>
          <w:lang w:val="en-US"/>
        </w:rPr>
        <w:t xml:space="preserve"> tariffs</w:t>
      </w:r>
      <w:r>
        <w:rPr>
          <w:rFonts w:ascii="Arial" w:eastAsia="Calibri" w:hAnsi="Arial" w:cs="Arial"/>
          <w:bCs/>
          <w:lang w:val="en-US"/>
        </w:rPr>
        <w:t>,</w:t>
      </w:r>
      <w:r w:rsidR="005B097A" w:rsidRPr="005B097A">
        <w:rPr>
          <w:rFonts w:ascii="Arial" w:eastAsia="Calibri" w:hAnsi="Arial" w:cs="Arial"/>
          <w:bCs/>
          <w:lang w:val="en-US"/>
        </w:rPr>
        <w:t xml:space="preserve"> and </w:t>
      </w:r>
    </w:p>
    <w:p w:rsidR="005B097A" w:rsidRDefault="005B097A" w:rsidP="005B097A">
      <w:pPr>
        <w:numPr>
          <w:ilvl w:val="1"/>
          <w:numId w:val="2"/>
        </w:numPr>
        <w:spacing w:before="120" w:after="120" w:line="240" w:lineRule="auto"/>
        <w:contextualSpacing/>
        <w:jc w:val="both"/>
        <w:rPr>
          <w:rFonts w:ascii="Arial" w:eastAsia="Calibri" w:hAnsi="Arial" w:cs="Arial"/>
          <w:bCs/>
          <w:lang w:val="en-US"/>
        </w:rPr>
      </w:pPr>
      <w:r w:rsidRPr="005B097A">
        <w:rPr>
          <w:rFonts w:ascii="Arial" w:eastAsia="Calibri" w:hAnsi="Arial" w:cs="Arial"/>
          <w:bCs/>
          <w:lang w:val="en-US"/>
        </w:rPr>
        <w:t>The provision to accept non-electricity utility payments such as water, gas, rates and taxes.</w:t>
      </w:r>
    </w:p>
    <w:p w:rsidR="005B097A" w:rsidRDefault="005B097A" w:rsidP="005B097A">
      <w:pPr>
        <w:numPr>
          <w:ilvl w:val="0"/>
          <w:numId w:val="2"/>
        </w:numPr>
        <w:spacing w:before="120" w:after="120" w:line="240" w:lineRule="auto"/>
        <w:contextualSpacing/>
        <w:jc w:val="both"/>
        <w:rPr>
          <w:rFonts w:ascii="Arial" w:eastAsia="Calibri" w:hAnsi="Arial" w:cs="Arial"/>
          <w:bCs/>
          <w:lang w:val="en-US"/>
        </w:rPr>
      </w:pPr>
      <w:r>
        <w:rPr>
          <w:rFonts w:ascii="Arial" w:eastAsia="Calibri" w:hAnsi="Arial" w:cs="Arial"/>
          <w:bCs/>
          <w:lang w:val="en-US"/>
        </w:rPr>
        <w:t xml:space="preserve">This RFI Scope is to </w:t>
      </w:r>
      <w:r w:rsidR="00860B80">
        <w:rPr>
          <w:rFonts w:ascii="Arial" w:eastAsia="Calibri" w:hAnsi="Arial" w:cs="Arial"/>
          <w:bCs/>
          <w:lang w:val="en-US"/>
        </w:rPr>
        <w:t xml:space="preserve">obtain submissions </w:t>
      </w:r>
      <w:r w:rsidR="00516399">
        <w:rPr>
          <w:rFonts w:ascii="Arial" w:eastAsia="Calibri" w:hAnsi="Arial" w:cs="Arial"/>
          <w:bCs/>
          <w:lang w:val="en-US"/>
        </w:rPr>
        <w:t>to inform the design of</w:t>
      </w:r>
      <w:r w:rsidR="00860B80">
        <w:rPr>
          <w:rFonts w:ascii="Arial" w:eastAsia="Calibri" w:hAnsi="Arial" w:cs="Arial"/>
          <w:bCs/>
          <w:lang w:val="en-US"/>
        </w:rPr>
        <w:t xml:space="preserve"> </w:t>
      </w:r>
      <w:r w:rsidRPr="005B097A">
        <w:rPr>
          <w:rFonts w:ascii="Arial" w:eastAsia="Calibri" w:hAnsi="Arial" w:cs="Arial"/>
          <w:bCs/>
          <w:lang w:val="en-US"/>
        </w:rPr>
        <w:t>a new integrated prepaid electricity vending system based on smart grid technology principles, to ensure that prepaid revenue can continue to be collected with better controls and loss management. Eskom has financial challenges, and this system is key to revenue generation.</w:t>
      </w:r>
    </w:p>
    <w:p w:rsidR="0027708D" w:rsidRDefault="005B097A" w:rsidP="0027708D">
      <w:pPr>
        <w:numPr>
          <w:ilvl w:val="0"/>
          <w:numId w:val="2"/>
        </w:numPr>
        <w:spacing w:before="120" w:after="120" w:line="240" w:lineRule="auto"/>
        <w:contextualSpacing/>
        <w:jc w:val="both"/>
        <w:rPr>
          <w:rFonts w:ascii="Arial" w:eastAsia="Calibri" w:hAnsi="Arial" w:cs="Arial"/>
          <w:bCs/>
          <w:lang w:val="en-US"/>
        </w:rPr>
      </w:pPr>
      <w:r>
        <w:rPr>
          <w:rFonts w:ascii="Arial" w:eastAsia="Calibri" w:hAnsi="Arial" w:cs="Arial"/>
          <w:bCs/>
          <w:lang w:val="en-US"/>
        </w:rPr>
        <w:t xml:space="preserve">The detailed </w:t>
      </w:r>
      <w:r w:rsidR="00D76396">
        <w:rPr>
          <w:rFonts w:ascii="Arial" w:eastAsia="Calibri" w:hAnsi="Arial" w:cs="Arial"/>
          <w:bCs/>
          <w:lang w:val="en-US"/>
        </w:rPr>
        <w:t xml:space="preserve">technical </w:t>
      </w:r>
      <w:r>
        <w:rPr>
          <w:rFonts w:ascii="Arial" w:eastAsia="Calibri" w:hAnsi="Arial" w:cs="Arial"/>
          <w:bCs/>
          <w:lang w:val="en-US"/>
        </w:rPr>
        <w:t>scoping requirements for the system are defined in Annexure B</w:t>
      </w:r>
      <w:r w:rsidR="0027708D">
        <w:rPr>
          <w:rFonts w:ascii="Arial" w:eastAsia="Calibri" w:hAnsi="Arial" w:cs="Arial"/>
          <w:bCs/>
          <w:lang w:val="en-US"/>
        </w:rPr>
        <w:t xml:space="preserve">  </w:t>
      </w:r>
    </w:p>
    <w:p w:rsidR="0027708D" w:rsidRDefault="0027708D" w:rsidP="0027708D">
      <w:pPr>
        <w:numPr>
          <w:ilvl w:val="0"/>
          <w:numId w:val="2"/>
        </w:numPr>
        <w:spacing w:before="120" w:after="120" w:line="240" w:lineRule="auto"/>
        <w:contextualSpacing/>
        <w:jc w:val="both"/>
        <w:rPr>
          <w:rFonts w:ascii="Arial" w:eastAsia="Calibri" w:hAnsi="Arial" w:cs="Arial"/>
          <w:bCs/>
          <w:lang w:val="en-US"/>
        </w:rPr>
      </w:pPr>
      <w:r>
        <w:rPr>
          <w:rFonts w:ascii="Arial" w:eastAsia="Calibri" w:hAnsi="Arial" w:cs="Arial"/>
          <w:bCs/>
          <w:lang w:val="en-US"/>
        </w:rPr>
        <w:t xml:space="preserve">Annexure B is the core </w:t>
      </w:r>
      <w:r w:rsidR="00D76396">
        <w:rPr>
          <w:rFonts w:ascii="Arial" w:eastAsia="Calibri" w:hAnsi="Arial" w:cs="Arial"/>
          <w:bCs/>
          <w:lang w:val="en-US"/>
        </w:rPr>
        <w:t xml:space="preserve">technical </w:t>
      </w:r>
      <w:r>
        <w:rPr>
          <w:rFonts w:ascii="Arial" w:eastAsia="Calibri" w:hAnsi="Arial" w:cs="Arial"/>
          <w:bCs/>
          <w:lang w:val="en-US"/>
        </w:rPr>
        <w:t>response sheet that t</w:t>
      </w:r>
      <w:r w:rsidR="00860B80">
        <w:rPr>
          <w:rFonts w:ascii="Arial" w:eastAsia="Calibri" w:hAnsi="Arial" w:cs="Arial"/>
          <w:bCs/>
          <w:lang w:val="en-US"/>
        </w:rPr>
        <w:t>he vendor must complete</w:t>
      </w:r>
    </w:p>
    <w:p w:rsidR="00860B80" w:rsidRDefault="00860B80" w:rsidP="0027708D">
      <w:pPr>
        <w:numPr>
          <w:ilvl w:val="0"/>
          <w:numId w:val="2"/>
        </w:numPr>
        <w:spacing w:before="120" w:after="120" w:line="240" w:lineRule="auto"/>
        <w:contextualSpacing/>
        <w:jc w:val="both"/>
        <w:rPr>
          <w:rFonts w:ascii="Arial" w:eastAsia="Calibri" w:hAnsi="Arial" w:cs="Arial"/>
          <w:bCs/>
          <w:lang w:val="en-US"/>
        </w:rPr>
      </w:pPr>
      <w:r>
        <w:rPr>
          <w:rFonts w:ascii="Arial" w:eastAsia="Calibri" w:hAnsi="Arial" w:cs="Arial"/>
          <w:bCs/>
          <w:lang w:val="en-US"/>
        </w:rPr>
        <w:t>The following diagrams present an overview of the logical architecture</w:t>
      </w:r>
    </w:p>
    <w:p w:rsidR="0027708D" w:rsidRPr="005B097A" w:rsidRDefault="0027708D" w:rsidP="0027708D">
      <w:pPr>
        <w:spacing w:before="120" w:after="120" w:line="240" w:lineRule="auto"/>
        <w:ind w:left="1080"/>
        <w:contextualSpacing/>
        <w:jc w:val="both"/>
        <w:rPr>
          <w:rFonts w:ascii="Arial" w:eastAsia="Calibri" w:hAnsi="Arial" w:cs="Arial"/>
          <w:bCs/>
          <w:lang w:val="en-US"/>
        </w:rPr>
      </w:pPr>
    </w:p>
    <w:p w:rsidR="005B097A" w:rsidRDefault="005B097A">
      <w:pPr>
        <w:rPr>
          <w:rFonts w:ascii="Arial" w:hAnsi="Arial" w:cs="Arial"/>
        </w:rPr>
      </w:pPr>
    </w:p>
    <w:p w:rsidR="00860B80" w:rsidRDefault="00860B80">
      <w:pPr>
        <w:rPr>
          <w:rFonts w:ascii="Arial" w:hAnsi="Arial" w:cs="Arial"/>
        </w:rPr>
      </w:pPr>
      <w:r>
        <w:rPr>
          <w:rFonts w:cs="Arial"/>
          <w:noProof/>
          <w:lang w:eastAsia="en-ZA"/>
        </w:rPr>
        <w:drawing>
          <wp:inline distT="0" distB="0" distL="0" distR="0" wp14:anchorId="0FC55631" wp14:editId="20883F8A">
            <wp:extent cx="5521036" cy="3119483"/>
            <wp:effectExtent l="19050" t="19050" r="22860" b="241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5755" cy="3122149"/>
                    </a:xfrm>
                    <a:prstGeom prst="rect">
                      <a:avLst/>
                    </a:prstGeom>
                    <a:noFill/>
                    <a:ln>
                      <a:solidFill>
                        <a:schemeClr val="tx1"/>
                      </a:solidFill>
                    </a:ln>
                  </pic:spPr>
                </pic:pic>
              </a:graphicData>
            </a:graphic>
          </wp:inline>
        </w:drawing>
      </w:r>
    </w:p>
    <w:p w:rsidR="005B097A" w:rsidRDefault="00860B80">
      <w:pPr>
        <w:rPr>
          <w:rFonts w:cs="Arial"/>
          <w:noProof/>
          <w:lang w:eastAsia="en-ZA"/>
        </w:rPr>
      </w:pPr>
      <w:r>
        <w:rPr>
          <w:rFonts w:cs="Arial"/>
          <w:noProof/>
          <w:lang w:eastAsia="en-ZA"/>
        </w:rPr>
        <w:t>Figure</w:t>
      </w:r>
      <w:r w:rsidRPr="00860B80">
        <w:rPr>
          <w:rFonts w:cs="Arial"/>
          <w:noProof/>
          <w:lang w:eastAsia="en-ZA"/>
        </w:rPr>
        <w:t>: Overview of the Smart Prepayment Solution Architecture</w:t>
      </w:r>
    </w:p>
    <w:p w:rsidR="00860B80" w:rsidRDefault="00860B80">
      <w:pPr>
        <w:rPr>
          <w:rFonts w:cs="Arial"/>
          <w:noProof/>
          <w:lang w:eastAsia="en-ZA"/>
        </w:rPr>
      </w:pPr>
    </w:p>
    <w:p w:rsidR="00860B80" w:rsidRDefault="00860B80">
      <w:pPr>
        <w:rPr>
          <w:rFonts w:cs="Arial"/>
          <w:noProof/>
          <w:lang w:eastAsia="en-ZA"/>
        </w:rPr>
      </w:pPr>
    </w:p>
    <w:p w:rsidR="00860B80" w:rsidRDefault="00860B80">
      <w:pPr>
        <w:rPr>
          <w:rFonts w:cs="Arial"/>
          <w:noProof/>
          <w:lang w:eastAsia="en-ZA"/>
        </w:rPr>
      </w:pPr>
      <w:r>
        <w:rPr>
          <w:rFonts w:cs="Arial"/>
          <w:noProof/>
          <w:lang w:eastAsia="en-ZA"/>
        </w:rPr>
        <w:lastRenderedPageBreak/>
        <w:drawing>
          <wp:inline distT="0" distB="0" distL="0" distR="0" wp14:anchorId="41B8E931">
            <wp:extent cx="5642687" cy="3286125"/>
            <wp:effectExtent l="19050" t="19050" r="152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7897" cy="3289159"/>
                    </a:xfrm>
                    <a:prstGeom prst="rect">
                      <a:avLst/>
                    </a:prstGeom>
                    <a:noFill/>
                    <a:ln>
                      <a:solidFill>
                        <a:schemeClr val="tx1"/>
                      </a:solidFill>
                    </a:ln>
                  </pic:spPr>
                </pic:pic>
              </a:graphicData>
            </a:graphic>
          </wp:inline>
        </w:drawing>
      </w:r>
    </w:p>
    <w:p w:rsidR="00860B80" w:rsidRDefault="00860B80">
      <w:pPr>
        <w:rPr>
          <w:rFonts w:cs="Arial"/>
          <w:noProof/>
          <w:lang w:eastAsia="en-ZA"/>
        </w:rPr>
      </w:pPr>
      <w:r>
        <w:rPr>
          <w:rFonts w:cs="Arial"/>
          <w:noProof/>
          <w:lang w:eastAsia="en-ZA"/>
        </w:rPr>
        <w:t>Figure:  Logical System Integration</w:t>
      </w:r>
    </w:p>
    <w:p w:rsidR="00860B80" w:rsidRDefault="00860B80">
      <w:pPr>
        <w:rPr>
          <w:rFonts w:ascii="Arial" w:hAnsi="Arial" w:cs="Arial"/>
        </w:rPr>
      </w:pPr>
    </w:p>
    <w:p w:rsidR="00860B80" w:rsidRDefault="00860B80" w:rsidP="00860B80">
      <w:pPr>
        <w:numPr>
          <w:ilvl w:val="0"/>
          <w:numId w:val="2"/>
        </w:numPr>
        <w:spacing w:before="120" w:after="120" w:line="240" w:lineRule="auto"/>
        <w:contextualSpacing/>
        <w:jc w:val="both"/>
        <w:rPr>
          <w:rFonts w:ascii="Arial" w:eastAsia="Calibri" w:hAnsi="Arial" w:cs="Arial"/>
          <w:bCs/>
          <w:lang w:val="en-US"/>
        </w:rPr>
      </w:pPr>
      <w:r>
        <w:rPr>
          <w:rFonts w:ascii="Arial" w:eastAsia="Calibri" w:hAnsi="Arial" w:cs="Arial"/>
          <w:bCs/>
          <w:lang w:val="en-US"/>
        </w:rPr>
        <w:t>Supplementary Information for the following areas are available on request:</w:t>
      </w:r>
    </w:p>
    <w:p w:rsidR="00860B80" w:rsidRDefault="00860B80" w:rsidP="00860B80">
      <w:pPr>
        <w:numPr>
          <w:ilvl w:val="1"/>
          <w:numId w:val="2"/>
        </w:numPr>
        <w:spacing w:before="120" w:after="120" w:line="240" w:lineRule="auto"/>
        <w:contextualSpacing/>
        <w:jc w:val="both"/>
        <w:rPr>
          <w:rFonts w:ascii="Arial" w:eastAsia="Calibri" w:hAnsi="Arial" w:cs="Arial"/>
          <w:bCs/>
          <w:lang w:val="en-US"/>
        </w:rPr>
      </w:pPr>
      <w:r w:rsidRPr="0027708D">
        <w:rPr>
          <w:rFonts w:ascii="Arial" w:eastAsia="Calibri" w:hAnsi="Arial" w:cs="Arial"/>
          <w:bCs/>
          <w:lang w:val="en-US"/>
        </w:rPr>
        <w:t>End Systems Integration Design Requirements</w:t>
      </w:r>
    </w:p>
    <w:p w:rsidR="00860B80" w:rsidRDefault="00860B80" w:rsidP="00860B80">
      <w:pPr>
        <w:numPr>
          <w:ilvl w:val="1"/>
          <w:numId w:val="2"/>
        </w:numPr>
        <w:spacing w:before="120" w:after="120" w:line="240" w:lineRule="auto"/>
        <w:contextualSpacing/>
        <w:jc w:val="both"/>
        <w:rPr>
          <w:rFonts w:ascii="Arial" w:eastAsia="Calibri" w:hAnsi="Arial" w:cs="Arial"/>
          <w:bCs/>
          <w:lang w:val="en-US"/>
        </w:rPr>
      </w:pPr>
      <w:r>
        <w:rPr>
          <w:rFonts w:ascii="Arial" w:eastAsia="Calibri" w:hAnsi="Arial" w:cs="Arial"/>
          <w:bCs/>
          <w:lang w:val="en-US"/>
        </w:rPr>
        <w:t>Testing Requirements</w:t>
      </w:r>
    </w:p>
    <w:p w:rsidR="005B097A" w:rsidRPr="00223791" w:rsidRDefault="005B097A">
      <w:pPr>
        <w:rPr>
          <w:rFonts w:ascii="Arial" w:hAnsi="Arial" w:cs="Arial"/>
        </w:rPr>
      </w:pPr>
    </w:p>
    <w:sectPr w:rsidR="005B097A" w:rsidRPr="002237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85E39"/>
    <w:multiLevelType w:val="hybridMultilevel"/>
    <w:tmpl w:val="46DCC5A6"/>
    <w:lvl w:ilvl="0" w:tplc="1C090001">
      <w:start w:val="1"/>
      <w:numFmt w:val="bullet"/>
      <w:lvlText w:val=""/>
      <w:lvlJc w:val="left"/>
      <w:pPr>
        <w:ind w:left="360" w:hanging="360"/>
      </w:pPr>
      <w:rPr>
        <w:rFonts w:ascii="Symbol" w:hAnsi="Symbol" w:hint="default"/>
      </w:rPr>
    </w:lvl>
    <w:lvl w:ilvl="1" w:tplc="E83AAFCA">
      <w:numFmt w:val="bullet"/>
      <w:lvlText w:val="•"/>
      <w:lvlJc w:val="left"/>
      <w:pPr>
        <w:ind w:left="1080" w:hanging="360"/>
      </w:pPr>
      <w:rPr>
        <w:rFonts w:ascii="Arial" w:eastAsia="Times New Roman" w:hAnsi="Arial" w:cs="Aria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4F99732F"/>
    <w:multiLevelType w:val="hybridMultilevel"/>
    <w:tmpl w:val="8DE8A5B4"/>
    <w:lvl w:ilvl="0" w:tplc="9EACD372">
      <w:start w:val="1"/>
      <w:numFmt w:val="decimal"/>
      <w:lvlText w:val="%1."/>
      <w:lvlJc w:val="left"/>
      <w:pPr>
        <w:ind w:left="360" w:hanging="360"/>
      </w:pPr>
      <w:rPr>
        <w:sz w:val="22"/>
        <w:szCs w:val="22"/>
      </w:rPr>
    </w:lvl>
    <w:lvl w:ilvl="1" w:tplc="776A7D44">
      <w:start w:val="1"/>
      <w:numFmt w:val="lowerLetter"/>
      <w:lvlText w:val="%2."/>
      <w:lvlJc w:val="left"/>
      <w:pPr>
        <w:ind w:left="927" w:hanging="360"/>
      </w:pPr>
      <w:rPr>
        <w:b/>
        <w:sz w:val="20"/>
        <w:szCs w:val="20"/>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A2"/>
    <w:rsid w:val="00010190"/>
    <w:rsid w:val="00223791"/>
    <w:rsid w:val="0027708D"/>
    <w:rsid w:val="00516399"/>
    <w:rsid w:val="005B097A"/>
    <w:rsid w:val="007218A2"/>
    <w:rsid w:val="00860B80"/>
    <w:rsid w:val="00B23A46"/>
    <w:rsid w:val="00D76396"/>
    <w:rsid w:val="00E723ED"/>
    <w:rsid w:val="00E8633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3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Mbulelo Mncengani</dc:creator>
  <cp:lastModifiedBy>Mbulelo Mncengani</cp:lastModifiedBy>
  <cp:revision>2</cp:revision>
  <dcterms:created xsi:type="dcterms:W3CDTF">2022-02-14T13:36:00Z</dcterms:created>
  <dcterms:modified xsi:type="dcterms:W3CDTF">2022-02-14T13:36:00Z</dcterms:modified>
</cp:coreProperties>
</file>