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97"/>
        <w:gridCol w:w="5387"/>
      </w:tblGrid>
      <w:tr w:rsidR="00D5417A" w14:paraId="31A06D00" w14:textId="77777777" w:rsidTr="00D5417A">
        <w:trPr>
          <w:trHeight w:val="373"/>
        </w:trPr>
        <w:tc>
          <w:tcPr>
            <w:tcW w:w="3397" w:type="dxa"/>
          </w:tcPr>
          <w:p w14:paraId="680F593F" w14:textId="4D1C0D70" w:rsidR="00D5417A" w:rsidRDefault="00D5417A" w:rsidP="00D5417A">
            <w:pPr>
              <w:rPr>
                <w:rFonts w:ascii="Arial" w:hAnsi="Arial" w:cs="Arial"/>
                <w:b/>
              </w:rPr>
            </w:pPr>
            <w:r w:rsidRPr="00EB6A30">
              <w:rPr>
                <w:rFonts w:ascii="Arial" w:hAnsi="Arial" w:cs="Arial"/>
                <w:b/>
                <w:sz w:val="22"/>
              </w:rPr>
              <w:t>Description/ Scope of Work</w:t>
            </w:r>
          </w:p>
        </w:tc>
        <w:tc>
          <w:tcPr>
            <w:tcW w:w="5387" w:type="dxa"/>
          </w:tcPr>
          <w:p w14:paraId="2FDFA3EC" w14:textId="041810CE" w:rsidR="00D5417A" w:rsidRPr="00AE2D82" w:rsidRDefault="00AE2D82" w:rsidP="00AE2D82">
            <w:pPr>
              <w:jc w:val="both"/>
              <w:rPr>
                <w:rFonts w:ascii="Arial" w:hAnsi="Arial" w:cs="Arial"/>
                <w:b/>
                <w:sz w:val="22"/>
                <w:szCs w:val="22"/>
              </w:rPr>
            </w:pPr>
            <w:r w:rsidRPr="00AE2D82">
              <w:rPr>
                <w:rStyle w:val="normaltextrun"/>
                <w:rFonts w:ascii="Arial" w:hAnsi="Arial" w:cs="Arial"/>
                <w:color w:val="000000"/>
                <w:sz w:val="22"/>
                <w:szCs w:val="22"/>
                <w:shd w:val="clear" w:color="auto" w:fill="FFFFFF"/>
              </w:rPr>
              <w:t>The Supply and delivery of various Hardware and Accessories for Nuclear Operating Unit (NOU) on an as and when required basis.</w:t>
            </w:r>
            <w:r w:rsidRPr="00AE2D82">
              <w:rPr>
                <w:rStyle w:val="eop"/>
                <w:rFonts w:ascii="Arial" w:hAnsi="Arial" w:cs="Arial"/>
                <w:color w:val="000000"/>
                <w:sz w:val="22"/>
                <w:szCs w:val="22"/>
                <w:shd w:val="clear" w:color="auto" w:fill="FFFFFF"/>
              </w:rPr>
              <w:t> </w:t>
            </w:r>
          </w:p>
        </w:tc>
      </w:tr>
      <w:tr w:rsidR="00D5417A" w14:paraId="3BCDB17D" w14:textId="77777777" w:rsidTr="00D5417A">
        <w:trPr>
          <w:trHeight w:val="373"/>
        </w:trPr>
        <w:tc>
          <w:tcPr>
            <w:tcW w:w="3397" w:type="dxa"/>
          </w:tcPr>
          <w:p w14:paraId="2F11B37E" w14:textId="70BD0821" w:rsidR="00D5417A" w:rsidRDefault="00D5417A" w:rsidP="00D5417A">
            <w:pPr>
              <w:rPr>
                <w:rFonts w:ascii="Arial" w:hAnsi="Arial" w:cs="Arial"/>
                <w:b/>
              </w:rPr>
            </w:pPr>
            <w:r w:rsidRPr="00EB6A30">
              <w:rPr>
                <w:rFonts w:ascii="Arial" w:hAnsi="Arial" w:cs="Arial"/>
                <w:b/>
                <w:sz w:val="22"/>
              </w:rPr>
              <w:t>Duration of the Project</w:t>
            </w:r>
          </w:p>
        </w:tc>
        <w:tc>
          <w:tcPr>
            <w:tcW w:w="5387" w:type="dxa"/>
          </w:tcPr>
          <w:p w14:paraId="551FB0C7" w14:textId="622EE16F" w:rsidR="00D5417A" w:rsidRPr="00AE2D82" w:rsidRDefault="00AE2D82" w:rsidP="00D5417A">
            <w:pPr>
              <w:rPr>
                <w:rFonts w:ascii="Arial" w:hAnsi="Arial" w:cs="Arial"/>
                <w:b/>
                <w:sz w:val="22"/>
                <w:szCs w:val="22"/>
              </w:rPr>
            </w:pPr>
            <w:r w:rsidRPr="00AE2D82">
              <w:rPr>
                <w:rFonts w:ascii="Arial" w:hAnsi="Arial" w:cs="Arial"/>
                <w:sz w:val="22"/>
                <w:szCs w:val="22"/>
              </w:rPr>
              <w:t xml:space="preserve">5 Years </w:t>
            </w:r>
          </w:p>
        </w:tc>
      </w:tr>
    </w:tbl>
    <w:p w14:paraId="38312E40" w14:textId="27A243CA" w:rsidR="006F7826" w:rsidRPr="00D5417A" w:rsidRDefault="006F7826" w:rsidP="00D5417A">
      <w:pPr>
        <w:pStyle w:val="ListParagraph"/>
        <w:numPr>
          <w:ilvl w:val="0"/>
          <w:numId w:val="47"/>
        </w:numPr>
        <w:spacing w:before="240" w:after="240"/>
        <w:rPr>
          <w:rFonts w:ascii="Arial" w:hAnsi="Arial" w:cs="Arial"/>
          <w:b/>
        </w:rPr>
      </w:pPr>
      <w:r w:rsidRPr="00D5417A">
        <w:rPr>
          <w:rFonts w:ascii="Arial" w:hAnsi="Arial" w:cs="Arial"/>
          <w:b/>
        </w:rPr>
        <w:t>Specific Goals</w:t>
      </w:r>
    </w:p>
    <w:p w14:paraId="6B918D2C" w14:textId="1422CC8E" w:rsidR="006F7826" w:rsidRDefault="006F7826" w:rsidP="00B617FF">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62"/>
      </w:tblGrid>
      <w:tr w:rsidR="00AE2D82" w:rsidRPr="00D33E30" w14:paraId="37B4AF07" w14:textId="77777777" w:rsidTr="00AE2D82">
        <w:trPr>
          <w:trHeight w:val="863"/>
        </w:trPr>
        <w:tc>
          <w:tcPr>
            <w:tcW w:w="4394" w:type="dxa"/>
            <w:shd w:val="clear" w:color="auto" w:fill="C00000"/>
            <w:vAlign w:val="center"/>
          </w:tcPr>
          <w:p w14:paraId="7445F116" w14:textId="77777777" w:rsidR="00AE2D82" w:rsidRPr="00D33E30" w:rsidRDefault="00AE2D82" w:rsidP="00D5417A">
            <w:pPr>
              <w:kinsoku w:val="0"/>
              <w:overflowPunct w:val="0"/>
              <w:jc w:val="center"/>
              <w:textAlignment w:val="baseline"/>
              <w:rPr>
                <w:rFonts w:ascii="Arial" w:hAnsi="Arial" w:cs="Arial"/>
                <w:b/>
                <w:sz w:val="20"/>
              </w:rPr>
            </w:pPr>
            <w:r w:rsidRPr="00D33E30">
              <w:rPr>
                <w:rFonts w:ascii="Arial" w:hAnsi="Arial" w:cs="Arial"/>
                <w:b/>
                <w:kern w:val="24"/>
                <w:sz w:val="20"/>
              </w:rPr>
              <w:t>B-BBEE Status Level of Contributor</w:t>
            </w:r>
          </w:p>
        </w:tc>
        <w:tc>
          <w:tcPr>
            <w:tcW w:w="4962" w:type="dxa"/>
            <w:shd w:val="clear" w:color="auto" w:fill="C00000"/>
            <w:vAlign w:val="center"/>
          </w:tcPr>
          <w:p w14:paraId="5B49D9F4" w14:textId="77777777" w:rsidR="00AE2D82" w:rsidRDefault="00AE2D82" w:rsidP="00D5417A">
            <w:pPr>
              <w:kinsoku w:val="0"/>
              <w:overflowPunct w:val="0"/>
              <w:jc w:val="center"/>
              <w:textAlignment w:val="baseline"/>
              <w:rPr>
                <w:rFonts w:ascii="Arial" w:hAnsi="Arial" w:cs="Arial"/>
                <w:b/>
                <w:kern w:val="24"/>
                <w:sz w:val="20"/>
              </w:rPr>
            </w:pPr>
            <w:r w:rsidRPr="00D33E30">
              <w:rPr>
                <w:rFonts w:ascii="Arial" w:hAnsi="Arial" w:cs="Arial"/>
                <w:b/>
                <w:kern w:val="24"/>
                <w:sz w:val="20"/>
              </w:rPr>
              <w:t>Number of points</w:t>
            </w:r>
            <w:r>
              <w:rPr>
                <w:rFonts w:ascii="Arial" w:hAnsi="Arial" w:cs="Arial"/>
                <w:b/>
                <w:kern w:val="24"/>
                <w:sz w:val="20"/>
              </w:rPr>
              <w:t xml:space="preserve"> </w:t>
            </w:r>
          </w:p>
          <w:p w14:paraId="365A0D15" w14:textId="7F14C801" w:rsidR="00AE2D82" w:rsidRPr="00D33E30" w:rsidRDefault="00AE2D82" w:rsidP="00D5417A">
            <w:pPr>
              <w:kinsoku w:val="0"/>
              <w:overflowPunct w:val="0"/>
              <w:jc w:val="center"/>
              <w:textAlignment w:val="baseline"/>
              <w:rPr>
                <w:rFonts w:ascii="Arial" w:hAnsi="Arial" w:cs="Arial"/>
                <w:b/>
                <w:sz w:val="20"/>
              </w:rPr>
            </w:pPr>
            <w:r w:rsidRPr="00D33E30">
              <w:rPr>
                <w:rFonts w:ascii="Arial" w:hAnsi="Arial" w:cs="Arial"/>
                <w:b/>
                <w:kern w:val="24"/>
                <w:sz w:val="20"/>
              </w:rPr>
              <w:t>(80/20 system)</w:t>
            </w:r>
          </w:p>
        </w:tc>
      </w:tr>
      <w:tr w:rsidR="00AE2D82" w:rsidRPr="00D33E30" w14:paraId="18ED302D" w14:textId="77777777" w:rsidTr="00AE2D82">
        <w:trPr>
          <w:trHeight w:val="317"/>
        </w:trPr>
        <w:tc>
          <w:tcPr>
            <w:tcW w:w="4394" w:type="dxa"/>
            <w:shd w:val="clear" w:color="auto" w:fill="auto"/>
          </w:tcPr>
          <w:p w14:paraId="29AB7590"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4962" w:type="dxa"/>
            <w:shd w:val="clear" w:color="auto" w:fill="auto"/>
          </w:tcPr>
          <w:p w14:paraId="282B1C66"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AE2D82" w:rsidRPr="00D33E30" w14:paraId="1E56ED5E" w14:textId="77777777" w:rsidTr="00AE2D82">
        <w:trPr>
          <w:trHeight w:val="317"/>
        </w:trPr>
        <w:tc>
          <w:tcPr>
            <w:tcW w:w="4394" w:type="dxa"/>
            <w:shd w:val="clear" w:color="auto" w:fill="auto"/>
          </w:tcPr>
          <w:p w14:paraId="5E5DEDE3"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4962" w:type="dxa"/>
            <w:shd w:val="clear" w:color="auto" w:fill="auto"/>
          </w:tcPr>
          <w:p w14:paraId="32F93AF1"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AE2D82" w:rsidRPr="00D33E30" w14:paraId="79AF9155" w14:textId="77777777" w:rsidTr="00AE2D82">
        <w:trPr>
          <w:trHeight w:val="317"/>
        </w:trPr>
        <w:tc>
          <w:tcPr>
            <w:tcW w:w="4394" w:type="dxa"/>
            <w:shd w:val="clear" w:color="auto" w:fill="auto"/>
          </w:tcPr>
          <w:p w14:paraId="07DD035F"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4962" w:type="dxa"/>
            <w:shd w:val="clear" w:color="auto" w:fill="auto"/>
          </w:tcPr>
          <w:p w14:paraId="09255EB9"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AE2D82" w:rsidRPr="00D33E30" w14:paraId="3AC053ED" w14:textId="77777777" w:rsidTr="00AE2D82">
        <w:trPr>
          <w:trHeight w:val="317"/>
        </w:trPr>
        <w:tc>
          <w:tcPr>
            <w:tcW w:w="4394" w:type="dxa"/>
            <w:shd w:val="clear" w:color="auto" w:fill="auto"/>
          </w:tcPr>
          <w:p w14:paraId="5F675793"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4962" w:type="dxa"/>
            <w:shd w:val="clear" w:color="auto" w:fill="auto"/>
          </w:tcPr>
          <w:p w14:paraId="40132D5E"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AE2D82" w:rsidRPr="00D33E30" w14:paraId="128B63FF" w14:textId="77777777" w:rsidTr="00AE2D82">
        <w:trPr>
          <w:trHeight w:val="317"/>
        </w:trPr>
        <w:tc>
          <w:tcPr>
            <w:tcW w:w="4394" w:type="dxa"/>
            <w:shd w:val="clear" w:color="auto" w:fill="auto"/>
          </w:tcPr>
          <w:p w14:paraId="7F6090B2"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4962" w:type="dxa"/>
            <w:shd w:val="clear" w:color="auto" w:fill="auto"/>
          </w:tcPr>
          <w:p w14:paraId="1B010E39"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AE2D82" w:rsidRPr="00D33E30" w14:paraId="4EE474ED" w14:textId="77777777" w:rsidTr="00AE2D82">
        <w:trPr>
          <w:trHeight w:val="317"/>
        </w:trPr>
        <w:tc>
          <w:tcPr>
            <w:tcW w:w="4394" w:type="dxa"/>
            <w:shd w:val="clear" w:color="auto" w:fill="auto"/>
          </w:tcPr>
          <w:p w14:paraId="0887E576"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4962" w:type="dxa"/>
            <w:shd w:val="clear" w:color="auto" w:fill="auto"/>
          </w:tcPr>
          <w:p w14:paraId="5B4DB34D"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AE2D82" w:rsidRPr="00D33E30" w14:paraId="309AC553" w14:textId="77777777" w:rsidTr="00AE2D82">
        <w:trPr>
          <w:trHeight w:val="317"/>
        </w:trPr>
        <w:tc>
          <w:tcPr>
            <w:tcW w:w="4394" w:type="dxa"/>
            <w:shd w:val="clear" w:color="auto" w:fill="auto"/>
          </w:tcPr>
          <w:p w14:paraId="2D668DC7"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4962" w:type="dxa"/>
            <w:shd w:val="clear" w:color="auto" w:fill="auto"/>
          </w:tcPr>
          <w:p w14:paraId="5AC41D09"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AE2D82" w:rsidRPr="00D33E30" w14:paraId="711E9FF1" w14:textId="77777777" w:rsidTr="00AE2D82">
        <w:trPr>
          <w:trHeight w:val="317"/>
        </w:trPr>
        <w:tc>
          <w:tcPr>
            <w:tcW w:w="4394" w:type="dxa"/>
            <w:shd w:val="clear" w:color="auto" w:fill="auto"/>
          </w:tcPr>
          <w:p w14:paraId="3C90DFF0"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4962" w:type="dxa"/>
            <w:shd w:val="clear" w:color="auto" w:fill="auto"/>
          </w:tcPr>
          <w:p w14:paraId="1CE75117"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AE2D82" w:rsidRPr="00D33E30" w14:paraId="7AB7850E" w14:textId="77777777" w:rsidTr="00AE2D82">
        <w:trPr>
          <w:trHeight w:val="317"/>
        </w:trPr>
        <w:tc>
          <w:tcPr>
            <w:tcW w:w="4394" w:type="dxa"/>
            <w:shd w:val="clear" w:color="auto" w:fill="auto"/>
          </w:tcPr>
          <w:p w14:paraId="3EEAD06B"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4962" w:type="dxa"/>
            <w:shd w:val="clear" w:color="auto" w:fill="auto"/>
          </w:tcPr>
          <w:p w14:paraId="3139351E" w14:textId="77777777" w:rsidR="00AE2D82" w:rsidRPr="00D33E30" w:rsidRDefault="00AE2D82" w:rsidP="00D5417A">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AE2D82" w:rsidRDefault="006F7826" w:rsidP="006F7826">
      <w:pPr>
        <w:spacing w:after="200" w:line="276" w:lineRule="auto"/>
        <w:contextualSpacing/>
        <w:jc w:val="both"/>
        <w:rPr>
          <w:rFonts w:ascii="Arial" w:hAnsi="Arial" w:cs="Arial"/>
          <w:b/>
          <w:sz w:val="20"/>
          <w:lang w:val="en-ZA"/>
        </w:rPr>
      </w:pPr>
      <w:r w:rsidRPr="00AE2D82">
        <w:rPr>
          <w:rFonts w:ascii="Arial" w:hAnsi="Arial" w:cs="Arial"/>
          <w:b/>
          <w:sz w:val="20"/>
          <w:lang w:val="en-ZA"/>
        </w:rPr>
        <w:t>NB: The following documents are required to claim preference points,</w:t>
      </w:r>
    </w:p>
    <w:p w14:paraId="30652C25" w14:textId="5BFC34B2"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w:t>
      </w:r>
      <w:r w:rsidR="001D657A">
        <w:rPr>
          <w:rFonts w:ascii="Arial" w:hAnsi="Arial" w:cs="Arial"/>
          <w:bCs/>
          <w:sz w:val="20"/>
          <w:lang w:val="en-ZA"/>
        </w:rPr>
        <w:t>C</w:t>
      </w:r>
      <w:r w:rsidRPr="007133D2">
        <w:rPr>
          <w:rFonts w:ascii="Arial" w:hAnsi="Arial" w:cs="Arial"/>
          <w:bCs/>
          <w:sz w:val="20"/>
          <w:lang w:val="en-ZA"/>
        </w:rPr>
        <w:t xml:space="preserve">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61780B50" w14:textId="77777777" w:rsidR="006F7826" w:rsidRPr="00AE2D82" w:rsidRDefault="006F7826" w:rsidP="006F7826">
      <w:pPr>
        <w:spacing w:after="200" w:line="276" w:lineRule="auto"/>
        <w:contextualSpacing/>
        <w:jc w:val="both"/>
        <w:rPr>
          <w:rFonts w:ascii="Arial" w:hAnsi="Arial" w:cs="Arial"/>
          <w:b/>
          <w:sz w:val="20"/>
          <w:lang w:val="en-ZA"/>
        </w:rPr>
      </w:pPr>
      <w:r w:rsidRPr="00AE2D82">
        <w:rPr>
          <w:rFonts w:ascii="Arial" w:hAnsi="Arial" w:cs="Arial"/>
          <w:b/>
          <w:sz w:val="20"/>
          <w:lang w:val="en-ZA"/>
        </w:rPr>
        <w:t>Tenderer failing to provide documentation for the allocation of preference points will not be disqualified, but’</w:t>
      </w:r>
    </w:p>
    <w:p w14:paraId="5556EF4D" w14:textId="535A973E"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80</w:t>
      </w:r>
      <w:r>
        <w:rPr>
          <w:rFonts w:ascii="Arial" w:hAnsi="Arial" w:cs="Arial"/>
          <w:bCs/>
          <w:sz w:val="20"/>
          <w:lang w:val="en-ZA"/>
        </w:rPr>
        <w:t xml:space="preserve"> for price</w:t>
      </w:r>
    </w:p>
    <w:p w14:paraId="032744C1" w14:textId="3FF03615"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20 for specific goals</w:t>
      </w:r>
    </w:p>
    <w:p w14:paraId="40E54FBF" w14:textId="4492EC36" w:rsidR="006F7826" w:rsidRDefault="006F7826" w:rsidP="00EB6A30">
      <w:pPr>
        <w:spacing w:line="276" w:lineRule="auto"/>
        <w:rPr>
          <w:rFonts w:ascii="Arial" w:hAnsi="Arial" w:cs="Arial"/>
        </w:rPr>
      </w:pPr>
    </w:p>
    <w:p w14:paraId="537CB1CD" w14:textId="71BDEBAC" w:rsidR="006E5E06" w:rsidRDefault="006E5E06" w:rsidP="00EB6A30">
      <w:pPr>
        <w:spacing w:line="276" w:lineRule="auto"/>
        <w:rPr>
          <w:rFonts w:ascii="Arial" w:hAnsi="Arial" w:cs="Arial"/>
        </w:rPr>
      </w:pPr>
    </w:p>
    <w:p w14:paraId="1E071C66" w14:textId="272208C9" w:rsidR="006E5E06" w:rsidRDefault="006E5E06" w:rsidP="00EB6A30">
      <w:pPr>
        <w:spacing w:line="276" w:lineRule="auto"/>
        <w:rPr>
          <w:rFonts w:ascii="Arial" w:hAnsi="Arial" w:cs="Arial"/>
        </w:rPr>
      </w:pPr>
    </w:p>
    <w:p w14:paraId="5FB7E1D5" w14:textId="2CA49289" w:rsidR="006E5E06" w:rsidRDefault="006E5E06" w:rsidP="00EB6A30">
      <w:pPr>
        <w:spacing w:line="276" w:lineRule="auto"/>
        <w:rPr>
          <w:rFonts w:ascii="Arial" w:hAnsi="Arial" w:cs="Arial"/>
        </w:rPr>
      </w:pPr>
    </w:p>
    <w:p w14:paraId="4096561B" w14:textId="6C354B73" w:rsidR="006E5E06" w:rsidRDefault="006E5E06" w:rsidP="00EB6A30">
      <w:pPr>
        <w:spacing w:line="276" w:lineRule="auto"/>
        <w:rPr>
          <w:rFonts w:ascii="Arial" w:hAnsi="Arial" w:cs="Arial"/>
        </w:rPr>
      </w:pPr>
    </w:p>
    <w:p w14:paraId="539C7A28" w14:textId="77777777" w:rsidR="006E5E06" w:rsidRDefault="006E5E06" w:rsidP="00EB6A30">
      <w:pPr>
        <w:spacing w:line="276" w:lineRule="auto"/>
        <w:rPr>
          <w:rFonts w:ascii="Arial" w:hAnsi="Arial" w:cs="Arial"/>
        </w:rPr>
      </w:pPr>
    </w:p>
    <w:p w14:paraId="6CE3EDFE" w14:textId="77777777" w:rsidR="00D5417A" w:rsidRDefault="00D5417A" w:rsidP="00546E27">
      <w:pPr>
        <w:autoSpaceDE w:val="0"/>
        <w:autoSpaceDN w:val="0"/>
        <w:adjustRightInd w:val="0"/>
        <w:rPr>
          <w:rFonts w:ascii="Arial" w:hAnsi="Arial" w:cs="Arial"/>
          <w:b/>
        </w:rPr>
      </w:pPr>
      <w:bookmarkStart w:id="0" w:name="_Hlk124873248"/>
    </w:p>
    <w:p w14:paraId="240937F9" w14:textId="77777777" w:rsidR="00D5417A" w:rsidRDefault="00D5417A" w:rsidP="00546E27">
      <w:pPr>
        <w:autoSpaceDE w:val="0"/>
        <w:autoSpaceDN w:val="0"/>
        <w:adjustRightInd w:val="0"/>
        <w:rPr>
          <w:rFonts w:ascii="Arial" w:hAnsi="Arial" w:cs="Arial"/>
          <w:b/>
        </w:rPr>
      </w:pPr>
    </w:p>
    <w:p w14:paraId="29E0DC29" w14:textId="40AFD66B" w:rsidR="00546E27" w:rsidRPr="00D5417A" w:rsidRDefault="00546E27" w:rsidP="00D5417A">
      <w:pPr>
        <w:pStyle w:val="ListParagraph"/>
        <w:numPr>
          <w:ilvl w:val="0"/>
          <w:numId w:val="47"/>
        </w:numPr>
        <w:autoSpaceDE w:val="0"/>
        <w:autoSpaceDN w:val="0"/>
        <w:adjustRightInd w:val="0"/>
        <w:rPr>
          <w:rFonts w:ascii="Arial" w:hAnsi="Arial" w:cs="Arial"/>
          <w:b/>
        </w:rPr>
      </w:pPr>
      <w:r w:rsidRPr="00D5417A">
        <w:rPr>
          <w:rFonts w:ascii="Arial" w:hAnsi="Arial" w:cs="Arial"/>
          <w:b/>
        </w:rPr>
        <w:t xml:space="preserve">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4ACEF802" w14:textId="0339780D" w:rsidR="006F7826" w:rsidRDefault="006F7826" w:rsidP="00D5417A">
      <w:pPr>
        <w:spacing w:before="60" w:after="60"/>
        <w:rPr>
          <w:rFonts w:ascii="Arial" w:hAnsi="Arial" w:cs="Arial"/>
          <w:b/>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r w:rsidR="00D5417A">
        <w:rPr>
          <w:rFonts w:ascii="Arial" w:hAnsi="Arial" w:cs="Arial"/>
          <w:bCs/>
          <w:sz w:val="20"/>
          <w:lang w:val="en-ZA"/>
        </w:rPr>
        <w:t xml:space="preserve"> </w:t>
      </w:r>
      <w:r w:rsidRPr="000C379B">
        <w:rPr>
          <w:rFonts w:ascii="Arial" w:hAnsi="Arial" w:cs="Arial"/>
          <w:bCs/>
          <w:sz w:val="20"/>
          <w:lang w:val="en-ZA"/>
        </w:rPr>
        <w:t>award.</w:t>
      </w:r>
    </w:p>
    <w:p w14:paraId="326AE27E" w14:textId="77777777" w:rsidR="00546E27" w:rsidRPr="005B5A73" w:rsidRDefault="00546E27" w:rsidP="00546E27">
      <w:pPr>
        <w:autoSpaceDE w:val="0"/>
        <w:autoSpaceDN w:val="0"/>
        <w:adjustRightInd w:val="0"/>
        <w:rPr>
          <w:rFonts w:ascii="Arial" w:hAnsi="Arial" w:cs="Arial"/>
          <w:bCs/>
          <w:sz w:val="16"/>
          <w:szCs w:val="16"/>
        </w:rPr>
      </w:pPr>
    </w:p>
    <w:bookmarkEnd w:id="0"/>
    <w:p w14:paraId="47162683" w14:textId="4EBF45FE" w:rsidR="00546E27" w:rsidRPr="00816D48" w:rsidRDefault="006F7826" w:rsidP="00546E27">
      <w:pPr>
        <w:spacing w:before="120" w:after="120" w:line="276" w:lineRule="auto"/>
        <w:rPr>
          <w:rFonts w:ascii="Arial" w:hAnsi="Arial" w:cs="Arial"/>
          <w:b/>
          <w:sz w:val="22"/>
        </w:rPr>
      </w:pPr>
      <w:r>
        <w:rPr>
          <w:rFonts w:ascii="Arial" w:hAnsi="Arial" w:cs="Arial"/>
          <w:b/>
          <w:sz w:val="22"/>
        </w:rPr>
        <w:t>2</w:t>
      </w:r>
      <w:r w:rsidR="00546E27">
        <w:rPr>
          <w:rFonts w:ascii="Arial" w:hAnsi="Arial" w:cs="Arial"/>
          <w:b/>
          <w:sz w:val="22"/>
        </w:rPr>
        <w:t>.1 Designated Sectors</w:t>
      </w:r>
    </w:p>
    <w:tbl>
      <w:tblPr>
        <w:tblStyle w:val="TableGrid"/>
        <w:tblW w:w="9407" w:type="dxa"/>
        <w:tblLook w:val="04A0" w:firstRow="1" w:lastRow="0" w:firstColumn="1" w:lastColumn="0" w:noHBand="0" w:noVBand="1"/>
      </w:tblPr>
      <w:tblGrid>
        <w:gridCol w:w="9407"/>
      </w:tblGrid>
      <w:tr w:rsidR="00546E27" w:rsidRPr="00726078" w14:paraId="4A730B98" w14:textId="77777777" w:rsidTr="00065BFD">
        <w:trPr>
          <w:trHeight w:val="447"/>
        </w:trPr>
        <w:tc>
          <w:tcPr>
            <w:tcW w:w="9407" w:type="dxa"/>
            <w:shd w:val="clear" w:color="auto" w:fill="000000" w:themeFill="text1"/>
          </w:tcPr>
          <w:p w14:paraId="37D03AF8" w14:textId="77777777" w:rsidR="00546E27" w:rsidRPr="00726078" w:rsidRDefault="00546E27" w:rsidP="00065BFD">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546E27" w:rsidRPr="00726078" w14:paraId="2DE6670D" w14:textId="77777777" w:rsidTr="00065BFD">
        <w:trPr>
          <w:trHeight w:val="3422"/>
        </w:trPr>
        <w:tc>
          <w:tcPr>
            <w:tcW w:w="9407" w:type="dxa"/>
          </w:tcPr>
          <w:p w14:paraId="3A909558" w14:textId="77777777" w:rsidR="00546E27" w:rsidRPr="00EB6A30" w:rsidRDefault="00546E27" w:rsidP="00065BFD">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1951"/>
              <w:gridCol w:w="592"/>
              <w:gridCol w:w="639"/>
              <w:gridCol w:w="1388"/>
              <w:gridCol w:w="1035"/>
            </w:tblGrid>
            <w:tr w:rsidR="00546E27" w:rsidRPr="00EB6A30" w14:paraId="5E54B62D" w14:textId="77777777" w:rsidTr="00065BFD">
              <w:trPr>
                <w:gridAfter w:val="1"/>
                <w:wAfter w:w="1035" w:type="dxa"/>
                <w:trHeight w:val="365"/>
              </w:trPr>
              <w:tc>
                <w:tcPr>
                  <w:tcW w:w="5522" w:type="dxa"/>
                  <w:gridSpan w:val="2"/>
                  <w:tcBorders>
                    <w:right w:val="single" w:sz="4" w:space="0" w:color="auto"/>
                  </w:tcBorders>
                </w:tcPr>
                <w:p w14:paraId="57BE239D" w14:textId="77777777" w:rsidR="00546E27" w:rsidRPr="00EB6A30" w:rsidRDefault="00546E27" w:rsidP="00065BFD">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469254A"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40C846E6"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24647883" w14:textId="77777777" w:rsidTr="00065BFD">
              <w:trPr>
                <w:gridAfter w:val="1"/>
                <w:wAfter w:w="1035" w:type="dxa"/>
                <w:trHeight w:val="491"/>
              </w:trPr>
              <w:tc>
                <w:tcPr>
                  <w:tcW w:w="5522" w:type="dxa"/>
                  <w:gridSpan w:val="2"/>
                  <w:tcBorders>
                    <w:right w:val="single" w:sz="4" w:space="0" w:color="auto"/>
                  </w:tcBorders>
                </w:tcPr>
                <w:p w14:paraId="72DDC744" w14:textId="77777777" w:rsidR="00546E27" w:rsidRPr="00EB6A30" w:rsidRDefault="00546E27" w:rsidP="00065BFD">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1"/>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413283A0" w14:textId="768450E0" w:rsidR="00546E27" w:rsidRPr="00EB6A30" w:rsidRDefault="00647DF4" w:rsidP="00065BFD">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876745769"/>
                  <w14:checkbox>
                    <w14:checked w14:val="0"/>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49F057C8" w14:textId="66384BB2" w:rsidR="00546E27" w:rsidRPr="00EB6A30" w:rsidRDefault="009417B3" w:rsidP="00065BFD">
                      <w:pPr>
                        <w:spacing w:before="60" w:after="60"/>
                        <w:jc w:val="center"/>
                        <w:rPr>
                          <w:rFonts w:ascii="Arial" w:hAnsi="Arial" w:cs="Arial"/>
                          <w:sz w:val="20"/>
                        </w:rPr>
                      </w:pPr>
                      <w:r>
                        <w:rPr>
                          <w:rFonts w:ascii="MS Gothic" w:eastAsia="MS Gothic" w:hAnsi="MS Gothic" w:cs="Arial" w:hint="eastAsia"/>
                          <w:sz w:val="20"/>
                        </w:rPr>
                        <w:t>☐</w:t>
                      </w:r>
                    </w:p>
                  </w:tc>
                </w:sdtContent>
              </w:sdt>
            </w:tr>
            <w:tr w:rsidR="00546E27" w:rsidRPr="00EB6A30" w14:paraId="0CC902D4" w14:textId="77777777" w:rsidTr="00065BFD">
              <w:trPr>
                <w:gridAfter w:val="1"/>
                <w:wAfter w:w="1035" w:type="dxa"/>
                <w:trHeight w:val="969"/>
              </w:trPr>
              <w:tc>
                <w:tcPr>
                  <w:tcW w:w="5522" w:type="dxa"/>
                  <w:gridSpan w:val="2"/>
                </w:tcPr>
                <w:p w14:paraId="3D6FFFCC" w14:textId="77777777" w:rsidR="00546E27" w:rsidRPr="00EB6A30" w:rsidRDefault="00546E27" w:rsidP="00065BFD">
                  <w:pPr>
                    <w:ind w:right="-3795"/>
                    <w:rPr>
                      <w:rFonts w:ascii="Arial" w:hAnsi="Arial" w:cs="Arial"/>
                      <w:sz w:val="20"/>
                    </w:rPr>
                  </w:pPr>
                </w:p>
                <w:p w14:paraId="0CB51685" w14:textId="62E7D698" w:rsidR="00546E27" w:rsidRPr="00EB6A30" w:rsidRDefault="00546E27" w:rsidP="00065BFD">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1A2DA4E4" w14:textId="77777777" w:rsidR="00546E27" w:rsidRPr="00EB6A30" w:rsidRDefault="00546E27" w:rsidP="00065BFD">
                  <w:pPr>
                    <w:spacing w:before="60" w:after="60"/>
                    <w:ind w:left="1583"/>
                    <w:jc w:val="center"/>
                    <w:rPr>
                      <w:rFonts w:ascii="Arial" w:hAnsi="Arial" w:cs="Arial"/>
                      <w:b/>
                      <w:sz w:val="20"/>
                    </w:rPr>
                  </w:pPr>
                </w:p>
                <w:p w14:paraId="641B779F" w14:textId="77777777" w:rsidR="00546E27" w:rsidRPr="00EB6A30" w:rsidRDefault="00546E27" w:rsidP="00065BFD">
                  <w:pPr>
                    <w:spacing w:before="60" w:after="60"/>
                    <w:ind w:left="1583"/>
                    <w:jc w:val="center"/>
                    <w:rPr>
                      <w:rFonts w:ascii="Arial" w:hAnsi="Arial" w:cs="Arial"/>
                      <w:b/>
                      <w:sz w:val="20"/>
                    </w:rPr>
                  </w:pPr>
                </w:p>
              </w:tc>
            </w:tr>
            <w:tr w:rsidR="00546E27" w:rsidRPr="00EB6A30" w14:paraId="46169D93" w14:textId="77777777" w:rsidTr="00AE2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571" w:type="dxa"/>
                  <w:shd w:val="clear" w:color="auto" w:fill="D9D9D9" w:themeFill="background1" w:themeFillShade="D9"/>
                </w:tcPr>
                <w:p w14:paraId="167E405B" w14:textId="77777777" w:rsidR="00546E27" w:rsidRPr="00EB6A30" w:rsidRDefault="00546E27" w:rsidP="00065BFD">
                  <w:pPr>
                    <w:jc w:val="center"/>
                    <w:rPr>
                      <w:rFonts w:ascii="Arial" w:hAnsi="Arial" w:cs="Arial"/>
                      <w:b/>
                      <w:sz w:val="20"/>
                    </w:rPr>
                  </w:pPr>
                  <w:r w:rsidRPr="00EB6A30">
                    <w:rPr>
                      <w:rFonts w:ascii="Arial" w:hAnsi="Arial" w:cs="Arial"/>
                      <w:b/>
                      <w:sz w:val="20"/>
                    </w:rPr>
                    <w:t>Commodity</w:t>
                  </w:r>
                </w:p>
              </w:tc>
              <w:tc>
                <w:tcPr>
                  <w:tcW w:w="2543" w:type="dxa"/>
                  <w:gridSpan w:val="2"/>
                  <w:shd w:val="clear" w:color="auto" w:fill="D9D9D9" w:themeFill="background1" w:themeFillShade="D9"/>
                </w:tcPr>
                <w:p w14:paraId="0477A586" w14:textId="77777777" w:rsidR="00546E27" w:rsidRPr="00EB6A30" w:rsidRDefault="00546E27" w:rsidP="00065BFD">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7D15BD93" w14:textId="77777777" w:rsidR="00546E27" w:rsidRPr="00EB6A30" w:rsidRDefault="00546E27" w:rsidP="00065BFD">
                  <w:pPr>
                    <w:jc w:val="center"/>
                    <w:rPr>
                      <w:rFonts w:ascii="Arial" w:hAnsi="Arial" w:cs="Arial"/>
                      <w:b/>
                      <w:sz w:val="20"/>
                    </w:rPr>
                  </w:pPr>
                  <w:r w:rsidRPr="00EB6A30">
                    <w:rPr>
                      <w:rFonts w:ascii="Arial" w:hAnsi="Arial" w:cs="Arial"/>
                      <w:b/>
                      <w:sz w:val="20"/>
                    </w:rPr>
                    <w:t>Local Content Threshold</w:t>
                  </w:r>
                </w:p>
              </w:tc>
            </w:tr>
            <w:tr w:rsidR="00546E27" w:rsidRPr="00EB6A30" w14:paraId="527F7ACB" w14:textId="77777777" w:rsidTr="00AE2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571" w:type="dxa"/>
                </w:tcPr>
                <w:p w14:paraId="30FFD6B6" w14:textId="65FB1D74" w:rsidR="00647DF4" w:rsidRPr="00647DF4" w:rsidRDefault="00C83207" w:rsidP="00647DF4">
                  <w:pPr>
                    <w:rPr>
                      <w:rFonts w:ascii="Arial" w:hAnsi="Arial" w:cs="Arial"/>
                      <w:color w:val="3A3A3A"/>
                      <w:sz w:val="20"/>
                      <w:lang w:eastAsia="en-ZA"/>
                    </w:rPr>
                  </w:pPr>
                  <w:r>
                    <w:rPr>
                      <w:rFonts w:ascii="Arial" w:hAnsi="Arial" w:cs="Arial"/>
                      <w:b/>
                      <w:bCs/>
                      <w:color w:val="3A3A3A"/>
                      <w:sz w:val="20"/>
                      <w:lang w:eastAsia="en-ZA"/>
                    </w:rPr>
                    <w:t>Steel Products and Components for Construction</w:t>
                  </w:r>
                </w:p>
                <w:p w14:paraId="6CA7DCE7" w14:textId="000A94EC" w:rsidR="00546E27" w:rsidRPr="00C67975" w:rsidRDefault="00546E27" w:rsidP="00065BFD">
                  <w:pPr>
                    <w:jc w:val="center"/>
                    <w:rPr>
                      <w:rFonts w:ascii="Arial" w:hAnsi="Arial" w:cs="Arial"/>
                      <w:sz w:val="20"/>
                    </w:rPr>
                  </w:pPr>
                </w:p>
              </w:tc>
              <w:tc>
                <w:tcPr>
                  <w:tcW w:w="2543" w:type="dxa"/>
                  <w:gridSpan w:val="2"/>
                </w:tcPr>
                <w:p w14:paraId="6DF9F385" w14:textId="5BF631E2" w:rsidR="00647DF4" w:rsidRDefault="00C83207" w:rsidP="00C83207">
                  <w:pPr>
                    <w:pStyle w:val="ListParagraph"/>
                    <w:numPr>
                      <w:ilvl w:val="0"/>
                      <w:numId w:val="49"/>
                    </w:numPr>
                    <w:jc w:val="both"/>
                    <w:textAlignment w:val="baseline"/>
                    <w:rPr>
                      <w:rFonts w:ascii="Arial" w:hAnsi="Arial" w:cs="Arial"/>
                      <w:color w:val="3A3A3A"/>
                      <w:sz w:val="20"/>
                      <w:lang w:eastAsia="en-ZA"/>
                    </w:rPr>
                  </w:pPr>
                  <w:r>
                    <w:rPr>
                      <w:rFonts w:ascii="Arial" w:hAnsi="Arial" w:cs="Arial"/>
                      <w:color w:val="3A3A3A"/>
                      <w:sz w:val="20"/>
                      <w:lang w:eastAsia="en-ZA"/>
                    </w:rPr>
                    <w:t>Fabricated Structural Steel.</w:t>
                  </w:r>
                </w:p>
                <w:p w14:paraId="651EB36D" w14:textId="47F0A027" w:rsidR="00C83207" w:rsidRPr="00C83207" w:rsidRDefault="00C83207" w:rsidP="00C83207">
                  <w:pPr>
                    <w:pStyle w:val="ListParagraph"/>
                    <w:numPr>
                      <w:ilvl w:val="0"/>
                      <w:numId w:val="49"/>
                    </w:numPr>
                    <w:jc w:val="both"/>
                    <w:textAlignment w:val="baseline"/>
                    <w:rPr>
                      <w:rFonts w:ascii="Arial" w:hAnsi="Arial" w:cs="Arial"/>
                      <w:color w:val="3A3A3A"/>
                      <w:sz w:val="20"/>
                      <w:lang w:eastAsia="en-ZA"/>
                    </w:rPr>
                  </w:pPr>
                  <w:r>
                    <w:rPr>
                      <w:rFonts w:ascii="Arial" w:hAnsi="Arial" w:cs="Arial"/>
                      <w:color w:val="3A3A3A"/>
                      <w:sz w:val="20"/>
                      <w:lang w:eastAsia="en-ZA"/>
                    </w:rPr>
                    <w:t>Joining Components.</w:t>
                  </w:r>
                </w:p>
                <w:p w14:paraId="29226E7A" w14:textId="48C162A0" w:rsidR="00C83207" w:rsidRDefault="00C83207" w:rsidP="00C83207">
                  <w:pPr>
                    <w:pStyle w:val="ListParagraph"/>
                    <w:numPr>
                      <w:ilvl w:val="0"/>
                      <w:numId w:val="49"/>
                    </w:numPr>
                    <w:jc w:val="both"/>
                    <w:textAlignment w:val="baseline"/>
                    <w:rPr>
                      <w:rFonts w:ascii="Arial" w:hAnsi="Arial" w:cs="Arial"/>
                      <w:color w:val="3A3A3A"/>
                      <w:sz w:val="20"/>
                      <w:lang w:eastAsia="en-ZA"/>
                    </w:rPr>
                  </w:pPr>
                  <w:r>
                    <w:rPr>
                      <w:rFonts w:ascii="Arial" w:hAnsi="Arial" w:cs="Arial"/>
                      <w:color w:val="3A3A3A"/>
                      <w:sz w:val="20"/>
                      <w:lang w:eastAsia="en-ZA"/>
                    </w:rPr>
                    <w:t>Frames.</w:t>
                  </w:r>
                </w:p>
                <w:p w14:paraId="3DF16E44" w14:textId="515397A8" w:rsidR="00C83207" w:rsidRDefault="00C83207" w:rsidP="00C83207">
                  <w:pPr>
                    <w:pStyle w:val="ListParagraph"/>
                    <w:numPr>
                      <w:ilvl w:val="0"/>
                      <w:numId w:val="49"/>
                    </w:numPr>
                    <w:jc w:val="both"/>
                    <w:textAlignment w:val="baseline"/>
                    <w:rPr>
                      <w:rFonts w:ascii="Arial" w:hAnsi="Arial" w:cs="Arial"/>
                      <w:color w:val="3A3A3A"/>
                      <w:sz w:val="20"/>
                      <w:lang w:eastAsia="en-ZA"/>
                    </w:rPr>
                  </w:pPr>
                  <w:r>
                    <w:rPr>
                      <w:rFonts w:ascii="Arial" w:hAnsi="Arial" w:cs="Arial"/>
                      <w:color w:val="3A3A3A"/>
                      <w:sz w:val="20"/>
                      <w:lang w:eastAsia="en-ZA"/>
                    </w:rPr>
                    <w:t>Wire Products.</w:t>
                  </w:r>
                </w:p>
                <w:p w14:paraId="0EEDD8BB" w14:textId="39150BFB" w:rsidR="00C83207" w:rsidRPr="00C83207" w:rsidRDefault="00C83207" w:rsidP="00C83207">
                  <w:pPr>
                    <w:pStyle w:val="ListParagraph"/>
                    <w:numPr>
                      <w:ilvl w:val="0"/>
                      <w:numId w:val="49"/>
                    </w:numPr>
                    <w:jc w:val="both"/>
                    <w:textAlignment w:val="baseline"/>
                    <w:rPr>
                      <w:rFonts w:ascii="Arial" w:hAnsi="Arial" w:cs="Arial"/>
                      <w:color w:val="3A3A3A"/>
                      <w:sz w:val="20"/>
                      <w:lang w:eastAsia="en-ZA"/>
                    </w:rPr>
                  </w:pPr>
                  <w:r>
                    <w:rPr>
                      <w:rFonts w:ascii="Arial" w:hAnsi="Arial" w:cs="Arial"/>
                      <w:color w:val="3A3A3A"/>
                      <w:sz w:val="20"/>
                      <w:lang w:eastAsia="en-ZA"/>
                    </w:rPr>
                    <w:t>Fasteners.</w:t>
                  </w:r>
                </w:p>
                <w:p w14:paraId="7ED27536" w14:textId="20C62EB1" w:rsidR="00546E27" w:rsidRPr="00C67975" w:rsidRDefault="00546E27" w:rsidP="00065BFD">
                  <w:pPr>
                    <w:jc w:val="center"/>
                    <w:rPr>
                      <w:rFonts w:ascii="Arial" w:hAnsi="Arial" w:cs="Arial"/>
                      <w:sz w:val="20"/>
                    </w:rPr>
                  </w:pPr>
                </w:p>
              </w:tc>
              <w:tc>
                <w:tcPr>
                  <w:tcW w:w="3062" w:type="dxa"/>
                  <w:gridSpan w:val="3"/>
                </w:tcPr>
                <w:p w14:paraId="6AE79D03" w14:textId="4F94A3D8" w:rsidR="00546E27" w:rsidRPr="00C67975" w:rsidRDefault="00647DF4" w:rsidP="00065BFD">
                  <w:pPr>
                    <w:jc w:val="center"/>
                    <w:rPr>
                      <w:rFonts w:ascii="Arial" w:hAnsi="Arial" w:cs="Arial"/>
                      <w:sz w:val="20"/>
                    </w:rPr>
                  </w:pPr>
                  <w:r>
                    <w:rPr>
                      <w:rFonts w:ascii="Arial" w:hAnsi="Arial" w:cs="Arial"/>
                      <w:sz w:val="20"/>
                    </w:rPr>
                    <w:t>100%</w:t>
                  </w:r>
                </w:p>
              </w:tc>
            </w:tr>
          </w:tbl>
          <w:p w14:paraId="0853016D" w14:textId="77777777" w:rsidR="00546E27"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sz w:val="20"/>
              </w:rPr>
              <w:t>and must be</w:t>
            </w:r>
            <w:r w:rsidRPr="00EB6A30">
              <w:rPr>
                <w:rFonts w:ascii="Arial" w:hAnsi="Arial" w:cs="Arial"/>
                <w:sz w:val="20"/>
              </w:rPr>
              <w:t xml:space="preserve"> tender returnable</w:t>
            </w:r>
            <w:r>
              <w:rPr>
                <w:rFonts w:ascii="Arial" w:hAnsi="Arial" w:cs="Arial"/>
                <w:sz w:val="20"/>
              </w:rPr>
              <w:t>s if applicable</w:t>
            </w:r>
            <w:r w:rsidRPr="00EB6A30">
              <w:rPr>
                <w:rFonts w:ascii="Arial" w:hAnsi="Arial" w:cs="Arial"/>
                <w:sz w:val="20"/>
              </w:rPr>
              <w:t>.</w:t>
            </w:r>
          </w:p>
          <w:p w14:paraId="548CF08E" w14:textId="77777777" w:rsidR="00647DF4" w:rsidRDefault="00647DF4" w:rsidP="00065BFD">
            <w:pPr>
              <w:spacing w:before="60" w:after="60" w:line="276" w:lineRule="auto"/>
              <w:rPr>
                <w:rFonts w:ascii="Arial" w:hAnsi="Arial" w:cs="Arial"/>
                <w:sz w:val="20"/>
              </w:rPr>
            </w:pPr>
          </w:p>
          <w:p w14:paraId="50281CD1" w14:textId="7B1C3FDA" w:rsidR="00647DF4" w:rsidRPr="00647DF4" w:rsidRDefault="00647DF4" w:rsidP="00065BFD">
            <w:pPr>
              <w:spacing w:before="60" w:after="60" w:line="276" w:lineRule="auto"/>
              <w:rPr>
                <w:rFonts w:ascii="Arial" w:hAnsi="Arial" w:cs="Arial"/>
                <w:sz w:val="20"/>
              </w:rPr>
            </w:pPr>
            <w:r w:rsidRPr="00647DF4">
              <w:rPr>
                <w:rFonts w:ascii="Arial" w:hAnsi="Arial" w:cs="Arial"/>
                <w:bCs/>
                <w:sz w:val="20"/>
              </w:rPr>
              <w:t xml:space="preserve">Tenderers are responsible to verify the list of items and to ensure compliance with the </w:t>
            </w:r>
            <w:proofErr w:type="spellStart"/>
            <w:r w:rsidRPr="00647DF4">
              <w:rPr>
                <w:rFonts w:ascii="Arial" w:hAnsi="Arial" w:cs="Arial"/>
                <w:bCs/>
                <w:sz w:val="20"/>
              </w:rPr>
              <w:t>DTIc’s</w:t>
            </w:r>
            <w:proofErr w:type="spellEnd"/>
            <w:r w:rsidRPr="00647DF4">
              <w:rPr>
                <w:rFonts w:ascii="Arial" w:hAnsi="Arial" w:cs="Arial"/>
                <w:bCs/>
                <w:sz w:val="20"/>
              </w:rPr>
              <w:t xml:space="preserve"> designated sector requirements.</w:t>
            </w:r>
          </w:p>
        </w:tc>
      </w:tr>
    </w:tbl>
    <w:p w14:paraId="1786B85B" w14:textId="61596C1E" w:rsidR="00546E27" w:rsidRPr="00AE2D82" w:rsidRDefault="006F7826" w:rsidP="00546E27">
      <w:pPr>
        <w:spacing w:before="240" w:after="120" w:line="276" w:lineRule="auto"/>
        <w:rPr>
          <w:rFonts w:ascii="Arial" w:hAnsi="Arial" w:cs="Arial"/>
          <w:b/>
          <w:sz w:val="20"/>
        </w:rPr>
      </w:pPr>
      <w:r w:rsidRPr="00AE2D82">
        <w:rPr>
          <w:rFonts w:ascii="Arial" w:hAnsi="Arial" w:cs="Arial"/>
          <w:b/>
          <w:sz w:val="20"/>
        </w:rPr>
        <w:t>2</w:t>
      </w:r>
      <w:r w:rsidR="00546E27" w:rsidRPr="00AE2D82">
        <w:rPr>
          <w:rFonts w:ascii="Arial" w:hAnsi="Arial" w:cs="Arial"/>
          <w:b/>
          <w:sz w:val="20"/>
        </w:rPr>
        <w:t xml:space="preserve">.2 CIDB Skills </w:t>
      </w:r>
      <w:r w:rsidR="00647DF4" w:rsidRPr="00AE2D82">
        <w:rPr>
          <w:rFonts w:ascii="Arial" w:hAnsi="Arial" w:cs="Arial"/>
          <w:b/>
          <w:sz w:val="20"/>
        </w:rPr>
        <w:t>Development -</w:t>
      </w:r>
      <w:r w:rsidR="009417B3" w:rsidRPr="00AE2D82">
        <w:rPr>
          <w:rFonts w:ascii="Arial" w:hAnsi="Arial" w:cs="Arial"/>
          <w:b/>
          <w:sz w:val="20"/>
        </w:rPr>
        <w:t xml:space="preserve"> Not applicable </w:t>
      </w:r>
    </w:p>
    <w:p w14:paraId="3163EC55" w14:textId="6070D3EF" w:rsidR="00203FB8" w:rsidRPr="00AE2D82" w:rsidRDefault="00203FB8" w:rsidP="00203FB8">
      <w:pPr>
        <w:spacing w:after="200" w:line="276" w:lineRule="auto"/>
        <w:rPr>
          <w:rFonts w:ascii="Arial" w:hAnsi="Arial" w:cs="Arial"/>
          <w:b/>
          <w:bCs/>
          <w:color w:val="000000" w:themeColor="text1"/>
          <w:sz w:val="20"/>
          <w:u w:val="single"/>
          <w:lang w:val="en-GB"/>
        </w:rPr>
      </w:pPr>
      <w:r w:rsidRPr="00AE2D82">
        <w:rPr>
          <w:rFonts w:ascii="Arial" w:hAnsi="Arial" w:cs="Arial"/>
          <w:b/>
          <w:sz w:val="20"/>
        </w:rPr>
        <w:t xml:space="preserve">2.3 </w:t>
      </w:r>
      <w:r w:rsidRPr="00AE2D82">
        <w:rPr>
          <w:rFonts w:ascii="Arial" w:hAnsi="Arial" w:cs="Arial"/>
          <w:b/>
          <w:bCs/>
          <w:color w:val="000000" w:themeColor="text1"/>
          <w:sz w:val="20"/>
          <w:u w:val="single"/>
          <w:lang w:val="en-GB"/>
        </w:rPr>
        <w:t>National Industrial Participation Programme</w:t>
      </w:r>
      <w:r w:rsidR="009417B3" w:rsidRPr="00AE2D82">
        <w:rPr>
          <w:rFonts w:ascii="Arial" w:hAnsi="Arial" w:cs="Arial"/>
          <w:b/>
          <w:bCs/>
          <w:color w:val="000000" w:themeColor="text1"/>
          <w:sz w:val="20"/>
          <w:u w:val="single"/>
          <w:lang w:val="en-GB"/>
        </w:rPr>
        <w:t xml:space="preserve"> – Not applicable </w:t>
      </w:r>
    </w:p>
    <w:p w14:paraId="51A6708B" w14:textId="74813419" w:rsidR="00203FB8" w:rsidRPr="00AE2D82" w:rsidRDefault="00203FB8" w:rsidP="005B5A73">
      <w:pPr>
        <w:spacing w:after="200" w:line="276" w:lineRule="auto"/>
        <w:jc w:val="both"/>
        <w:rPr>
          <w:rFonts w:ascii="Arial" w:hAnsi="Arial" w:cs="Arial"/>
          <w:b/>
          <w:sz w:val="20"/>
          <w:u w:val="single"/>
        </w:rPr>
      </w:pPr>
      <w:r w:rsidRPr="00AE2D82">
        <w:rPr>
          <w:rFonts w:ascii="Arial" w:hAnsi="Arial" w:cs="Arial"/>
          <w:b/>
          <w:sz w:val="20"/>
        </w:rPr>
        <w:t xml:space="preserve">2.4 </w:t>
      </w:r>
      <w:r w:rsidRPr="00AE2D82">
        <w:rPr>
          <w:rFonts w:ascii="Arial" w:hAnsi="Arial" w:cs="Arial"/>
          <w:b/>
          <w:sz w:val="20"/>
          <w:u w:val="single"/>
        </w:rPr>
        <w:t>Mandatory Subcontracting as condition of award</w:t>
      </w:r>
      <w:r w:rsidR="009417B3" w:rsidRPr="00AE2D82">
        <w:rPr>
          <w:rFonts w:ascii="Arial" w:hAnsi="Arial" w:cs="Arial"/>
          <w:b/>
          <w:sz w:val="20"/>
          <w:u w:val="single"/>
        </w:rPr>
        <w:t xml:space="preserve"> – Not applicable </w:t>
      </w:r>
    </w:p>
    <w:p w14:paraId="0484581A" w14:textId="42E0C4D6" w:rsidR="00546E27" w:rsidRPr="00D5417A" w:rsidRDefault="00546E27" w:rsidP="00D5417A">
      <w:pPr>
        <w:pStyle w:val="ListParagraph"/>
        <w:numPr>
          <w:ilvl w:val="0"/>
          <w:numId w:val="47"/>
        </w:numPr>
        <w:spacing w:after="200" w:line="276" w:lineRule="auto"/>
        <w:rPr>
          <w:rFonts w:ascii="Arial" w:hAnsi="Arial" w:cs="Arial"/>
          <w:b/>
          <w:sz w:val="22"/>
        </w:rPr>
      </w:pPr>
      <w:bookmarkStart w:id="1" w:name="_Hlk124873330"/>
      <w:r w:rsidRPr="00D5417A">
        <w:rPr>
          <w:rFonts w:ascii="Arial" w:hAnsi="Arial" w:cs="Arial"/>
          <w:b/>
        </w:rPr>
        <w:t>SDL&amp;I Objectives in line with Reconstruction and Development Programme (RDP) Goals</w:t>
      </w:r>
    </w:p>
    <w:tbl>
      <w:tblPr>
        <w:tblStyle w:val="TableGrid"/>
        <w:tblW w:w="9781" w:type="dxa"/>
        <w:tblInd w:w="-5" w:type="dxa"/>
        <w:tblLook w:val="04A0" w:firstRow="1" w:lastRow="0" w:firstColumn="1" w:lastColumn="0" w:noHBand="0" w:noVBand="1"/>
      </w:tblPr>
      <w:tblGrid>
        <w:gridCol w:w="9781"/>
      </w:tblGrid>
      <w:tr w:rsidR="00546E27" w:rsidRPr="000C5130" w14:paraId="47F124AD" w14:textId="77777777" w:rsidTr="00AE2D82">
        <w:tc>
          <w:tcPr>
            <w:tcW w:w="9781" w:type="dxa"/>
            <w:shd w:val="clear" w:color="auto" w:fill="000000" w:themeFill="text1"/>
          </w:tcPr>
          <w:bookmarkEnd w:id="1"/>
          <w:p w14:paraId="1B4F3000" w14:textId="77777777" w:rsidR="00546E27" w:rsidRPr="000C5130" w:rsidRDefault="00546E27" w:rsidP="00D5417A">
            <w:pPr>
              <w:tabs>
                <w:tab w:val="left" w:pos="720"/>
              </w:tabs>
              <w:spacing w:line="276" w:lineRule="auto"/>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546E27" w:rsidRPr="000C5130" w14:paraId="61CC959F" w14:textId="77777777" w:rsidTr="00AE2D82">
        <w:trPr>
          <w:trHeight w:val="847"/>
        </w:trPr>
        <w:tc>
          <w:tcPr>
            <w:tcW w:w="9781" w:type="dxa"/>
            <w:shd w:val="clear" w:color="auto" w:fill="FFFFFF" w:themeFill="background1"/>
          </w:tcPr>
          <w:p w14:paraId="390CA976" w14:textId="0EBCDCF0" w:rsidR="001D657A" w:rsidRDefault="001D657A" w:rsidP="00D5417A">
            <w:pPr>
              <w:tabs>
                <w:tab w:val="left" w:pos="720"/>
              </w:tabs>
              <w:spacing w:line="276" w:lineRule="auto"/>
              <w:jc w:val="both"/>
              <w:rPr>
                <w:rFonts w:ascii="Arial" w:hAnsi="Arial" w:cs="Arial"/>
                <w:sz w:val="20"/>
              </w:rPr>
            </w:pPr>
          </w:p>
          <w:p w14:paraId="4DC88F46" w14:textId="5E626BB9" w:rsidR="001D657A" w:rsidRPr="00B11F74" w:rsidRDefault="001D657A" w:rsidP="00D5417A">
            <w:pPr>
              <w:tabs>
                <w:tab w:val="left" w:pos="720"/>
              </w:tabs>
              <w:spacing w:line="276" w:lineRule="auto"/>
              <w:jc w:val="both"/>
              <w:rPr>
                <w:rFonts w:ascii="Arial" w:hAnsi="Arial" w:cs="Arial"/>
                <w:sz w:val="20"/>
              </w:rPr>
            </w:pPr>
            <w:r>
              <w:rPr>
                <w:rFonts w:ascii="Arial" w:hAnsi="Arial" w:cs="Arial"/>
                <w:sz w:val="22"/>
              </w:rPr>
              <w:t xml:space="preserve">1. </w:t>
            </w:r>
            <w:r w:rsidRPr="00B11F74">
              <w:rPr>
                <w:rFonts w:ascii="Arial" w:hAnsi="Arial" w:cs="Arial"/>
                <w:b/>
                <w:sz w:val="22"/>
                <w:szCs w:val="22"/>
              </w:rPr>
              <w:t>Transformation – BBBEE Improvement or Retention Plan</w:t>
            </w:r>
          </w:p>
          <w:p w14:paraId="222D6193" w14:textId="77777777" w:rsidR="001D657A" w:rsidRPr="00DD747B" w:rsidRDefault="001D657A" w:rsidP="00D5417A">
            <w:pPr>
              <w:pStyle w:val="ListParagraph"/>
              <w:spacing w:after="200" w:line="276"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42050285" w14:textId="77777777" w:rsidR="001D657A" w:rsidRPr="00DD747B" w:rsidRDefault="001D657A" w:rsidP="00D5417A">
            <w:pPr>
              <w:pStyle w:val="ListParagraph"/>
              <w:spacing w:after="200" w:line="276" w:lineRule="auto"/>
              <w:ind w:left="0"/>
              <w:jc w:val="both"/>
              <w:rPr>
                <w:rFonts w:ascii="Arial" w:hAnsi="Arial" w:cs="Arial"/>
                <w:sz w:val="16"/>
                <w:szCs w:val="16"/>
              </w:rPr>
            </w:pPr>
          </w:p>
          <w:p w14:paraId="553E720B" w14:textId="77777777" w:rsidR="001D657A" w:rsidRPr="00DD747B" w:rsidRDefault="001D657A" w:rsidP="00D5417A">
            <w:pPr>
              <w:pStyle w:val="ListParagraph"/>
              <w:spacing w:after="200" w:line="276" w:lineRule="auto"/>
              <w:ind w:left="0"/>
              <w:jc w:val="both"/>
              <w:rPr>
                <w:rFonts w:ascii="Arial" w:hAnsi="Arial" w:cs="Arial"/>
                <w:sz w:val="20"/>
              </w:rPr>
            </w:pPr>
            <w:r w:rsidRPr="00DD747B">
              <w:rPr>
                <w:rFonts w:ascii="Arial" w:hAnsi="Arial" w:cs="Arial"/>
                <w:sz w:val="20"/>
              </w:rPr>
              <w:lastRenderedPageBreak/>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57AA0602" w14:textId="77777777" w:rsidR="001D657A" w:rsidRPr="00DD747B" w:rsidRDefault="001D657A" w:rsidP="00D5417A">
            <w:pPr>
              <w:pStyle w:val="ListParagraph"/>
              <w:spacing w:after="200" w:line="276" w:lineRule="auto"/>
              <w:ind w:left="0"/>
              <w:jc w:val="both"/>
              <w:rPr>
                <w:rFonts w:ascii="Arial" w:hAnsi="Arial" w:cs="Arial"/>
                <w:sz w:val="16"/>
                <w:szCs w:val="16"/>
              </w:rPr>
            </w:pPr>
          </w:p>
          <w:p w14:paraId="30B557CA" w14:textId="77777777" w:rsidR="001D657A" w:rsidRPr="00DD747B" w:rsidRDefault="001D657A" w:rsidP="00D5417A">
            <w:pPr>
              <w:pStyle w:val="ListParagraph"/>
              <w:spacing w:after="200" w:line="276"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37F5AACA" w14:textId="77777777" w:rsidR="001D657A" w:rsidRPr="00DD747B" w:rsidRDefault="001D657A" w:rsidP="00D5417A">
            <w:pPr>
              <w:pStyle w:val="ListParagraph"/>
              <w:spacing w:after="200" w:line="276" w:lineRule="auto"/>
              <w:ind w:left="0"/>
              <w:jc w:val="both"/>
              <w:rPr>
                <w:rFonts w:ascii="Arial" w:hAnsi="Arial" w:cs="Arial"/>
                <w:sz w:val="16"/>
                <w:szCs w:val="16"/>
              </w:rPr>
            </w:pPr>
          </w:p>
          <w:p w14:paraId="66A5C905" w14:textId="77777777" w:rsidR="001D657A" w:rsidRPr="00DD747B" w:rsidRDefault="001D657A" w:rsidP="00D5417A">
            <w:pPr>
              <w:pStyle w:val="ListParagraph"/>
              <w:spacing w:after="200" w:line="276"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011DA328" w14:textId="77777777" w:rsidR="001D657A" w:rsidRPr="00DD747B" w:rsidRDefault="001D657A" w:rsidP="00D5417A">
            <w:pPr>
              <w:pStyle w:val="ListParagraph"/>
              <w:spacing w:after="200" w:line="276" w:lineRule="auto"/>
              <w:ind w:left="0"/>
              <w:jc w:val="both"/>
              <w:rPr>
                <w:rFonts w:ascii="Arial" w:hAnsi="Arial" w:cs="Arial"/>
                <w:sz w:val="16"/>
                <w:szCs w:val="16"/>
              </w:rPr>
            </w:pPr>
          </w:p>
          <w:p w14:paraId="6908DCF1" w14:textId="77777777" w:rsidR="001D657A" w:rsidRPr="00DD747B" w:rsidRDefault="001D657A" w:rsidP="00D5417A">
            <w:pPr>
              <w:pStyle w:val="ListParagraph"/>
              <w:spacing w:after="200" w:line="276" w:lineRule="auto"/>
              <w:ind w:left="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1410F839" w14:textId="77777777" w:rsidR="001D657A" w:rsidRPr="00DD747B" w:rsidRDefault="001D657A" w:rsidP="00D5417A">
            <w:pPr>
              <w:spacing w:line="276" w:lineRule="auto"/>
              <w:jc w:val="both"/>
              <w:rPr>
                <w:sz w:val="20"/>
                <w:lang w:eastAsia="en-ZA"/>
              </w:rPr>
            </w:pPr>
            <w:r w:rsidRPr="00DD747B">
              <w:rPr>
                <w:rFonts w:ascii="Arial" w:hAnsi="Arial" w:cs="Arial"/>
                <w:b/>
                <w:bCs/>
                <w:sz w:val="20"/>
              </w:rPr>
              <w:t xml:space="preserve">NB: </w:t>
            </w:r>
            <w:r w:rsidRPr="00DD747B">
              <w:rPr>
                <w:rFonts w:ascii="Arial" w:hAnsi="Arial" w:cs="Arial"/>
                <w:sz w:val="20"/>
              </w:rPr>
              <w:t xml:space="preserve">A valid B-BBEE certificate or Sworn Affidavit is a condition for contract </w:t>
            </w:r>
            <w:proofErr w:type="gramStart"/>
            <w:r w:rsidRPr="00DD747B">
              <w:rPr>
                <w:rFonts w:ascii="Arial" w:hAnsi="Arial" w:cs="Arial"/>
                <w:sz w:val="20"/>
              </w:rPr>
              <w:t>award, if</w:t>
            </w:r>
            <w:proofErr w:type="gramEnd"/>
            <w:r w:rsidRPr="00DD747B">
              <w:rPr>
                <w:rFonts w:ascii="Arial" w:hAnsi="Arial" w:cs="Arial"/>
                <w:sz w:val="20"/>
              </w:rPr>
              <w:t xml:space="preserve">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Enterprise therefore you can submit Sworn Affidavit. If your annual Total Revenue is R50 Million or less, you qualify as Qualifying Small Enterprise and must comply with all of the elements of QSE score card relevant to your sector unless an entity is at least 51% Black owned you are required to obtain a Sworn affidavit. If your Annual Total Revenue is above R50m you need to submit a Valid B-BBEE certificate</w:t>
            </w:r>
          </w:p>
          <w:p w14:paraId="17C717EB" w14:textId="77777777" w:rsidR="00546E27" w:rsidRPr="00CF781D" w:rsidRDefault="00546E27" w:rsidP="00D5417A">
            <w:pPr>
              <w:tabs>
                <w:tab w:val="left" w:pos="720"/>
              </w:tabs>
              <w:spacing w:line="276" w:lineRule="auto"/>
              <w:ind w:left="360"/>
              <w:jc w:val="both"/>
              <w:rPr>
                <w:rFonts w:ascii="Arial" w:hAnsi="Arial" w:cs="Arial"/>
                <w:b/>
                <w:sz w:val="20"/>
              </w:rPr>
            </w:pPr>
          </w:p>
          <w:p w14:paraId="4BED403A" w14:textId="68A9369B" w:rsidR="00546E27" w:rsidRPr="001D657A" w:rsidRDefault="00546E27" w:rsidP="00D5417A">
            <w:pPr>
              <w:pStyle w:val="ListParagraph"/>
              <w:numPr>
                <w:ilvl w:val="0"/>
                <w:numId w:val="46"/>
              </w:numPr>
              <w:tabs>
                <w:tab w:val="left" w:pos="720"/>
              </w:tabs>
              <w:spacing w:line="276" w:lineRule="auto"/>
              <w:jc w:val="both"/>
              <w:rPr>
                <w:rFonts w:ascii="Arial" w:hAnsi="Arial" w:cs="Arial"/>
                <w:b/>
                <w:sz w:val="20"/>
                <w:u w:val="single"/>
                <w:lang w:val="en-ZA"/>
              </w:rPr>
            </w:pPr>
            <w:r w:rsidRPr="001D657A">
              <w:rPr>
                <w:rFonts w:ascii="Arial" w:hAnsi="Arial" w:cs="Arial"/>
                <w:b/>
                <w:sz w:val="20"/>
                <w:u w:val="single"/>
                <w:lang w:val="en-ZA"/>
              </w:rPr>
              <w:t xml:space="preserve">Local Procurement Content </w:t>
            </w:r>
          </w:p>
          <w:p w14:paraId="67C5D134" w14:textId="77777777" w:rsidR="00546E27" w:rsidRDefault="00546E27" w:rsidP="00D5417A">
            <w:pPr>
              <w:tabs>
                <w:tab w:val="left" w:pos="720"/>
              </w:tabs>
              <w:spacing w:line="276"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D5417A">
            <w:pPr>
              <w:tabs>
                <w:tab w:val="left" w:pos="720"/>
              </w:tabs>
              <w:spacing w:line="276"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D5417A">
            <w:pPr>
              <w:tabs>
                <w:tab w:val="left" w:pos="720"/>
              </w:tabs>
              <w:spacing w:line="276"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D5417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D5417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D5417A">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D5417A">
                  <w:pPr>
                    <w:spacing w:line="276" w:lineRule="auto"/>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D5417A">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D5417A">
                  <w:pPr>
                    <w:spacing w:line="276" w:lineRule="auto"/>
                    <w:jc w:val="both"/>
                    <w:rPr>
                      <w:rFonts w:ascii="Arial" w:hAnsi="Arial" w:cs="Arial"/>
                      <w:sz w:val="20"/>
                    </w:rPr>
                  </w:pPr>
                </w:p>
              </w:tc>
            </w:tr>
          </w:tbl>
          <w:p w14:paraId="352790AE" w14:textId="28109A5C" w:rsidR="00546E27" w:rsidRDefault="00546E27" w:rsidP="00D5417A">
            <w:pPr>
              <w:tabs>
                <w:tab w:val="left" w:pos="720"/>
              </w:tabs>
              <w:spacing w:line="276" w:lineRule="auto"/>
              <w:ind w:left="360"/>
              <w:jc w:val="both"/>
              <w:rPr>
                <w:rFonts w:ascii="Arial" w:hAnsi="Arial" w:cs="Arial"/>
                <w:b/>
                <w:sz w:val="20"/>
                <w:lang w:val="en-ZA"/>
              </w:rPr>
            </w:pPr>
          </w:p>
          <w:p w14:paraId="49E622AD" w14:textId="55F95411" w:rsidR="00546E27" w:rsidRPr="001D657A" w:rsidRDefault="00522B04" w:rsidP="00CF40A6">
            <w:pPr>
              <w:pStyle w:val="ListParagraph"/>
              <w:numPr>
                <w:ilvl w:val="0"/>
                <w:numId w:val="46"/>
              </w:numPr>
              <w:tabs>
                <w:tab w:val="left" w:pos="720"/>
              </w:tabs>
              <w:spacing w:line="276" w:lineRule="auto"/>
              <w:jc w:val="both"/>
              <w:rPr>
                <w:rFonts w:ascii="Arial" w:hAnsi="Arial" w:cs="Arial"/>
                <w:b/>
                <w:sz w:val="20"/>
                <w:lang w:val="en-ZA"/>
              </w:rPr>
            </w:pPr>
            <w:r w:rsidRPr="001D657A">
              <w:rPr>
                <w:rFonts w:ascii="Arial" w:hAnsi="Arial" w:cs="Arial"/>
                <w:b/>
                <w:sz w:val="20"/>
                <w:lang w:val="en-ZA"/>
              </w:rPr>
              <w:t>Procurement spend on</w:t>
            </w:r>
            <w:r w:rsidR="00546E27" w:rsidRPr="001D657A">
              <w:rPr>
                <w:rFonts w:ascii="Arial" w:hAnsi="Arial" w:cs="Arial"/>
                <w:b/>
                <w:sz w:val="20"/>
              </w:rPr>
              <w:t xml:space="preserve"> entities with a minimum 51% black ownership</w:t>
            </w:r>
          </w:p>
          <w:p w14:paraId="1CCD1AEB" w14:textId="6FFBC856" w:rsidR="00546E27" w:rsidRPr="00A500C7" w:rsidRDefault="00546E27" w:rsidP="00CF40A6">
            <w:pPr>
              <w:spacing w:after="200" w:line="276" w:lineRule="auto"/>
              <w:ind w:left="360"/>
              <w:jc w:val="both"/>
              <w:rPr>
                <w:rFonts w:ascii="Arial" w:hAnsi="Arial" w:cs="Arial"/>
                <w:sz w:val="20"/>
                <w:lang w:val="en-ZA"/>
              </w:rPr>
            </w:pPr>
            <w:r w:rsidRPr="00A500C7">
              <w:rPr>
                <w:rFonts w:ascii="Arial" w:hAnsi="Arial" w:cs="Arial"/>
                <w:sz w:val="20"/>
                <w:lang w:val="en-ZA"/>
              </w:rPr>
              <w:t>T</w:t>
            </w:r>
            <w:r w:rsidR="00522B04">
              <w:rPr>
                <w:rFonts w:ascii="Arial" w:hAnsi="Arial" w:cs="Arial"/>
                <w:sz w:val="20"/>
                <w:lang w:val="en-ZA"/>
              </w:rPr>
              <w:t xml:space="preserve">he winning tenderer is encouraged </w:t>
            </w:r>
            <w:r w:rsidR="005B5A73">
              <w:rPr>
                <w:rFonts w:ascii="Arial" w:hAnsi="Arial" w:cs="Arial"/>
                <w:sz w:val="20"/>
                <w:lang w:val="en-ZA"/>
              </w:rPr>
              <w:t xml:space="preserve">to </w:t>
            </w:r>
            <w:r w:rsidRPr="00A500C7">
              <w:rPr>
                <w:rFonts w:ascii="Arial" w:hAnsi="Arial" w:cs="Arial"/>
                <w:sz w:val="20"/>
                <w:lang w:val="en-ZA"/>
              </w:rPr>
              <w:t>procure</w:t>
            </w:r>
            <w:r w:rsidR="005B5A73">
              <w:rPr>
                <w:rFonts w:ascii="Arial" w:hAnsi="Arial" w:cs="Arial"/>
                <w:sz w:val="20"/>
                <w:lang w:val="en-ZA"/>
              </w:rPr>
              <w:t>/</w:t>
            </w:r>
            <w:r w:rsidRPr="00A500C7">
              <w:rPr>
                <w:rFonts w:ascii="Arial" w:hAnsi="Arial" w:cs="Arial"/>
                <w:sz w:val="20"/>
                <w:lang w:val="en-ZA"/>
              </w:rPr>
              <w:t xml:space="preserve">spend </w:t>
            </w:r>
            <w:r w:rsidR="005B5A73">
              <w:rPr>
                <w:rFonts w:ascii="Arial" w:hAnsi="Arial" w:cs="Arial"/>
                <w:sz w:val="20"/>
                <w:lang w:val="en-ZA"/>
              </w:rPr>
              <w:t xml:space="preserve">on </w:t>
            </w:r>
            <w:r w:rsidRPr="00A500C7">
              <w:rPr>
                <w:rFonts w:ascii="Arial" w:hAnsi="Arial" w:cs="Arial"/>
                <w:sz w:val="20"/>
                <w:lang w:val="en-ZA"/>
              </w:rPr>
              <w:t>designated groups</w:t>
            </w:r>
            <w:r w:rsidR="005B5A73">
              <w:rPr>
                <w:rFonts w:ascii="Arial" w:hAnsi="Arial" w:cs="Arial"/>
                <w:sz w:val="20"/>
                <w:lang w:val="en-ZA"/>
              </w:rPr>
              <w:t xml:space="preserve"> on the following</w:t>
            </w:r>
            <w:r w:rsidRPr="00A500C7">
              <w:rPr>
                <w:rFonts w:ascii="Arial" w:hAnsi="Arial" w:cs="Arial"/>
                <w:sz w:val="20"/>
                <w:lang w:val="en-ZA"/>
              </w:rPr>
              <w:t xml:space="preserve"> paid invoices for both</w:t>
            </w:r>
            <w:r w:rsidR="005B5A73">
              <w:rPr>
                <w:rFonts w:ascii="Arial" w:hAnsi="Arial" w:cs="Arial"/>
                <w:sz w:val="20"/>
                <w:lang w:val="en-ZA"/>
              </w:rPr>
              <w:t>:</w:t>
            </w:r>
          </w:p>
          <w:p w14:paraId="038E7B92" w14:textId="77777777" w:rsidR="00546E27" w:rsidRPr="00A500C7" w:rsidRDefault="00546E27" w:rsidP="00CF40A6">
            <w:pPr>
              <w:spacing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(e.g.</w:t>
            </w:r>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0C274D7C" w14:textId="77777777" w:rsidR="00546E27" w:rsidRPr="00A500C7" w:rsidRDefault="00546E27" w:rsidP="00CF40A6">
            <w:pPr>
              <w:spacing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778EBB2" w14:textId="77777777" w:rsidR="005B5A73" w:rsidRDefault="005B5A73" w:rsidP="00CF40A6">
            <w:pPr>
              <w:tabs>
                <w:tab w:val="left" w:pos="720"/>
              </w:tabs>
              <w:spacing w:line="276" w:lineRule="auto"/>
              <w:ind w:left="360"/>
              <w:jc w:val="both"/>
              <w:rPr>
                <w:rFonts w:ascii="Arial" w:hAnsi="Arial" w:cs="Arial"/>
                <w:sz w:val="20"/>
                <w:lang w:val="en-ZA"/>
              </w:rPr>
            </w:pPr>
          </w:p>
          <w:p w14:paraId="5AD43F6C" w14:textId="50AF7DC6" w:rsidR="00546E27" w:rsidRDefault="00546E27" w:rsidP="00CF40A6">
            <w:pPr>
              <w:tabs>
                <w:tab w:val="left" w:pos="720"/>
              </w:tabs>
              <w:spacing w:line="276"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1B9206FA" w14:textId="77777777" w:rsidR="00546E27" w:rsidRDefault="00546E27" w:rsidP="00D5417A">
            <w:pPr>
              <w:tabs>
                <w:tab w:val="left" w:pos="720"/>
              </w:tabs>
              <w:spacing w:line="276"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546E27" w:rsidRPr="000C5130" w14:paraId="77DFB4AD" w14:textId="77777777" w:rsidTr="00065BFD">
              <w:trPr>
                <w:trHeight w:val="364"/>
              </w:trPr>
              <w:tc>
                <w:tcPr>
                  <w:tcW w:w="3291" w:type="dxa"/>
                  <w:shd w:val="clear" w:color="auto" w:fill="D9D9D9" w:themeFill="background1" w:themeFillShade="D9"/>
                </w:tcPr>
                <w:p w14:paraId="4C225825" w14:textId="028B7E61" w:rsidR="00546E27" w:rsidRPr="000C5130" w:rsidRDefault="00522B04" w:rsidP="00D5417A">
                  <w:pPr>
                    <w:tabs>
                      <w:tab w:val="left" w:pos="720"/>
                    </w:tabs>
                    <w:spacing w:line="276" w:lineRule="auto"/>
                    <w:jc w:val="both"/>
                    <w:rPr>
                      <w:rFonts w:ascii="Arial" w:hAnsi="Arial" w:cs="Arial"/>
                      <w:b/>
                      <w:sz w:val="20"/>
                    </w:rPr>
                  </w:pPr>
                  <w:r>
                    <w:rPr>
                      <w:rFonts w:ascii="Arial" w:hAnsi="Arial" w:cs="Arial"/>
                      <w:b/>
                      <w:sz w:val="20"/>
                    </w:rPr>
                    <w:t xml:space="preserve">Procurement from </w:t>
                  </w:r>
                  <w:r w:rsidR="00546E27">
                    <w:rPr>
                      <w:rFonts w:ascii="Arial" w:hAnsi="Arial" w:cs="Arial"/>
                      <w:b/>
                      <w:sz w:val="20"/>
                    </w:rPr>
                    <w:t>Designated Group</w:t>
                  </w:r>
                </w:p>
              </w:tc>
              <w:tc>
                <w:tcPr>
                  <w:tcW w:w="2119" w:type="dxa"/>
                  <w:shd w:val="clear" w:color="auto" w:fill="D9D9D9" w:themeFill="background1" w:themeFillShade="D9"/>
                </w:tcPr>
                <w:p w14:paraId="5C9C6D8A" w14:textId="77777777" w:rsidR="00546E27" w:rsidRPr="000C5130" w:rsidRDefault="00546E27" w:rsidP="00D5417A">
                  <w:pPr>
                    <w:tabs>
                      <w:tab w:val="left" w:pos="720"/>
                    </w:tabs>
                    <w:spacing w:line="276" w:lineRule="auto"/>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2328C3" w14:textId="77777777" w:rsidR="00546E27" w:rsidRPr="000C5130" w:rsidRDefault="00546E27" w:rsidP="00D5417A">
                  <w:pPr>
                    <w:tabs>
                      <w:tab w:val="left" w:pos="720"/>
                    </w:tabs>
                    <w:spacing w:line="276" w:lineRule="auto"/>
                    <w:jc w:val="center"/>
                    <w:rPr>
                      <w:rFonts w:ascii="Arial" w:hAnsi="Arial" w:cs="Arial"/>
                      <w:b/>
                      <w:sz w:val="20"/>
                    </w:rPr>
                  </w:pPr>
                  <w:r w:rsidRPr="000C5130">
                    <w:rPr>
                      <w:rFonts w:ascii="Arial" w:hAnsi="Arial" w:cs="Arial"/>
                      <w:b/>
                      <w:sz w:val="20"/>
                    </w:rPr>
                    <w:t>Tenderer Proposal</w:t>
                  </w:r>
                </w:p>
              </w:tc>
            </w:tr>
            <w:tr w:rsidR="00546E27" w:rsidRPr="000C5130" w14:paraId="62C09017" w14:textId="77777777" w:rsidTr="00065BFD">
              <w:trPr>
                <w:trHeight w:val="427"/>
              </w:trPr>
              <w:tc>
                <w:tcPr>
                  <w:tcW w:w="3291" w:type="dxa"/>
                  <w:shd w:val="clear" w:color="auto" w:fill="auto"/>
                </w:tcPr>
                <w:p w14:paraId="5C234A28" w14:textId="77777777" w:rsidR="00546E27" w:rsidRPr="000C5130" w:rsidRDefault="00546E27" w:rsidP="00D5417A">
                  <w:pPr>
                    <w:tabs>
                      <w:tab w:val="left" w:pos="720"/>
                    </w:tabs>
                    <w:spacing w:line="276" w:lineRule="auto"/>
                    <w:jc w:val="both"/>
                    <w:rPr>
                      <w:rFonts w:ascii="Arial" w:hAnsi="Arial" w:cs="Arial"/>
                      <w:sz w:val="20"/>
                    </w:rPr>
                  </w:pPr>
                  <w:r>
                    <w:rPr>
                      <w:rFonts w:ascii="Arial" w:hAnsi="Arial" w:cs="Arial"/>
                      <w:sz w:val="20"/>
                    </w:rPr>
                    <w:t xml:space="preserve">Black Owned </w:t>
                  </w:r>
                </w:p>
              </w:tc>
              <w:tc>
                <w:tcPr>
                  <w:tcW w:w="2119" w:type="dxa"/>
                  <w:shd w:val="clear" w:color="auto" w:fill="auto"/>
                </w:tcPr>
                <w:p w14:paraId="50E0BD5E" w14:textId="77777777" w:rsidR="00546E27" w:rsidRPr="000C5130" w:rsidRDefault="00546E27" w:rsidP="00D5417A">
                  <w:pPr>
                    <w:tabs>
                      <w:tab w:val="left" w:pos="720"/>
                    </w:tabs>
                    <w:spacing w:line="276" w:lineRule="auto"/>
                    <w:jc w:val="center"/>
                    <w:rPr>
                      <w:rFonts w:ascii="Arial" w:hAnsi="Arial" w:cs="Arial"/>
                      <w:sz w:val="20"/>
                    </w:rPr>
                  </w:pPr>
                  <w:r>
                    <w:rPr>
                      <w:rFonts w:ascii="Arial" w:hAnsi="Arial" w:cs="Arial"/>
                      <w:sz w:val="20"/>
                    </w:rPr>
                    <w:t>4.0%</w:t>
                  </w:r>
                </w:p>
              </w:tc>
              <w:tc>
                <w:tcPr>
                  <w:tcW w:w="2120" w:type="dxa"/>
                  <w:shd w:val="clear" w:color="auto" w:fill="auto"/>
                </w:tcPr>
                <w:p w14:paraId="58CD9B02" w14:textId="77777777" w:rsidR="00546E27" w:rsidRPr="000C5130" w:rsidRDefault="00546E27" w:rsidP="00D5417A">
                  <w:pPr>
                    <w:tabs>
                      <w:tab w:val="left" w:pos="720"/>
                    </w:tabs>
                    <w:spacing w:line="276" w:lineRule="auto"/>
                    <w:jc w:val="both"/>
                    <w:rPr>
                      <w:rFonts w:ascii="Arial" w:hAnsi="Arial" w:cs="Arial"/>
                      <w:sz w:val="20"/>
                    </w:rPr>
                  </w:pPr>
                </w:p>
              </w:tc>
            </w:tr>
            <w:tr w:rsidR="00546E27" w:rsidRPr="000C5130" w14:paraId="6BCB71D9" w14:textId="77777777" w:rsidTr="00065BFD">
              <w:trPr>
                <w:trHeight w:val="427"/>
              </w:trPr>
              <w:tc>
                <w:tcPr>
                  <w:tcW w:w="3291" w:type="dxa"/>
                  <w:shd w:val="clear" w:color="auto" w:fill="auto"/>
                </w:tcPr>
                <w:p w14:paraId="10649F92" w14:textId="77777777" w:rsidR="00546E27" w:rsidRDefault="00546E27" w:rsidP="00D5417A">
                  <w:pPr>
                    <w:tabs>
                      <w:tab w:val="left" w:pos="720"/>
                    </w:tabs>
                    <w:spacing w:line="276" w:lineRule="auto"/>
                    <w:jc w:val="both"/>
                    <w:rPr>
                      <w:rFonts w:ascii="Arial" w:hAnsi="Arial" w:cs="Arial"/>
                      <w:sz w:val="20"/>
                    </w:rPr>
                  </w:pPr>
                  <w:r>
                    <w:rPr>
                      <w:rFonts w:ascii="Arial" w:hAnsi="Arial" w:cs="Arial"/>
                      <w:sz w:val="20"/>
                    </w:rPr>
                    <w:lastRenderedPageBreak/>
                    <w:t>Black Women Owned</w:t>
                  </w:r>
                </w:p>
              </w:tc>
              <w:tc>
                <w:tcPr>
                  <w:tcW w:w="2119" w:type="dxa"/>
                  <w:shd w:val="clear" w:color="auto" w:fill="auto"/>
                </w:tcPr>
                <w:p w14:paraId="7F4A5603" w14:textId="77777777" w:rsidR="00546E27" w:rsidRPr="000C5130" w:rsidRDefault="00546E27" w:rsidP="00D5417A">
                  <w:pPr>
                    <w:tabs>
                      <w:tab w:val="left" w:pos="720"/>
                    </w:tabs>
                    <w:spacing w:line="276" w:lineRule="auto"/>
                    <w:jc w:val="center"/>
                    <w:rPr>
                      <w:rFonts w:ascii="Arial" w:hAnsi="Arial" w:cs="Arial"/>
                      <w:sz w:val="20"/>
                    </w:rPr>
                  </w:pPr>
                  <w:r>
                    <w:rPr>
                      <w:rFonts w:ascii="Arial" w:hAnsi="Arial" w:cs="Arial"/>
                      <w:sz w:val="20"/>
                    </w:rPr>
                    <w:t>3.0%</w:t>
                  </w:r>
                </w:p>
              </w:tc>
              <w:tc>
                <w:tcPr>
                  <w:tcW w:w="2120" w:type="dxa"/>
                  <w:shd w:val="clear" w:color="auto" w:fill="auto"/>
                </w:tcPr>
                <w:p w14:paraId="61D2B736" w14:textId="77777777" w:rsidR="00546E27" w:rsidRPr="000C5130" w:rsidRDefault="00546E27" w:rsidP="00D5417A">
                  <w:pPr>
                    <w:tabs>
                      <w:tab w:val="left" w:pos="720"/>
                    </w:tabs>
                    <w:spacing w:line="276" w:lineRule="auto"/>
                    <w:jc w:val="both"/>
                    <w:rPr>
                      <w:rFonts w:ascii="Arial" w:hAnsi="Arial" w:cs="Arial"/>
                      <w:sz w:val="20"/>
                    </w:rPr>
                  </w:pPr>
                </w:p>
              </w:tc>
            </w:tr>
            <w:tr w:rsidR="00546E27" w:rsidRPr="000C5130" w14:paraId="74F7336F" w14:textId="77777777" w:rsidTr="00065BFD">
              <w:trPr>
                <w:trHeight w:val="427"/>
              </w:trPr>
              <w:tc>
                <w:tcPr>
                  <w:tcW w:w="3291" w:type="dxa"/>
                  <w:shd w:val="clear" w:color="auto" w:fill="auto"/>
                </w:tcPr>
                <w:p w14:paraId="76DB8CDC" w14:textId="77777777" w:rsidR="00546E27" w:rsidRDefault="00546E27" w:rsidP="00D5417A">
                  <w:pPr>
                    <w:tabs>
                      <w:tab w:val="left" w:pos="720"/>
                    </w:tabs>
                    <w:spacing w:line="276" w:lineRule="auto"/>
                    <w:jc w:val="both"/>
                    <w:rPr>
                      <w:rFonts w:ascii="Arial" w:hAnsi="Arial" w:cs="Arial"/>
                      <w:sz w:val="20"/>
                    </w:rPr>
                  </w:pPr>
                  <w:r>
                    <w:rPr>
                      <w:rFonts w:ascii="Arial" w:hAnsi="Arial" w:cs="Arial"/>
                      <w:sz w:val="20"/>
                    </w:rPr>
                    <w:t>Black Youth Owned</w:t>
                  </w:r>
                </w:p>
              </w:tc>
              <w:tc>
                <w:tcPr>
                  <w:tcW w:w="2119" w:type="dxa"/>
                  <w:shd w:val="clear" w:color="auto" w:fill="auto"/>
                </w:tcPr>
                <w:p w14:paraId="5FB7DE03" w14:textId="77777777" w:rsidR="00546E27" w:rsidRPr="000C5130" w:rsidRDefault="00546E27" w:rsidP="00D5417A">
                  <w:pPr>
                    <w:tabs>
                      <w:tab w:val="left" w:pos="720"/>
                    </w:tabs>
                    <w:spacing w:line="276" w:lineRule="auto"/>
                    <w:jc w:val="center"/>
                    <w:rPr>
                      <w:rFonts w:ascii="Arial" w:hAnsi="Arial" w:cs="Arial"/>
                      <w:sz w:val="20"/>
                    </w:rPr>
                  </w:pPr>
                  <w:r>
                    <w:rPr>
                      <w:rFonts w:ascii="Arial" w:hAnsi="Arial" w:cs="Arial"/>
                      <w:sz w:val="20"/>
                    </w:rPr>
                    <w:t>2.0%</w:t>
                  </w:r>
                </w:p>
              </w:tc>
              <w:tc>
                <w:tcPr>
                  <w:tcW w:w="2120" w:type="dxa"/>
                  <w:shd w:val="clear" w:color="auto" w:fill="auto"/>
                </w:tcPr>
                <w:p w14:paraId="2BCD104D" w14:textId="77777777" w:rsidR="00546E27" w:rsidRPr="000C5130" w:rsidRDefault="00546E27" w:rsidP="00D5417A">
                  <w:pPr>
                    <w:tabs>
                      <w:tab w:val="left" w:pos="720"/>
                    </w:tabs>
                    <w:spacing w:line="276" w:lineRule="auto"/>
                    <w:jc w:val="both"/>
                    <w:rPr>
                      <w:rFonts w:ascii="Arial" w:hAnsi="Arial" w:cs="Arial"/>
                      <w:sz w:val="20"/>
                    </w:rPr>
                  </w:pPr>
                </w:p>
              </w:tc>
            </w:tr>
            <w:tr w:rsidR="00546E27" w:rsidRPr="000C5130" w14:paraId="4320808E" w14:textId="77777777" w:rsidTr="00065BFD">
              <w:trPr>
                <w:trHeight w:val="427"/>
              </w:trPr>
              <w:tc>
                <w:tcPr>
                  <w:tcW w:w="3291" w:type="dxa"/>
                  <w:shd w:val="clear" w:color="auto" w:fill="auto"/>
                </w:tcPr>
                <w:p w14:paraId="4A7D24E1" w14:textId="77777777" w:rsidR="00546E27" w:rsidRDefault="00546E27" w:rsidP="00D5417A">
                  <w:pPr>
                    <w:tabs>
                      <w:tab w:val="left" w:pos="720"/>
                    </w:tabs>
                    <w:spacing w:line="276" w:lineRule="auto"/>
                    <w:jc w:val="both"/>
                    <w:rPr>
                      <w:rFonts w:ascii="Arial" w:hAnsi="Arial" w:cs="Arial"/>
                      <w:sz w:val="20"/>
                    </w:rPr>
                  </w:pPr>
                  <w:r>
                    <w:rPr>
                      <w:rFonts w:ascii="Arial" w:hAnsi="Arial" w:cs="Arial"/>
                      <w:sz w:val="20"/>
                    </w:rPr>
                    <w:t>Black Persons with Disability</w:t>
                  </w:r>
                </w:p>
              </w:tc>
              <w:tc>
                <w:tcPr>
                  <w:tcW w:w="2119" w:type="dxa"/>
                  <w:shd w:val="clear" w:color="auto" w:fill="auto"/>
                </w:tcPr>
                <w:p w14:paraId="3DFCB9CF" w14:textId="77777777" w:rsidR="00546E27" w:rsidRPr="000C5130" w:rsidRDefault="00546E27" w:rsidP="00D5417A">
                  <w:pPr>
                    <w:tabs>
                      <w:tab w:val="left" w:pos="720"/>
                    </w:tabs>
                    <w:spacing w:line="276" w:lineRule="auto"/>
                    <w:jc w:val="center"/>
                    <w:rPr>
                      <w:rFonts w:ascii="Arial" w:hAnsi="Arial" w:cs="Arial"/>
                      <w:sz w:val="20"/>
                    </w:rPr>
                  </w:pPr>
                  <w:r>
                    <w:rPr>
                      <w:rFonts w:ascii="Arial" w:hAnsi="Arial" w:cs="Arial"/>
                      <w:sz w:val="20"/>
                    </w:rPr>
                    <w:t>1.0%</w:t>
                  </w:r>
                </w:p>
              </w:tc>
              <w:tc>
                <w:tcPr>
                  <w:tcW w:w="2120" w:type="dxa"/>
                  <w:shd w:val="clear" w:color="auto" w:fill="auto"/>
                </w:tcPr>
                <w:p w14:paraId="23710D86" w14:textId="77777777" w:rsidR="00546E27" w:rsidRPr="000C5130" w:rsidRDefault="00546E27" w:rsidP="00D5417A">
                  <w:pPr>
                    <w:tabs>
                      <w:tab w:val="left" w:pos="720"/>
                    </w:tabs>
                    <w:spacing w:line="276" w:lineRule="auto"/>
                    <w:jc w:val="both"/>
                    <w:rPr>
                      <w:rFonts w:ascii="Arial" w:hAnsi="Arial" w:cs="Arial"/>
                      <w:sz w:val="20"/>
                    </w:rPr>
                  </w:pPr>
                </w:p>
              </w:tc>
            </w:tr>
          </w:tbl>
          <w:p w14:paraId="50F0AE3D" w14:textId="77777777" w:rsidR="00546E27" w:rsidRPr="00861BE0" w:rsidRDefault="00546E27" w:rsidP="00D5417A">
            <w:pPr>
              <w:tabs>
                <w:tab w:val="left" w:pos="720"/>
              </w:tabs>
              <w:spacing w:line="276" w:lineRule="auto"/>
              <w:jc w:val="both"/>
              <w:rPr>
                <w:rFonts w:ascii="Arial" w:hAnsi="Arial" w:cs="Arial"/>
                <w:sz w:val="20"/>
                <w:lang w:val="en-ZA"/>
              </w:rPr>
            </w:pPr>
          </w:p>
          <w:p w14:paraId="3C592E28" w14:textId="0DADEDAE" w:rsidR="00546E27" w:rsidRPr="00D5417A" w:rsidRDefault="00546E27" w:rsidP="00D5417A">
            <w:pPr>
              <w:pStyle w:val="ListParagraph"/>
              <w:numPr>
                <w:ilvl w:val="0"/>
                <w:numId w:val="46"/>
              </w:numPr>
              <w:tabs>
                <w:tab w:val="left" w:pos="720"/>
              </w:tabs>
              <w:spacing w:line="276" w:lineRule="auto"/>
              <w:jc w:val="both"/>
              <w:rPr>
                <w:rFonts w:ascii="Arial" w:hAnsi="Arial" w:cs="Arial"/>
                <w:b/>
                <w:sz w:val="20"/>
                <w:lang w:val="en-ZA"/>
              </w:rPr>
            </w:pPr>
            <w:r w:rsidRPr="001D657A">
              <w:rPr>
                <w:rFonts w:ascii="Arial" w:hAnsi="Arial" w:cs="Arial"/>
                <w:b/>
                <w:sz w:val="20"/>
                <w:lang w:val="en-ZA"/>
              </w:rPr>
              <w:t>Jobs.</w:t>
            </w:r>
            <w:r w:rsidRPr="001D657A">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6483DAE4" w14:textId="77777777" w:rsidR="00D5417A" w:rsidRPr="001D657A" w:rsidRDefault="00D5417A" w:rsidP="00D5417A">
            <w:pPr>
              <w:pStyle w:val="ListParagraph"/>
              <w:tabs>
                <w:tab w:val="left" w:pos="720"/>
              </w:tabs>
              <w:spacing w:line="276" w:lineRule="auto"/>
              <w:jc w:val="both"/>
              <w:rPr>
                <w:rFonts w:ascii="Arial" w:hAnsi="Arial" w:cs="Arial"/>
                <w:b/>
                <w:sz w:val="20"/>
                <w:lang w:val="en-ZA"/>
              </w:rPr>
            </w:pPr>
          </w:p>
          <w:p w14:paraId="444C7FC2" w14:textId="77777777" w:rsidR="00546E27" w:rsidRPr="00FA31B2" w:rsidRDefault="00546E27" w:rsidP="00D5417A">
            <w:pPr>
              <w:tabs>
                <w:tab w:val="left" w:pos="720"/>
              </w:tabs>
              <w:spacing w:line="276" w:lineRule="auto"/>
              <w:ind w:left="360"/>
              <w:jc w:val="both"/>
              <w:rPr>
                <w:rFonts w:ascii="Arial" w:hAnsi="Arial" w:cs="Arial"/>
                <w:b/>
                <w:sz w:val="20"/>
                <w:lang w:val="en-ZA"/>
              </w:rPr>
            </w:pPr>
          </w:p>
          <w:tbl>
            <w:tblPr>
              <w:tblpPr w:leftFromText="180" w:rightFromText="180" w:vertAnchor="text" w:horzAnchor="page" w:tblpX="611"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D5417A" w:rsidRPr="000C5130" w14:paraId="650ED1B6" w14:textId="77777777" w:rsidTr="00D5417A">
              <w:trPr>
                <w:trHeight w:val="341"/>
              </w:trPr>
              <w:tc>
                <w:tcPr>
                  <w:tcW w:w="3676" w:type="dxa"/>
                  <w:shd w:val="clear" w:color="auto" w:fill="D9D9D9" w:themeFill="background1" w:themeFillShade="D9"/>
                </w:tcPr>
                <w:p w14:paraId="0CBB1F3A" w14:textId="77777777" w:rsidR="00D5417A" w:rsidRPr="000C5130" w:rsidRDefault="00D5417A" w:rsidP="00D5417A">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1A9AAEC" w14:textId="77777777" w:rsidR="00D5417A" w:rsidRPr="000C5130" w:rsidRDefault="00D5417A" w:rsidP="00D5417A">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D5417A" w:rsidRPr="000C5130" w14:paraId="41BD13D0" w14:textId="77777777" w:rsidTr="00D5417A">
              <w:trPr>
                <w:trHeight w:val="359"/>
              </w:trPr>
              <w:tc>
                <w:tcPr>
                  <w:tcW w:w="3676" w:type="dxa"/>
                  <w:shd w:val="clear" w:color="auto" w:fill="auto"/>
                </w:tcPr>
                <w:p w14:paraId="049012E1" w14:textId="77777777" w:rsidR="00D5417A" w:rsidRPr="000C5130" w:rsidRDefault="00D5417A" w:rsidP="00D5417A">
                  <w:pPr>
                    <w:tabs>
                      <w:tab w:val="left" w:pos="720"/>
                    </w:tabs>
                    <w:spacing w:line="276" w:lineRule="auto"/>
                    <w:jc w:val="both"/>
                    <w:rPr>
                      <w:rFonts w:ascii="Arial" w:hAnsi="Arial" w:cs="Arial"/>
                      <w:sz w:val="20"/>
                    </w:rPr>
                  </w:pPr>
                </w:p>
              </w:tc>
              <w:tc>
                <w:tcPr>
                  <w:tcW w:w="3676" w:type="dxa"/>
                  <w:shd w:val="clear" w:color="auto" w:fill="auto"/>
                </w:tcPr>
                <w:p w14:paraId="263105ED" w14:textId="77777777" w:rsidR="00D5417A" w:rsidRPr="000C5130" w:rsidRDefault="00D5417A" w:rsidP="00D5417A">
                  <w:pPr>
                    <w:tabs>
                      <w:tab w:val="left" w:pos="720"/>
                    </w:tabs>
                    <w:spacing w:line="276" w:lineRule="auto"/>
                    <w:jc w:val="both"/>
                    <w:rPr>
                      <w:rFonts w:ascii="Arial" w:hAnsi="Arial" w:cs="Arial"/>
                      <w:sz w:val="20"/>
                    </w:rPr>
                  </w:pPr>
                </w:p>
              </w:tc>
            </w:tr>
          </w:tbl>
          <w:p w14:paraId="4DB67431" w14:textId="77777777" w:rsidR="00546E27" w:rsidRDefault="00546E27" w:rsidP="00D5417A">
            <w:pPr>
              <w:tabs>
                <w:tab w:val="left" w:pos="720"/>
              </w:tabs>
              <w:spacing w:line="276" w:lineRule="auto"/>
              <w:ind w:left="360"/>
              <w:jc w:val="both"/>
              <w:rPr>
                <w:rFonts w:ascii="Arial" w:hAnsi="Arial" w:cs="Arial"/>
                <w:b/>
                <w:sz w:val="20"/>
                <w:lang w:val="en-ZA"/>
              </w:rPr>
            </w:pPr>
          </w:p>
          <w:p w14:paraId="6B946BAB" w14:textId="77777777" w:rsidR="00546E27" w:rsidRPr="006E4F88" w:rsidRDefault="00546E27" w:rsidP="00D5417A">
            <w:pPr>
              <w:tabs>
                <w:tab w:val="left" w:pos="720"/>
              </w:tabs>
              <w:spacing w:line="276" w:lineRule="auto"/>
              <w:ind w:left="360"/>
              <w:jc w:val="both"/>
              <w:rPr>
                <w:rFonts w:ascii="Arial" w:hAnsi="Arial" w:cs="Arial"/>
                <w:b/>
                <w:sz w:val="20"/>
                <w:lang w:val="en-ZA"/>
              </w:rPr>
            </w:pPr>
          </w:p>
          <w:p w14:paraId="37F3603B" w14:textId="77777777" w:rsidR="00546E27" w:rsidRDefault="00546E27" w:rsidP="00D5417A">
            <w:pPr>
              <w:pStyle w:val="ListParagraph"/>
              <w:spacing w:line="276" w:lineRule="auto"/>
              <w:rPr>
                <w:rFonts w:ascii="Arial" w:hAnsi="Arial" w:cs="Arial"/>
                <w:b/>
                <w:sz w:val="20"/>
                <w:lang w:val="en-ZA"/>
              </w:rPr>
            </w:pPr>
          </w:p>
          <w:tbl>
            <w:tblPr>
              <w:tblpPr w:leftFromText="180" w:rightFromText="180" w:vertAnchor="text" w:horzAnchor="page" w:tblpX="601"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CF40A6" w:rsidRPr="000C5130" w14:paraId="468043D0" w14:textId="77777777" w:rsidTr="00CF40A6">
              <w:trPr>
                <w:trHeight w:val="287"/>
              </w:trPr>
              <w:tc>
                <w:tcPr>
                  <w:tcW w:w="3694" w:type="dxa"/>
                  <w:shd w:val="clear" w:color="auto" w:fill="D9D9D9" w:themeFill="background1" w:themeFillShade="D9"/>
                </w:tcPr>
                <w:p w14:paraId="0A74B9CA" w14:textId="77777777" w:rsidR="00CF40A6" w:rsidRPr="000C5130" w:rsidRDefault="00CF40A6" w:rsidP="00CF40A6">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3B083FB1" w14:textId="77777777" w:rsidR="00CF40A6" w:rsidRPr="000C5130" w:rsidRDefault="00CF40A6" w:rsidP="00CF40A6">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CF40A6" w:rsidRPr="000C5130" w14:paraId="0F7D7D22" w14:textId="77777777" w:rsidTr="00CF40A6">
              <w:trPr>
                <w:trHeight w:val="394"/>
              </w:trPr>
              <w:tc>
                <w:tcPr>
                  <w:tcW w:w="3694" w:type="dxa"/>
                  <w:shd w:val="clear" w:color="auto" w:fill="auto"/>
                </w:tcPr>
                <w:p w14:paraId="41B66C96" w14:textId="77777777" w:rsidR="00CF40A6" w:rsidRPr="000C5130" w:rsidRDefault="00CF40A6" w:rsidP="00CF40A6">
                  <w:pPr>
                    <w:tabs>
                      <w:tab w:val="left" w:pos="720"/>
                    </w:tabs>
                    <w:spacing w:line="276" w:lineRule="auto"/>
                    <w:jc w:val="both"/>
                    <w:rPr>
                      <w:rFonts w:ascii="Arial" w:hAnsi="Arial" w:cs="Arial"/>
                      <w:sz w:val="20"/>
                    </w:rPr>
                  </w:pPr>
                </w:p>
              </w:tc>
              <w:tc>
                <w:tcPr>
                  <w:tcW w:w="3694" w:type="dxa"/>
                  <w:shd w:val="clear" w:color="auto" w:fill="auto"/>
                </w:tcPr>
                <w:p w14:paraId="0E709129" w14:textId="77777777" w:rsidR="00CF40A6" w:rsidRPr="000C5130" w:rsidRDefault="00CF40A6" w:rsidP="00CF40A6">
                  <w:pPr>
                    <w:tabs>
                      <w:tab w:val="left" w:pos="720"/>
                    </w:tabs>
                    <w:spacing w:line="276" w:lineRule="auto"/>
                    <w:jc w:val="both"/>
                    <w:rPr>
                      <w:rFonts w:ascii="Arial" w:hAnsi="Arial" w:cs="Arial"/>
                      <w:sz w:val="20"/>
                    </w:rPr>
                  </w:pPr>
                </w:p>
              </w:tc>
            </w:tr>
          </w:tbl>
          <w:p w14:paraId="5B4AE920" w14:textId="77777777" w:rsidR="00546E27" w:rsidRDefault="00546E27" w:rsidP="00D5417A">
            <w:pPr>
              <w:pStyle w:val="ListParagraph"/>
              <w:spacing w:line="276" w:lineRule="auto"/>
              <w:rPr>
                <w:rFonts w:ascii="Arial" w:hAnsi="Arial" w:cs="Arial"/>
                <w:b/>
                <w:sz w:val="20"/>
                <w:lang w:val="en-ZA"/>
              </w:rPr>
            </w:pPr>
          </w:p>
          <w:p w14:paraId="53690354" w14:textId="282E208C" w:rsidR="00546E27" w:rsidRDefault="00546E27" w:rsidP="00D5417A">
            <w:pPr>
              <w:tabs>
                <w:tab w:val="left" w:pos="720"/>
              </w:tabs>
              <w:spacing w:line="276" w:lineRule="auto"/>
              <w:ind w:left="360"/>
              <w:jc w:val="both"/>
              <w:rPr>
                <w:rFonts w:ascii="Arial" w:hAnsi="Arial" w:cs="Arial"/>
                <w:b/>
                <w:sz w:val="20"/>
                <w:lang w:val="en-ZA"/>
              </w:rPr>
            </w:pPr>
          </w:p>
          <w:p w14:paraId="0CA36E8F" w14:textId="77777777" w:rsidR="001D657A" w:rsidRDefault="001D657A" w:rsidP="00D5417A">
            <w:pPr>
              <w:tabs>
                <w:tab w:val="left" w:pos="720"/>
              </w:tabs>
              <w:spacing w:line="276" w:lineRule="auto"/>
              <w:ind w:left="360"/>
              <w:jc w:val="both"/>
              <w:rPr>
                <w:rFonts w:ascii="Arial" w:hAnsi="Arial" w:cs="Arial"/>
                <w:b/>
                <w:sz w:val="20"/>
                <w:lang w:val="en-ZA"/>
              </w:rPr>
            </w:pPr>
          </w:p>
          <w:p w14:paraId="7EB1A0AD" w14:textId="254B91FE" w:rsidR="00546E27" w:rsidRPr="001D657A" w:rsidRDefault="00546E27" w:rsidP="00D5417A">
            <w:pPr>
              <w:pStyle w:val="ListParagraph"/>
              <w:numPr>
                <w:ilvl w:val="0"/>
                <w:numId w:val="46"/>
              </w:numPr>
              <w:tabs>
                <w:tab w:val="left" w:pos="720"/>
              </w:tabs>
              <w:spacing w:line="276" w:lineRule="auto"/>
              <w:jc w:val="both"/>
              <w:rPr>
                <w:rFonts w:ascii="Arial" w:hAnsi="Arial" w:cs="Arial"/>
                <w:b/>
                <w:sz w:val="20"/>
                <w:lang w:val="en-ZA"/>
              </w:rPr>
            </w:pPr>
            <w:r w:rsidRPr="001D657A">
              <w:rPr>
                <w:rFonts w:ascii="Arial" w:hAnsi="Arial" w:cs="Arial"/>
                <w:b/>
                <w:sz w:val="20"/>
                <w:lang w:val="en-ZA"/>
              </w:rPr>
              <w:t>Skills development</w:t>
            </w:r>
          </w:p>
          <w:p w14:paraId="7F6E1404" w14:textId="77777777" w:rsidR="00546E27" w:rsidRDefault="00546E27" w:rsidP="00D5417A">
            <w:pPr>
              <w:tabs>
                <w:tab w:val="left" w:pos="720"/>
              </w:tabs>
              <w:spacing w:line="276" w:lineRule="auto"/>
              <w:jc w:val="both"/>
              <w:rPr>
                <w:rFonts w:ascii="Arial" w:hAnsi="Arial" w:cs="Arial"/>
                <w:sz w:val="20"/>
              </w:rPr>
            </w:pPr>
          </w:p>
          <w:p w14:paraId="0C237240" w14:textId="3030F77B" w:rsidR="00CF40A6" w:rsidRDefault="00546E27" w:rsidP="00D5417A">
            <w:pPr>
              <w:tabs>
                <w:tab w:val="left" w:pos="720"/>
              </w:tabs>
              <w:spacing w:line="276"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w:t>
            </w:r>
            <w:r w:rsidR="00AE2D82">
              <w:rPr>
                <w:rFonts w:ascii="Arial" w:hAnsi="Arial" w:cs="Arial"/>
                <w:sz w:val="20"/>
              </w:rPr>
              <w:t>Western Cape</w:t>
            </w:r>
            <w:r>
              <w:rPr>
                <w:rFonts w:ascii="Arial" w:hAnsi="Arial" w:cs="Arial"/>
                <w:sz w:val="20"/>
              </w:rPr>
              <w:t xml:space="preserve">.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sidR="00005A8B">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w:t>
            </w:r>
          </w:p>
          <w:p w14:paraId="6192FB5B" w14:textId="77777777" w:rsidR="00AE2D82" w:rsidRPr="000C5130" w:rsidRDefault="00AE2D82" w:rsidP="00D5417A">
            <w:pPr>
              <w:tabs>
                <w:tab w:val="left" w:pos="720"/>
              </w:tabs>
              <w:spacing w:line="276" w:lineRule="auto"/>
              <w:jc w:val="both"/>
              <w:rPr>
                <w:rFonts w:ascii="Arial" w:hAnsi="Arial" w:cs="Arial"/>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662"/>
              <w:gridCol w:w="2725"/>
            </w:tblGrid>
            <w:tr w:rsidR="00546E27" w:rsidRPr="000C5130" w14:paraId="241C348B" w14:textId="77777777" w:rsidTr="00AE2D82">
              <w:trPr>
                <w:trHeight w:val="359"/>
              </w:trPr>
              <w:tc>
                <w:tcPr>
                  <w:tcW w:w="2680" w:type="dxa"/>
                  <w:shd w:val="clear" w:color="auto" w:fill="D9D9D9" w:themeFill="background1" w:themeFillShade="D9"/>
                </w:tcPr>
                <w:p w14:paraId="3026DCFD" w14:textId="77777777" w:rsidR="00546E27" w:rsidRPr="000C5130" w:rsidRDefault="00546E27" w:rsidP="00D5417A">
                  <w:pPr>
                    <w:tabs>
                      <w:tab w:val="left" w:pos="720"/>
                    </w:tabs>
                    <w:spacing w:line="276" w:lineRule="auto"/>
                    <w:jc w:val="center"/>
                    <w:rPr>
                      <w:rFonts w:ascii="Arial" w:hAnsi="Arial" w:cs="Arial"/>
                      <w:b/>
                      <w:sz w:val="20"/>
                    </w:rPr>
                  </w:pPr>
                  <w:r>
                    <w:rPr>
                      <w:rFonts w:ascii="Arial" w:hAnsi="Arial" w:cs="Arial"/>
                      <w:b/>
                      <w:sz w:val="20"/>
                    </w:rPr>
                    <w:t>Skill type / Occupation</w:t>
                  </w:r>
                </w:p>
              </w:tc>
              <w:tc>
                <w:tcPr>
                  <w:tcW w:w="2662" w:type="dxa"/>
                  <w:shd w:val="clear" w:color="auto" w:fill="D9D9D9" w:themeFill="background1" w:themeFillShade="D9"/>
                </w:tcPr>
                <w:p w14:paraId="5DF8A795" w14:textId="77777777" w:rsidR="00546E27" w:rsidRDefault="00546E27" w:rsidP="00D5417A">
                  <w:pPr>
                    <w:tabs>
                      <w:tab w:val="left" w:pos="720"/>
                    </w:tabs>
                    <w:spacing w:line="276" w:lineRule="auto"/>
                    <w:jc w:val="center"/>
                    <w:rPr>
                      <w:rFonts w:ascii="Arial" w:hAnsi="Arial" w:cs="Arial"/>
                      <w:b/>
                      <w:sz w:val="20"/>
                    </w:rPr>
                  </w:pPr>
                  <w:r>
                    <w:rPr>
                      <w:rFonts w:ascii="Arial" w:hAnsi="Arial" w:cs="Arial"/>
                      <w:b/>
                      <w:sz w:val="20"/>
                    </w:rPr>
                    <w:t>Eskom target</w:t>
                  </w:r>
                </w:p>
              </w:tc>
              <w:tc>
                <w:tcPr>
                  <w:tcW w:w="2725" w:type="dxa"/>
                  <w:shd w:val="clear" w:color="auto" w:fill="D9D9D9" w:themeFill="background1" w:themeFillShade="D9"/>
                </w:tcPr>
                <w:p w14:paraId="2741D885" w14:textId="77777777" w:rsidR="00546E27" w:rsidRPr="000C5130" w:rsidRDefault="00546E27" w:rsidP="00D5417A">
                  <w:pPr>
                    <w:tabs>
                      <w:tab w:val="left" w:pos="720"/>
                    </w:tabs>
                    <w:spacing w:line="276" w:lineRule="auto"/>
                    <w:jc w:val="center"/>
                    <w:rPr>
                      <w:rFonts w:ascii="Arial" w:hAnsi="Arial" w:cs="Arial"/>
                      <w:b/>
                      <w:sz w:val="20"/>
                    </w:rPr>
                  </w:pPr>
                  <w:r>
                    <w:rPr>
                      <w:rFonts w:ascii="Arial" w:hAnsi="Arial" w:cs="Arial"/>
                      <w:b/>
                      <w:sz w:val="20"/>
                    </w:rPr>
                    <w:t>Proposed Number of Candidates</w:t>
                  </w:r>
                </w:p>
              </w:tc>
            </w:tr>
            <w:tr w:rsidR="00546E27" w:rsidRPr="000C5130" w14:paraId="4ED2613C" w14:textId="77777777" w:rsidTr="00AE2D82">
              <w:trPr>
                <w:trHeight w:val="359"/>
              </w:trPr>
              <w:tc>
                <w:tcPr>
                  <w:tcW w:w="2680" w:type="dxa"/>
                  <w:shd w:val="clear" w:color="auto" w:fill="auto"/>
                  <w:vAlign w:val="bottom"/>
                </w:tcPr>
                <w:p w14:paraId="6918843F" w14:textId="6248421B" w:rsidR="00546E27" w:rsidRPr="008A3FC8" w:rsidRDefault="00AE2D82" w:rsidP="00D5417A">
                  <w:pPr>
                    <w:spacing w:line="276" w:lineRule="auto"/>
                    <w:rPr>
                      <w:rFonts w:ascii="Arial" w:hAnsi="Arial" w:cs="Arial"/>
                      <w:sz w:val="20"/>
                    </w:rPr>
                  </w:pPr>
                  <w:r>
                    <w:rPr>
                      <w:rFonts w:ascii="Arial" w:hAnsi="Arial" w:cs="Arial"/>
                      <w:sz w:val="20"/>
                    </w:rPr>
                    <w:t xml:space="preserve">Unemployed Graduates relevant to the scope </w:t>
                  </w:r>
                </w:p>
              </w:tc>
              <w:tc>
                <w:tcPr>
                  <w:tcW w:w="2662" w:type="dxa"/>
                </w:tcPr>
                <w:p w14:paraId="6C96573A" w14:textId="091CEC3D" w:rsidR="00546E27" w:rsidRDefault="00AE2D82" w:rsidP="00D5417A">
                  <w:pPr>
                    <w:spacing w:line="276" w:lineRule="auto"/>
                    <w:jc w:val="center"/>
                    <w:rPr>
                      <w:rFonts w:ascii="Arial" w:hAnsi="Arial" w:cs="Arial"/>
                      <w:sz w:val="20"/>
                    </w:rPr>
                  </w:pPr>
                  <w:r>
                    <w:rPr>
                      <w:rFonts w:ascii="Arial" w:hAnsi="Arial" w:cs="Arial"/>
                      <w:sz w:val="20"/>
                    </w:rPr>
                    <w:t>2</w:t>
                  </w:r>
                </w:p>
              </w:tc>
              <w:tc>
                <w:tcPr>
                  <w:tcW w:w="2725" w:type="dxa"/>
                </w:tcPr>
                <w:p w14:paraId="5E9D2CF3" w14:textId="77777777" w:rsidR="00546E27" w:rsidRPr="008A3FC8" w:rsidRDefault="00546E27" w:rsidP="00D5417A">
                  <w:pPr>
                    <w:tabs>
                      <w:tab w:val="left" w:pos="720"/>
                    </w:tabs>
                    <w:spacing w:line="276" w:lineRule="auto"/>
                    <w:jc w:val="center"/>
                    <w:rPr>
                      <w:rFonts w:ascii="Arial" w:hAnsi="Arial" w:cs="Arial"/>
                      <w:b/>
                      <w:sz w:val="20"/>
                    </w:rPr>
                  </w:pPr>
                </w:p>
              </w:tc>
            </w:tr>
          </w:tbl>
          <w:p w14:paraId="2B976CEA" w14:textId="77777777" w:rsidR="00546E27" w:rsidRDefault="00546E27" w:rsidP="00D5417A">
            <w:pPr>
              <w:tabs>
                <w:tab w:val="left" w:pos="720"/>
              </w:tabs>
              <w:spacing w:line="276" w:lineRule="auto"/>
              <w:jc w:val="both"/>
              <w:rPr>
                <w:rFonts w:ascii="Arial" w:hAnsi="Arial" w:cs="Arial"/>
                <w:sz w:val="20"/>
                <w:lang w:val="en-ZA"/>
              </w:rPr>
            </w:pPr>
          </w:p>
          <w:p w14:paraId="6B3A1D7A" w14:textId="77777777" w:rsidR="00546E27" w:rsidRPr="004D5F75" w:rsidRDefault="00546E27" w:rsidP="00CF40A6">
            <w:pPr>
              <w:spacing w:after="120" w:line="276" w:lineRule="auto"/>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71443C5C" w14:textId="6EF34EFC" w:rsidR="00546E27" w:rsidRPr="000C5130" w:rsidRDefault="00546E27" w:rsidP="00CF40A6">
            <w:pPr>
              <w:spacing w:before="120" w:line="276" w:lineRule="auto"/>
              <w:contextualSpacing/>
              <w:jc w:val="both"/>
              <w:rPr>
                <w:rFonts w:ascii="Arial" w:hAnsi="Arial" w:cs="Arial"/>
                <w:sz w:val="20"/>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r w:rsidR="00CF40A6">
              <w:rPr>
                <w:rFonts w:ascii="Arial" w:hAnsi="Arial" w:cs="Arial"/>
                <w:sz w:val="22"/>
                <w:szCs w:val="22"/>
              </w:rPr>
              <w:t>.</w:t>
            </w:r>
          </w:p>
        </w:tc>
      </w:tr>
    </w:tbl>
    <w:p w14:paraId="35DAD45A" w14:textId="73136317" w:rsidR="00990864" w:rsidRPr="002C184C" w:rsidRDefault="00990864" w:rsidP="002C184C">
      <w:pPr>
        <w:pStyle w:val="ListParagraph"/>
        <w:numPr>
          <w:ilvl w:val="0"/>
          <w:numId w:val="47"/>
        </w:numPr>
        <w:spacing w:before="240" w:after="200" w:line="276" w:lineRule="auto"/>
        <w:rPr>
          <w:rFonts w:ascii="Arial" w:hAnsi="Arial" w:cs="Arial"/>
          <w:b/>
          <w:sz w:val="22"/>
        </w:rPr>
      </w:pPr>
      <w:r w:rsidRPr="002C184C">
        <w:rPr>
          <w:rFonts w:ascii="Arial" w:hAnsi="Arial" w:cs="Arial"/>
          <w:b/>
          <w:sz w:val="22"/>
        </w:rPr>
        <w:lastRenderedPageBreak/>
        <w:t>Reporting and Monitoring</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235"/>
      </w:tblGrid>
      <w:tr w:rsidR="00990864" w:rsidRPr="006260D8" w14:paraId="5BB4BA84" w14:textId="77777777" w:rsidTr="00CF40A6">
        <w:trPr>
          <w:jc w:val="center"/>
        </w:trPr>
        <w:tc>
          <w:tcPr>
            <w:tcW w:w="10235"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CF40A6">
        <w:trPr>
          <w:trHeight w:val="1395"/>
          <w:jc w:val="center"/>
        </w:trPr>
        <w:tc>
          <w:tcPr>
            <w:tcW w:w="10235" w:type="dxa"/>
            <w:shd w:val="clear" w:color="auto" w:fill="DDD9C3" w:themeFill="background2" w:themeFillShade="E6"/>
          </w:tcPr>
          <w:p w14:paraId="3F64373D" w14:textId="02B22BA8"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0660A896" w:rsidR="00990864" w:rsidRPr="00175644" w:rsidRDefault="00CB3564" w:rsidP="00CF40A6">
            <w:pPr>
              <w:pStyle w:val="ListParagraph"/>
              <w:numPr>
                <w:ilvl w:val="0"/>
                <w:numId w:val="25"/>
              </w:numPr>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w:t>
            </w:r>
            <w:r w:rsidRPr="00337B1F">
              <w:rPr>
                <w:rFonts w:ascii="Arial" w:eastAsia="Calibri" w:hAnsi="Arial" w:cs="Arial"/>
                <w:sz w:val="20"/>
                <w:lang w:val="en-ZA"/>
              </w:rPr>
              <w:lastRenderedPageBreak/>
              <w:t xml:space="preserve">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r w:rsidR="00CF40A6">
              <w:rPr>
                <w:rFonts w:ascii="Arial" w:eastAsia="Calibri" w:hAnsi="Arial" w:cs="Arial"/>
                <w:sz w:val="20"/>
                <w:lang w:val="en-ZA"/>
              </w:rPr>
              <w:t>.</w:t>
            </w:r>
          </w:p>
        </w:tc>
      </w:tr>
    </w:tbl>
    <w:p w14:paraId="3DFA5222" w14:textId="77777777" w:rsidR="00AE2D82" w:rsidRPr="00AE2D82" w:rsidRDefault="00AE2D82" w:rsidP="00AE2D82">
      <w:pPr>
        <w:spacing w:before="120" w:after="120" w:line="276" w:lineRule="auto"/>
        <w:rPr>
          <w:rFonts w:ascii="Arial" w:hAnsi="Arial" w:cs="Arial"/>
          <w:b/>
          <w:sz w:val="22"/>
        </w:rPr>
      </w:pPr>
    </w:p>
    <w:p w14:paraId="3E4C2FFC" w14:textId="23B64331" w:rsidR="00AE2D82" w:rsidRDefault="00AE2D82" w:rsidP="00AE2D82">
      <w:pPr>
        <w:spacing w:before="120" w:after="120" w:line="276" w:lineRule="auto"/>
        <w:rPr>
          <w:rFonts w:ascii="Arial" w:hAnsi="Arial" w:cs="Arial"/>
          <w:b/>
          <w:sz w:val="22"/>
        </w:rPr>
      </w:pPr>
    </w:p>
    <w:p w14:paraId="223C72B0" w14:textId="77777777" w:rsidR="00AE2D82" w:rsidRPr="00AE2D82" w:rsidRDefault="00AE2D82" w:rsidP="00AE2D82">
      <w:pPr>
        <w:spacing w:before="120" w:after="120" w:line="276" w:lineRule="auto"/>
        <w:rPr>
          <w:rFonts w:ascii="Arial" w:hAnsi="Arial" w:cs="Arial"/>
          <w:b/>
          <w:sz w:val="22"/>
        </w:rPr>
      </w:pPr>
    </w:p>
    <w:p w14:paraId="5C6D2EAA" w14:textId="472DACD5" w:rsidR="00D45AEE" w:rsidRPr="002C184C" w:rsidRDefault="00874A63" w:rsidP="002C184C">
      <w:pPr>
        <w:pStyle w:val="ListParagraph"/>
        <w:numPr>
          <w:ilvl w:val="0"/>
          <w:numId w:val="47"/>
        </w:numPr>
        <w:spacing w:before="120" w:after="120" w:line="276" w:lineRule="auto"/>
        <w:rPr>
          <w:rFonts w:ascii="Arial" w:hAnsi="Arial" w:cs="Arial"/>
          <w:b/>
          <w:sz w:val="22"/>
        </w:rPr>
      </w:pPr>
      <w:r w:rsidRPr="002C184C">
        <w:rPr>
          <w:rFonts w:ascii="Arial" w:hAnsi="Arial" w:cs="Arial"/>
          <w:b/>
          <w:sz w:val="22"/>
        </w:rPr>
        <w:t>General Information on Validity of S</w:t>
      </w:r>
      <w:r w:rsidR="00D45AEE" w:rsidRPr="002C184C">
        <w:rPr>
          <w:rFonts w:ascii="Arial" w:hAnsi="Arial" w:cs="Arial"/>
          <w:b/>
          <w:sz w:val="22"/>
        </w:rPr>
        <w:t>worn Affidavits</w:t>
      </w:r>
    </w:p>
    <w:tbl>
      <w:tblPr>
        <w:tblStyle w:val="TableGrid"/>
        <w:tblW w:w="10201" w:type="dxa"/>
        <w:jc w:val="center"/>
        <w:tblLook w:val="04A0" w:firstRow="1" w:lastRow="0" w:firstColumn="1" w:lastColumn="0" w:noHBand="0" w:noVBand="1"/>
      </w:tblPr>
      <w:tblGrid>
        <w:gridCol w:w="10201"/>
      </w:tblGrid>
      <w:tr w:rsidR="00D45AEE" w:rsidRPr="00726078" w14:paraId="28055943" w14:textId="77777777" w:rsidTr="00CF40A6">
        <w:trPr>
          <w:jc w:val="center"/>
        </w:trPr>
        <w:tc>
          <w:tcPr>
            <w:tcW w:w="10201"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CF40A6">
        <w:trPr>
          <w:jc w:val="center"/>
        </w:trPr>
        <w:tc>
          <w:tcPr>
            <w:tcW w:w="10201"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34BE0035" w14:textId="77777777" w:rsidR="006E5E06" w:rsidRPr="006E5E06" w:rsidRDefault="006E5E06" w:rsidP="00304117">
      <w:pPr>
        <w:pBdr>
          <w:bottom w:val="single" w:sz="12" w:space="1" w:color="auto"/>
        </w:pBdr>
        <w:tabs>
          <w:tab w:val="left" w:pos="720"/>
        </w:tabs>
        <w:jc w:val="both"/>
        <w:rPr>
          <w:rFonts w:ascii="Arial" w:hAnsi="Arial" w:cs="Arial"/>
          <w:b/>
          <w:sz w:val="8"/>
          <w:szCs w:val="8"/>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CF40A6">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1DCCA945" w14:textId="77777777" w:rsidR="00324D94" w:rsidRDefault="00324D94" w:rsidP="00CF40A6">
                  <w:pPr>
                    <w:tabs>
                      <w:tab w:val="left" w:pos="720"/>
                    </w:tabs>
                    <w:spacing w:before="120"/>
                    <w:jc w:val="both"/>
                    <w:rPr>
                      <w:rFonts w:ascii="Arial" w:hAnsi="Arial" w:cs="Arial"/>
                      <w:sz w:val="20"/>
                    </w:rPr>
                  </w:pPr>
                  <w:r>
                    <w:rPr>
                      <w:rFonts w:ascii="Arial" w:hAnsi="Arial" w:cs="Arial"/>
                      <w:sz w:val="20"/>
                    </w:rPr>
                    <w:t>Tenderer representative:</w:t>
                  </w:r>
                </w:p>
                <w:p w14:paraId="77BC07C3" w14:textId="77777777" w:rsidR="00324D94" w:rsidRDefault="00324D94" w:rsidP="00CF40A6">
                  <w:pPr>
                    <w:tabs>
                      <w:tab w:val="left" w:pos="720"/>
                    </w:tabs>
                    <w:spacing w:before="360"/>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09662438" w14:textId="77777777" w:rsidR="00324D94" w:rsidRDefault="00324D94" w:rsidP="00CF40A6">
                  <w:pPr>
                    <w:tabs>
                      <w:tab w:val="left" w:pos="720"/>
                    </w:tabs>
                    <w:spacing w:before="100" w:beforeAutospacing="1"/>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222" w:type="dxa"/>
          </w:tcPr>
          <w:p w14:paraId="3137E81A" w14:textId="77777777" w:rsidR="00637D14" w:rsidRDefault="00637D14" w:rsidP="00637D14">
            <w:pPr>
              <w:tabs>
                <w:tab w:val="left" w:pos="720"/>
              </w:tabs>
              <w:jc w:val="both"/>
              <w:rPr>
                <w:rFonts w:ascii="Arial" w:hAnsi="Arial" w:cs="Arial"/>
                <w:sz w:val="20"/>
              </w:rPr>
            </w:pPr>
          </w:p>
        </w:tc>
        <w:tc>
          <w:tcPr>
            <w:tcW w:w="222" w:type="dxa"/>
          </w:tcPr>
          <w:p w14:paraId="48CFFFA4" w14:textId="77777777" w:rsidR="00637D14" w:rsidRDefault="00637D14" w:rsidP="00304117">
            <w:pPr>
              <w:tabs>
                <w:tab w:val="left" w:pos="720"/>
              </w:tabs>
              <w:jc w:val="both"/>
              <w:rPr>
                <w:rFonts w:ascii="Arial" w:hAnsi="Arial" w:cs="Arial"/>
                <w:sz w:val="20"/>
              </w:rPr>
            </w:pPr>
          </w:p>
        </w:tc>
      </w:tr>
    </w:tbl>
    <w:p w14:paraId="00E26C58" w14:textId="77777777" w:rsidR="00B70E33" w:rsidRDefault="00B70E33" w:rsidP="00CF40A6">
      <w:pPr>
        <w:rPr>
          <w:rFonts w:ascii="Arial" w:hAnsi="Arial" w:cs="Arial"/>
          <w:sz w:val="20"/>
          <w:lang w:val="en-GB"/>
        </w:rPr>
      </w:pPr>
    </w:p>
    <w:sectPr w:rsidR="00B70E33" w:rsidSect="00D5417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DD73" w14:textId="77777777" w:rsidR="00E3556E" w:rsidRDefault="00E3556E" w:rsidP="00201A98">
      <w:r>
        <w:separator/>
      </w:r>
    </w:p>
  </w:endnote>
  <w:endnote w:type="continuationSeparator" w:id="0">
    <w:p w14:paraId="075BBADB" w14:textId="77777777" w:rsidR="00E3556E" w:rsidRDefault="00E3556E"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7A93" w14:textId="77777777" w:rsidR="00162298" w:rsidRDefault="00162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946C" w14:textId="77777777" w:rsidR="00162298" w:rsidRDefault="0016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C89D" w14:textId="77777777" w:rsidR="00E3556E" w:rsidRDefault="00E3556E" w:rsidP="00201A98">
      <w:r>
        <w:separator/>
      </w:r>
    </w:p>
  </w:footnote>
  <w:footnote w:type="continuationSeparator" w:id="0">
    <w:p w14:paraId="52F8E78E" w14:textId="77777777" w:rsidR="00E3556E" w:rsidRDefault="00E3556E"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535E" w14:textId="77777777" w:rsidR="00162298" w:rsidRDefault="00162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000000"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20142904"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1AFE494" w:rsidR="00B3212E" w:rsidRPr="00105474" w:rsidRDefault="00162298" w:rsidP="00B3212E">
          <w:pPr>
            <w:rPr>
              <w:rFonts w:ascii="Arial" w:hAnsi="Arial"/>
              <w:sz w:val="16"/>
              <w:lang w:val="en-GB"/>
            </w:rPr>
          </w:pPr>
          <w:r>
            <w:rPr>
              <w:rFonts w:ascii="Arial" w:hAnsi="Arial"/>
              <w:sz w:val="16"/>
              <w:lang w:val="en-GB"/>
            </w:rPr>
            <w:t>September</w:t>
          </w:r>
          <w:r w:rsidR="0063278E">
            <w:rPr>
              <w:rFonts w:ascii="Arial" w:hAnsi="Arial"/>
              <w:sz w:val="16"/>
              <w:lang w:val="en-GB"/>
            </w:rPr>
            <w:t xml:space="preserve">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20FAA433" w:rsidR="00B3212E" w:rsidRPr="00105474" w:rsidRDefault="00162298" w:rsidP="00B3212E">
          <w:pPr>
            <w:rPr>
              <w:rFonts w:ascii="Arial" w:hAnsi="Arial"/>
              <w:sz w:val="16"/>
              <w:lang w:val="en-GB"/>
            </w:rPr>
          </w:pPr>
          <w:r>
            <w:rPr>
              <w:rFonts w:ascii="Arial" w:hAnsi="Arial"/>
              <w:sz w:val="16"/>
              <w:lang w:val="en-GB"/>
            </w:rPr>
            <w:t>September</w:t>
          </w:r>
          <w:r w:rsidR="00B3212E" w:rsidRPr="00105474">
            <w:rPr>
              <w:rFonts w:ascii="Arial" w:hAnsi="Arial"/>
              <w:sz w:val="16"/>
              <w:lang w:val="en-GB"/>
            </w:rPr>
            <w:t xml:space="preserve"> 202</w:t>
          </w:r>
          <w:r w:rsidR="0063278E">
            <w:rPr>
              <w:rFonts w:ascii="Arial" w:hAnsi="Arial"/>
              <w:sz w:val="16"/>
              <w:lang w:val="en-GB"/>
            </w:rPr>
            <w:t>6</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1C69" w14:textId="77777777" w:rsidR="00162298" w:rsidRDefault="0016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C413F2E"/>
    <w:multiLevelType w:val="hybridMultilevel"/>
    <w:tmpl w:val="208CEB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5"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B80A55"/>
    <w:multiLevelType w:val="hybridMultilevel"/>
    <w:tmpl w:val="FE906BE4"/>
    <w:lvl w:ilvl="0" w:tplc="B4A81774">
      <w:start w:val="1"/>
      <w:numFmt w:val="decimal"/>
      <w:lvlText w:val="Section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0"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2"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3" w15:restartNumberingAfterBreak="0">
    <w:nsid w:val="59DF00F6"/>
    <w:multiLevelType w:val="hybridMultilevel"/>
    <w:tmpl w:val="3FAC047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7"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8"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8F21E1C"/>
    <w:multiLevelType w:val="multilevel"/>
    <w:tmpl w:val="971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1"/>
  </w:num>
  <w:num w:numId="2" w16cid:durableId="769589901">
    <w:abstractNumId w:val="32"/>
  </w:num>
  <w:num w:numId="3" w16cid:durableId="1636983690">
    <w:abstractNumId w:val="34"/>
  </w:num>
  <w:num w:numId="4" w16cid:durableId="1049838470">
    <w:abstractNumId w:val="4"/>
  </w:num>
  <w:num w:numId="5" w16cid:durableId="747270413">
    <w:abstractNumId w:val="16"/>
  </w:num>
  <w:num w:numId="6" w16cid:durableId="298614127">
    <w:abstractNumId w:val="20"/>
  </w:num>
  <w:num w:numId="7" w16cid:durableId="886451534">
    <w:abstractNumId w:val="40"/>
  </w:num>
  <w:num w:numId="8" w16cid:durableId="1364016205">
    <w:abstractNumId w:val="7"/>
  </w:num>
  <w:num w:numId="9" w16cid:durableId="501093778">
    <w:abstractNumId w:val="24"/>
  </w:num>
  <w:num w:numId="10" w16cid:durableId="296688292">
    <w:abstractNumId w:val="29"/>
  </w:num>
  <w:num w:numId="11" w16cid:durableId="1367868149">
    <w:abstractNumId w:val="37"/>
  </w:num>
  <w:num w:numId="12" w16cid:durableId="1739786048">
    <w:abstractNumId w:val="14"/>
  </w:num>
  <w:num w:numId="13" w16cid:durableId="621349608">
    <w:abstractNumId w:val="25"/>
  </w:num>
  <w:num w:numId="14" w16cid:durableId="416682265">
    <w:abstractNumId w:val="18"/>
  </w:num>
  <w:num w:numId="15" w16cid:durableId="867644372">
    <w:abstractNumId w:val="19"/>
  </w:num>
  <w:num w:numId="16" w16cid:durableId="1411199536">
    <w:abstractNumId w:val="2"/>
  </w:num>
  <w:num w:numId="17" w16cid:durableId="768938162">
    <w:abstractNumId w:val="22"/>
  </w:num>
  <w:num w:numId="18" w16cid:durableId="1103381334">
    <w:abstractNumId w:val="9"/>
  </w:num>
  <w:num w:numId="19" w16cid:durableId="1185709056">
    <w:abstractNumId w:val="31"/>
  </w:num>
  <w:num w:numId="20" w16cid:durableId="160703720">
    <w:abstractNumId w:val="15"/>
  </w:num>
  <w:num w:numId="21" w16cid:durableId="1083262651">
    <w:abstractNumId w:val="26"/>
  </w:num>
  <w:num w:numId="22" w16cid:durableId="594288937">
    <w:abstractNumId w:val="17"/>
  </w:num>
  <w:num w:numId="23" w16cid:durableId="137694747">
    <w:abstractNumId w:val="38"/>
  </w:num>
  <w:num w:numId="24" w16cid:durableId="1635332457">
    <w:abstractNumId w:val="23"/>
  </w:num>
  <w:num w:numId="25" w16cid:durableId="356195997">
    <w:abstractNumId w:val="13"/>
  </w:num>
  <w:num w:numId="26" w16cid:durableId="1068723575">
    <w:abstractNumId w:val="15"/>
  </w:num>
  <w:num w:numId="27" w16cid:durableId="1280183404">
    <w:abstractNumId w:val="44"/>
  </w:num>
  <w:num w:numId="28" w16cid:durableId="391970900">
    <w:abstractNumId w:val="27"/>
  </w:num>
  <w:num w:numId="29" w16cid:durableId="2142724945">
    <w:abstractNumId w:val="6"/>
  </w:num>
  <w:num w:numId="30" w16cid:durableId="1111973304">
    <w:abstractNumId w:val="35"/>
  </w:num>
  <w:num w:numId="31" w16cid:durableId="1998069011">
    <w:abstractNumId w:val="47"/>
  </w:num>
  <w:num w:numId="32" w16cid:durableId="1712143695">
    <w:abstractNumId w:val="42"/>
  </w:num>
  <w:num w:numId="33" w16cid:durableId="778767238">
    <w:abstractNumId w:val="36"/>
  </w:num>
  <w:num w:numId="34" w16cid:durableId="1249457635">
    <w:abstractNumId w:val="46"/>
  </w:num>
  <w:num w:numId="35" w16cid:durableId="1195466582">
    <w:abstractNumId w:val="21"/>
  </w:num>
  <w:num w:numId="36" w16cid:durableId="937130701">
    <w:abstractNumId w:val="43"/>
  </w:num>
  <w:num w:numId="37" w16cid:durableId="438137684">
    <w:abstractNumId w:val="10"/>
  </w:num>
  <w:num w:numId="38" w16cid:durableId="31392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1"/>
  </w:num>
  <w:num w:numId="41" w16cid:durableId="986789375">
    <w:abstractNumId w:val="5"/>
  </w:num>
  <w:num w:numId="42" w16cid:durableId="733353706">
    <w:abstractNumId w:val="0"/>
  </w:num>
  <w:num w:numId="43" w16cid:durableId="859053093">
    <w:abstractNumId w:val="30"/>
  </w:num>
  <w:num w:numId="44" w16cid:durableId="2065517844">
    <w:abstractNumId w:val="1"/>
  </w:num>
  <w:num w:numId="45" w16cid:durableId="1979189320">
    <w:abstractNumId w:val="39"/>
  </w:num>
  <w:num w:numId="46" w16cid:durableId="1853454794">
    <w:abstractNumId w:val="33"/>
  </w:num>
  <w:num w:numId="47" w16cid:durableId="485171413">
    <w:abstractNumId w:val="28"/>
  </w:num>
  <w:num w:numId="48" w16cid:durableId="563952062">
    <w:abstractNumId w:val="45"/>
  </w:num>
  <w:num w:numId="49" w16cid:durableId="760493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2E9"/>
    <w:rsid w:val="000B7D6D"/>
    <w:rsid w:val="000C33EB"/>
    <w:rsid w:val="000C6C73"/>
    <w:rsid w:val="000D401F"/>
    <w:rsid w:val="000D4357"/>
    <w:rsid w:val="000E1AB5"/>
    <w:rsid w:val="000F528A"/>
    <w:rsid w:val="001022DD"/>
    <w:rsid w:val="00103CBA"/>
    <w:rsid w:val="00105474"/>
    <w:rsid w:val="00111B2E"/>
    <w:rsid w:val="00113DFD"/>
    <w:rsid w:val="00115ECC"/>
    <w:rsid w:val="0011612D"/>
    <w:rsid w:val="00140917"/>
    <w:rsid w:val="001477A3"/>
    <w:rsid w:val="00151F81"/>
    <w:rsid w:val="001521AD"/>
    <w:rsid w:val="00154240"/>
    <w:rsid w:val="00155040"/>
    <w:rsid w:val="00155248"/>
    <w:rsid w:val="00162298"/>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D657A"/>
    <w:rsid w:val="001E3CF5"/>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C184C"/>
    <w:rsid w:val="002E453E"/>
    <w:rsid w:val="002E7887"/>
    <w:rsid w:val="002F4F5C"/>
    <w:rsid w:val="00304117"/>
    <w:rsid w:val="003113D9"/>
    <w:rsid w:val="003127C7"/>
    <w:rsid w:val="00317372"/>
    <w:rsid w:val="00324D94"/>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6F"/>
    <w:rsid w:val="003D48B8"/>
    <w:rsid w:val="003D66FA"/>
    <w:rsid w:val="003D78F9"/>
    <w:rsid w:val="003E052A"/>
    <w:rsid w:val="003E4D3F"/>
    <w:rsid w:val="003F2387"/>
    <w:rsid w:val="003F3E07"/>
    <w:rsid w:val="003F59CF"/>
    <w:rsid w:val="003F7B1E"/>
    <w:rsid w:val="00404772"/>
    <w:rsid w:val="004213A7"/>
    <w:rsid w:val="004251A4"/>
    <w:rsid w:val="004364A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675CC"/>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1035C"/>
    <w:rsid w:val="006260D8"/>
    <w:rsid w:val="00627923"/>
    <w:rsid w:val="0063278E"/>
    <w:rsid w:val="00633969"/>
    <w:rsid w:val="00633B8B"/>
    <w:rsid w:val="0063746A"/>
    <w:rsid w:val="00637900"/>
    <w:rsid w:val="00637D14"/>
    <w:rsid w:val="0064741D"/>
    <w:rsid w:val="00647DF4"/>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61BE3"/>
    <w:rsid w:val="007623AF"/>
    <w:rsid w:val="00766FB1"/>
    <w:rsid w:val="00766FE5"/>
    <w:rsid w:val="00784A54"/>
    <w:rsid w:val="00785295"/>
    <w:rsid w:val="00791C9C"/>
    <w:rsid w:val="0079769C"/>
    <w:rsid w:val="007A6DC8"/>
    <w:rsid w:val="007A6F13"/>
    <w:rsid w:val="007B57E6"/>
    <w:rsid w:val="007C0A56"/>
    <w:rsid w:val="007D4E0A"/>
    <w:rsid w:val="007D5975"/>
    <w:rsid w:val="007E0CE5"/>
    <w:rsid w:val="007F15E3"/>
    <w:rsid w:val="00810BAA"/>
    <w:rsid w:val="00821626"/>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2E88"/>
    <w:rsid w:val="00886564"/>
    <w:rsid w:val="00893563"/>
    <w:rsid w:val="0089392A"/>
    <w:rsid w:val="00894E42"/>
    <w:rsid w:val="008951A9"/>
    <w:rsid w:val="0089757B"/>
    <w:rsid w:val="008A3FC8"/>
    <w:rsid w:val="008A66CD"/>
    <w:rsid w:val="008B5871"/>
    <w:rsid w:val="008C01CF"/>
    <w:rsid w:val="008C0E9E"/>
    <w:rsid w:val="008F57DD"/>
    <w:rsid w:val="008F5BEC"/>
    <w:rsid w:val="009017B9"/>
    <w:rsid w:val="00903604"/>
    <w:rsid w:val="00914474"/>
    <w:rsid w:val="009214A0"/>
    <w:rsid w:val="009232CC"/>
    <w:rsid w:val="00924E22"/>
    <w:rsid w:val="00931DE5"/>
    <w:rsid w:val="009417B3"/>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2FA9"/>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21FB"/>
    <w:rsid w:val="00AC3774"/>
    <w:rsid w:val="00AD784B"/>
    <w:rsid w:val="00AE2D82"/>
    <w:rsid w:val="00AE7139"/>
    <w:rsid w:val="00AF35DE"/>
    <w:rsid w:val="00AF6824"/>
    <w:rsid w:val="00B00E72"/>
    <w:rsid w:val="00B0566F"/>
    <w:rsid w:val="00B16C39"/>
    <w:rsid w:val="00B263C0"/>
    <w:rsid w:val="00B27F4B"/>
    <w:rsid w:val="00B3212E"/>
    <w:rsid w:val="00B32FC7"/>
    <w:rsid w:val="00B35AA2"/>
    <w:rsid w:val="00B44389"/>
    <w:rsid w:val="00B47EA0"/>
    <w:rsid w:val="00B511AB"/>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1BC"/>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3207"/>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40A6"/>
    <w:rsid w:val="00CF781D"/>
    <w:rsid w:val="00D04B3C"/>
    <w:rsid w:val="00D21895"/>
    <w:rsid w:val="00D2565A"/>
    <w:rsid w:val="00D32E5C"/>
    <w:rsid w:val="00D3660F"/>
    <w:rsid w:val="00D415A5"/>
    <w:rsid w:val="00D45AEE"/>
    <w:rsid w:val="00D479A6"/>
    <w:rsid w:val="00D5417A"/>
    <w:rsid w:val="00D5588B"/>
    <w:rsid w:val="00D60523"/>
    <w:rsid w:val="00D71719"/>
    <w:rsid w:val="00D73F08"/>
    <w:rsid w:val="00D754CB"/>
    <w:rsid w:val="00D817F7"/>
    <w:rsid w:val="00D86CD2"/>
    <w:rsid w:val="00DA1B06"/>
    <w:rsid w:val="00DA3954"/>
    <w:rsid w:val="00DA6B2F"/>
    <w:rsid w:val="00DB22F3"/>
    <w:rsid w:val="00DB6A92"/>
    <w:rsid w:val="00DC3353"/>
    <w:rsid w:val="00DC6795"/>
    <w:rsid w:val="00DD5408"/>
    <w:rsid w:val="00DD7B12"/>
    <w:rsid w:val="00DE2368"/>
    <w:rsid w:val="00DF46B0"/>
    <w:rsid w:val="00E112C5"/>
    <w:rsid w:val="00E2355B"/>
    <w:rsid w:val="00E238C2"/>
    <w:rsid w:val="00E26D9A"/>
    <w:rsid w:val="00E3556E"/>
    <w:rsid w:val="00E35EB0"/>
    <w:rsid w:val="00E3774F"/>
    <w:rsid w:val="00E500CF"/>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16E0"/>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 w:type="character" w:customStyle="1" w:styleId="normaltextrun">
    <w:name w:val="normaltextrun"/>
    <w:basedOn w:val="DefaultParagraphFont"/>
    <w:rsid w:val="00AE2D82"/>
  </w:style>
  <w:style w:type="character" w:customStyle="1" w:styleId="eop">
    <w:name w:val="eop"/>
    <w:basedOn w:val="DefaultParagraphFont"/>
    <w:rsid w:val="00AE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AF0D4D756FD4A92B8D7B295B0F5E2" ma:contentTypeVersion="11" ma:contentTypeDescription="Create a new document." ma:contentTypeScope="" ma:versionID="02d33f5295a694fd2632632b18efc182">
  <xsd:schema xmlns:xsd="http://www.w3.org/2001/XMLSchema" xmlns:xs="http://www.w3.org/2001/XMLSchema" xmlns:p="http://schemas.microsoft.com/office/2006/metadata/properties" xmlns:ns2="22b4f4a5-ea79-4c26-b4c9-cc4bacc84f59" targetNamespace="http://schemas.microsoft.com/office/2006/metadata/properties" ma:root="true" ma:fieldsID="d1886d2d879236e97a146ba987b1d98e" ns2:_="">
    <xsd:import namespace="22b4f4a5-ea79-4c26-b4c9-cc4bacc84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f4a5-ea79-4c26-b4c9-cc4bacc8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fa3029-581b-4330-9c67-5ed5a891ea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b4f4a5-ea79-4c26-b4c9-cc4bacc84f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36CAC-7281-4F3E-8C9C-A9636A21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f4a5-ea79-4c26-b4c9-cc4bacc84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609A8-F1D5-45ED-813E-7620CA291C8E}">
  <ds:schemaRefs>
    <ds:schemaRef ds:uri="http://schemas.microsoft.com/office/2006/metadata/properties"/>
    <ds:schemaRef ds:uri="http://schemas.microsoft.com/office/infopath/2007/PartnerControls"/>
    <ds:schemaRef ds:uri="22b4f4a5-ea79-4c26-b4c9-cc4bacc84f59"/>
  </ds:schemaRefs>
</ds:datastoreItem>
</file>

<file path=customXml/itemProps3.xml><?xml version="1.0" encoding="utf-8"?>
<ds:datastoreItem xmlns:ds="http://schemas.openxmlformats.org/officeDocument/2006/customXml" ds:itemID="{C15D4A0C-8A36-4663-A43A-4B035067D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Keletso Tsele</cp:lastModifiedBy>
  <cp:revision>2</cp:revision>
  <cp:lastPrinted>2023-01-25T15:41:00Z</cp:lastPrinted>
  <dcterms:created xsi:type="dcterms:W3CDTF">2025-09-23T12:29:00Z</dcterms:created>
  <dcterms:modified xsi:type="dcterms:W3CDTF">2025-09-23T12:29:00Z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0x0101008CAAF0D4D756FD4A92B8D7B295B0F5E2</vt:lpwstr>
  </property>
</Properties>
</file>