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184AC1EB" w:rsidR="00EC662F" w:rsidRPr="006765B2" w:rsidRDefault="00B26EC6" w:rsidP="006765B2">
            <w:pPr>
              <w:spacing w:before="60" w:after="60" w:line="276" w:lineRule="auto"/>
              <w:jc w:val="both"/>
              <w:rPr>
                <w:rFonts w:ascii="Arial" w:hAnsi="Arial" w:cs="Arial"/>
                <w:sz w:val="20"/>
              </w:rPr>
            </w:pPr>
            <w:r w:rsidRPr="006765B2">
              <w:rPr>
                <w:rFonts w:ascii="Arial" w:hAnsi="Arial" w:cs="Arial"/>
                <w:sz w:val="20"/>
              </w:rPr>
              <w:t xml:space="preserve">Public Key Infrastructure (PKI) upgrade, </w:t>
            </w:r>
            <w:proofErr w:type="gramStart"/>
            <w:r w:rsidRPr="006765B2">
              <w:rPr>
                <w:rFonts w:ascii="Arial" w:hAnsi="Arial" w:cs="Arial"/>
                <w:sz w:val="20"/>
              </w:rPr>
              <w:t>Acquisition</w:t>
            </w:r>
            <w:proofErr w:type="gramEnd"/>
            <w:r w:rsidRPr="006765B2">
              <w:rPr>
                <w:rFonts w:ascii="Arial" w:hAnsi="Arial" w:cs="Arial"/>
                <w:sz w:val="20"/>
              </w:rPr>
              <w:t xml:space="preserve"> and implementation of a PKI solution</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7D6C6FB1" w:rsidR="00EB6A30" w:rsidRPr="00B612DB" w:rsidRDefault="000F2D77" w:rsidP="00B612DB">
            <w:pPr>
              <w:jc w:val="both"/>
              <w:rPr>
                <w:rFonts w:ascii="Arial" w:hAnsi="Arial" w:cs="Arial"/>
                <w:sz w:val="20"/>
              </w:rPr>
            </w:pPr>
            <w:r w:rsidRPr="000F2D77">
              <w:rPr>
                <w:rFonts w:ascii="Arial" w:hAnsi="Arial" w:cs="Arial"/>
                <w:sz w:val="20"/>
              </w:rPr>
              <w:t xml:space="preserve">5 years </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37214A86" w:rsidR="00304117" w:rsidRPr="00CF781D" w:rsidRDefault="00A96374" w:rsidP="00F0521B">
            <w:pPr>
              <w:spacing w:before="60" w:after="60" w:line="276" w:lineRule="auto"/>
              <w:jc w:val="both"/>
              <w:rPr>
                <w:rFonts w:ascii="Arial" w:hAnsi="Arial" w:cs="Arial"/>
                <w:sz w:val="20"/>
              </w:rPr>
            </w:pPr>
            <w:r>
              <w:rPr>
                <w:rFonts w:ascii="Arial" w:hAnsi="Arial" w:cs="Arial"/>
                <w:sz w:val="20"/>
              </w:rPr>
              <w:t>Violet Beetha</w:t>
            </w:r>
          </w:p>
        </w:tc>
      </w:tr>
    </w:tbl>
    <w:p w14:paraId="7E0C69C0" w14:textId="77777777" w:rsidR="00EB6A30" w:rsidRPr="00EB6A30" w:rsidRDefault="00EB6A30" w:rsidP="00EB6A30">
      <w:pPr>
        <w:spacing w:line="276" w:lineRule="auto"/>
        <w:rPr>
          <w:rFonts w:ascii="Arial" w:hAnsi="Arial" w:cs="Arial"/>
        </w:rPr>
      </w:pPr>
    </w:p>
    <w:p w14:paraId="1BEA0E28" w14:textId="77777777" w:rsidR="00C64FE1" w:rsidRPr="003D66FA" w:rsidRDefault="00304117" w:rsidP="00C64FE1">
      <w:pPr>
        <w:spacing w:before="120" w:after="120" w:line="276" w:lineRule="auto"/>
        <w:rPr>
          <w:rFonts w:ascii="Arial" w:hAnsi="Arial" w:cs="Arial"/>
          <w:b/>
        </w:rPr>
      </w:pPr>
      <w:r w:rsidRPr="003D66FA">
        <w:rPr>
          <w:rFonts w:ascii="Arial" w:hAnsi="Arial" w:cs="Arial"/>
          <w:b/>
        </w:rPr>
        <w:t xml:space="preserve">Section 1: </w:t>
      </w:r>
      <w:r w:rsidR="00C64FE1" w:rsidRPr="003D66FA">
        <w:rPr>
          <w:rFonts w:ascii="Arial" w:hAnsi="Arial" w:cs="Arial"/>
          <w:b/>
        </w:rPr>
        <w:t>Criteria for Preferential Procurement</w:t>
      </w:r>
      <w:r w:rsidR="00C64FE1">
        <w:rPr>
          <w:rFonts w:ascii="Arial" w:hAnsi="Arial" w:cs="Arial"/>
          <w:b/>
        </w:rPr>
        <w:t xml:space="preserve"> (N/A)</w:t>
      </w:r>
    </w:p>
    <w:tbl>
      <w:tblPr>
        <w:tblStyle w:val="TableGrid"/>
        <w:tblW w:w="0" w:type="auto"/>
        <w:tblLook w:val="04A0" w:firstRow="1" w:lastRow="0" w:firstColumn="1" w:lastColumn="0" w:noHBand="0" w:noVBand="1"/>
      </w:tblPr>
      <w:tblGrid>
        <w:gridCol w:w="9016"/>
      </w:tblGrid>
      <w:tr w:rsidR="00C64FE1" w:rsidRPr="00A919B1" w14:paraId="33582D49" w14:textId="77777777" w:rsidTr="00304117">
        <w:tc>
          <w:tcPr>
            <w:tcW w:w="9016" w:type="dxa"/>
            <w:shd w:val="clear" w:color="auto" w:fill="000000" w:themeFill="text1"/>
          </w:tcPr>
          <w:p w14:paraId="2283BF8C" w14:textId="63CDEBD6" w:rsidR="00C64FE1" w:rsidRPr="00A919B1" w:rsidRDefault="00C64FE1" w:rsidP="00C64FE1">
            <w:pPr>
              <w:spacing w:before="60" w:after="60" w:line="276" w:lineRule="auto"/>
              <w:rPr>
                <w:rFonts w:ascii="Arial" w:hAnsi="Arial" w:cs="Arial"/>
                <w:sz w:val="22"/>
              </w:rPr>
            </w:pPr>
            <w:r w:rsidRPr="002F3FBB">
              <w:rPr>
                <w:rFonts w:ascii="Arial" w:hAnsi="Arial" w:cs="Arial"/>
                <w:sz w:val="20"/>
              </w:rPr>
              <w:t>SDL&amp;I will apply the following criteria</w:t>
            </w:r>
          </w:p>
        </w:tc>
      </w:tr>
      <w:tr w:rsidR="00C64FE1" w:rsidRPr="00D754CB" w14:paraId="5071F37C" w14:textId="77777777" w:rsidTr="00115ECC">
        <w:trPr>
          <w:trHeight w:val="298"/>
        </w:trPr>
        <w:tc>
          <w:tcPr>
            <w:tcW w:w="9016" w:type="dxa"/>
          </w:tcPr>
          <w:p w14:paraId="58CE11AD"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2E158599" w14:textId="77777777" w:rsidTr="00304117">
              <w:tc>
                <w:tcPr>
                  <w:tcW w:w="5680" w:type="dxa"/>
                  <w:tcBorders>
                    <w:right w:val="single" w:sz="4" w:space="0" w:color="auto"/>
                  </w:tcBorders>
                </w:tcPr>
                <w:p w14:paraId="7488F09D"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77430BE6" w14:textId="77777777" w:rsidTr="00304117">
              <w:tc>
                <w:tcPr>
                  <w:tcW w:w="5680" w:type="dxa"/>
                  <w:tcBorders>
                    <w:right w:val="single" w:sz="4" w:space="0" w:color="auto"/>
                  </w:tcBorders>
                </w:tcPr>
                <w:p w14:paraId="0AB2FD27"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9C5D270" w14:textId="77777777" w:rsidTr="00304117">
              <w:tc>
                <w:tcPr>
                  <w:tcW w:w="5680" w:type="dxa"/>
                  <w:tcBorders>
                    <w:right w:val="single" w:sz="4" w:space="0" w:color="auto"/>
                  </w:tcBorders>
                </w:tcPr>
                <w:p w14:paraId="622C788E"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1B150FD6" w14:textId="77777777" w:rsidTr="00304117">
              <w:tc>
                <w:tcPr>
                  <w:tcW w:w="5680" w:type="dxa"/>
                  <w:tcBorders>
                    <w:right w:val="single" w:sz="4" w:space="0" w:color="auto"/>
                  </w:tcBorders>
                </w:tcPr>
                <w:p w14:paraId="3609D23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41D18957" w14:textId="77777777" w:rsidTr="00304117">
              <w:tc>
                <w:tcPr>
                  <w:tcW w:w="5680" w:type="dxa"/>
                  <w:tcBorders>
                    <w:right w:val="single" w:sz="4" w:space="0" w:color="auto"/>
                  </w:tcBorders>
                </w:tcPr>
                <w:p w14:paraId="120D3406"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C64FE1" w:rsidRPr="00EB6A30" w:rsidRDefault="00C64FE1" w:rsidP="00C64FE1">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1558FD11" w14:textId="77777777" w:rsidTr="00304117">
              <w:tc>
                <w:tcPr>
                  <w:tcW w:w="5680" w:type="dxa"/>
                  <w:tcBorders>
                    <w:right w:val="single" w:sz="4" w:space="0" w:color="auto"/>
                  </w:tcBorders>
                </w:tcPr>
                <w:p w14:paraId="1E8E9FC1"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C64FE1" w:rsidRPr="00EB6A30" w:rsidRDefault="00C64FE1" w:rsidP="00C64FE1">
            <w:pPr>
              <w:rPr>
                <w:rFonts w:ascii="Arial" w:hAnsi="Arial" w:cs="Arial"/>
                <w:sz w:val="20"/>
              </w:rPr>
            </w:pPr>
          </w:p>
          <w:p w14:paraId="6EF01AF6" w14:textId="77777777" w:rsidR="00C64FE1" w:rsidRPr="00115ECC" w:rsidRDefault="00C64FE1" w:rsidP="00C64FE1">
            <w:pPr>
              <w:shd w:val="clear" w:color="auto" w:fill="DDD9C3" w:themeFill="background2" w:themeFillShade="E6"/>
              <w:rPr>
                <w:rFonts w:ascii="Arial" w:hAnsi="Arial" w:cs="Arial"/>
                <w:sz w:val="16"/>
              </w:rPr>
            </w:pPr>
            <w:r w:rsidRPr="00115ECC">
              <w:rPr>
                <w:rFonts w:ascii="Arial" w:hAnsi="Arial" w:cs="Arial"/>
                <w:sz w:val="16"/>
              </w:rPr>
              <w:t xml:space="preserve">Tender Returnable if the above elements are </w:t>
            </w:r>
            <w:proofErr w:type="gramStart"/>
            <w:r w:rsidRPr="00115ECC">
              <w:rPr>
                <w:rFonts w:ascii="Arial" w:hAnsi="Arial" w:cs="Arial"/>
                <w:sz w:val="16"/>
              </w:rPr>
              <w:t>requirements;</w:t>
            </w:r>
            <w:proofErr w:type="gramEnd"/>
          </w:p>
          <w:p w14:paraId="0C474D6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w:t>
            </w:r>
            <w:proofErr w:type="gramStart"/>
            <w:r w:rsidRPr="00115ECC">
              <w:rPr>
                <w:rFonts w:ascii="Arial" w:hAnsi="Arial" w:cs="Arial"/>
                <w:sz w:val="16"/>
              </w:rPr>
              <w:t>of  sworn</w:t>
            </w:r>
            <w:proofErr w:type="gramEnd"/>
            <w:r w:rsidRPr="00115ECC">
              <w:rPr>
                <w:rFonts w:ascii="Arial" w:hAnsi="Arial" w:cs="Arial"/>
                <w:sz w:val="16"/>
              </w:rPr>
              <w:t xml:space="preserve"> affidavit in the case of EME’s must be submitted (affidavit must be completed fully), or</w:t>
            </w:r>
          </w:p>
          <w:p w14:paraId="2671099D"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598A916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 </w:t>
            </w:r>
            <w:proofErr w:type="gramStart"/>
            <w:r w:rsidRPr="00115ECC">
              <w:rPr>
                <w:rFonts w:ascii="Arial" w:hAnsi="Arial" w:cs="Arial"/>
                <w:sz w:val="16"/>
              </w:rPr>
              <w:t>sworn affidavit</w:t>
            </w:r>
            <w:proofErr w:type="gramEnd"/>
            <w:r w:rsidRPr="00115ECC">
              <w:rPr>
                <w:rFonts w:ascii="Arial" w:hAnsi="Arial" w:cs="Arial"/>
                <w:sz w:val="16"/>
              </w:rPr>
              <w:t xml:space="preserve"> in the case of QSE’s must be submitted, or</w:t>
            </w:r>
          </w:p>
          <w:p w14:paraId="33F9975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w:t>
            </w:r>
            <w:r w:rsidRPr="00115ECC">
              <w:rPr>
                <w:rFonts w:ascii="Arial" w:hAnsi="Arial" w:cs="Arial"/>
                <w:sz w:val="16"/>
                <w:lang w:val="en-ZA"/>
              </w:rPr>
              <w:t xml:space="preserve">issued by SANAS Accredited Verification Agency </w:t>
            </w:r>
            <w:r>
              <w:rPr>
                <w:rFonts w:ascii="Arial" w:hAnsi="Arial" w:cs="Arial"/>
                <w:sz w:val="16"/>
              </w:rPr>
              <w:t>for Generic</w:t>
            </w:r>
            <w:r w:rsidRPr="00115ECC">
              <w:rPr>
                <w:rFonts w:ascii="Arial" w:hAnsi="Arial" w:cs="Arial"/>
                <w:sz w:val="16"/>
              </w:rPr>
              <w:t xml:space="preserve"> </w:t>
            </w:r>
            <w:r>
              <w:rPr>
                <w:rFonts w:ascii="Arial" w:hAnsi="Arial" w:cs="Arial"/>
                <w:sz w:val="16"/>
              </w:rPr>
              <w:t xml:space="preserve">Entities </w:t>
            </w:r>
            <w:r w:rsidRPr="00115ECC">
              <w:rPr>
                <w:rFonts w:ascii="Arial" w:hAnsi="Arial" w:cs="Arial"/>
                <w:sz w:val="16"/>
              </w:rPr>
              <w:t>must be submitted, or</w:t>
            </w:r>
          </w:p>
          <w:p w14:paraId="09303D9A" w14:textId="77777777" w:rsidR="00C64FE1" w:rsidRPr="00115ECC" w:rsidRDefault="00C64FE1" w:rsidP="00C64FE1">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3FC880C6" w14:textId="77777777" w:rsidTr="00304117">
              <w:tc>
                <w:tcPr>
                  <w:tcW w:w="5680" w:type="dxa"/>
                  <w:tcBorders>
                    <w:right w:val="single" w:sz="4" w:space="0" w:color="auto"/>
                  </w:tcBorders>
                </w:tcPr>
                <w:p w14:paraId="1DBD2ED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213AC551" w14:textId="77777777" w:rsidTr="00304117">
              <w:tc>
                <w:tcPr>
                  <w:tcW w:w="5680" w:type="dxa"/>
                  <w:tcBorders>
                    <w:right w:val="single" w:sz="4" w:space="0" w:color="auto"/>
                  </w:tcBorders>
                </w:tcPr>
                <w:p w14:paraId="0A010792"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FE7AC30" w14:textId="77777777" w:rsidTr="00304117">
              <w:tc>
                <w:tcPr>
                  <w:tcW w:w="5680" w:type="dxa"/>
                  <w:tcBorders>
                    <w:right w:val="single" w:sz="4" w:space="0" w:color="auto"/>
                  </w:tcBorders>
                </w:tcPr>
                <w:p w14:paraId="66B07862"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C64FE1" w:rsidRPr="00EB6A30" w:rsidRDefault="00C64FE1" w:rsidP="00C64FE1">
            <w:pPr>
              <w:rPr>
                <w:rFonts w:ascii="Arial" w:hAnsi="Arial" w:cs="Arial"/>
                <w:sz w:val="20"/>
              </w:rPr>
            </w:pPr>
          </w:p>
          <w:p w14:paraId="3AC02878" w14:textId="77777777" w:rsidR="00C64FE1" w:rsidRPr="00115ECC" w:rsidRDefault="00C64FE1" w:rsidP="00C64FE1">
            <w:pPr>
              <w:shd w:val="clear" w:color="auto" w:fill="DDD9C3" w:themeFill="background2" w:themeFillShade="E6"/>
              <w:rPr>
                <w:rFonts w:ascii="Arial" w:hAnsi="Arial" w:cs="Arial"/>
                <w:sz w:val="16"/>
                <w:szCs w:val="16"/>
              </w:rPr>
            </w:pPr>
            <w:r w:rsidRPr="00115ECC">
              <w:rPr>
                <w:rFonts w:ascii="Arial" w:hAnsi="Arial" w:cs="Arial"/>
                <w:sz w:val="16"/>
                <w:szCs w:val="16"/>
              </w:rPr>
              <w:t xml:space="preserve">Tender Returnable if the above element is a </w:t>
            </w:r>
            <w:proofErr w:type="gramStart"/>
            <w:r w:rsidRPr="00115ECC">
              <w:rPr>
                <w:rFonts w:ascii="Arial" w:hAnsi="Arial" w:cs="Arial"/>
                <w:sz w:val="16"/>
                <w:szCs w:val="16"/>
              </w:rPr>
              <w:t>requirement;</w:t>
            </w:r>
            <w:proofErr w:type="gramEnd"/>
          </w:p>
          <w:p w14:paraId="78DD4959"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 xml:space="preserve">Sub-contractor/s B-BBEE certificate / </w:t>
            </w:r>
            <w:proofErr w:type="gramStart"/>
            <w:r w:rsidRPr="00977B70">
              <w:rPr>
                <w:rFonts w:ascii="Arial" w:hAnsi="Arial" w:cs="Arial"/>
                <w:b/>
                <w:sz w:val="16"/>
                <w:szCs w:val="16"/>
              </w:rPr>
              <w:t>sworn affidavit</w:t>
            </w:r>
            <w:proofErr w:type="gramEnd"/>
            <w:r w:rsidRPr="00977B70">
              <w:rPr>
                <w:rFonts w:ascii="Arial" w:hAnsi="Arial" w:cs="Arial"/>
                <w:b/>
                <w:sz w:val="16"/>
                <w:szCs w:val="16"/>
              </w:rPr>
              <w:t xml:space="preserve"> must be submitted.</w:t>
            </w:r>
          </w:p>
          <w:p w14:paraId="661D902B" w14:textId="77777777" w:rsidR="00C64FE1" w:rsidRPr="00977B70" w:rsidRDefault="00C64FE1" w:rsidP="00C64FE1">
            <w:pPr>
              <w:shd w:val="clear" w:color="auto" w:fill="DDD9C3" w:themeFill="background2" w:themeFillShade="E6"/>
              <w:spacing w:line="276" w:lineRule="auto"/>
              <w:ind w:left="360"/>
              <w:rPr>
                <w:rFonts w:ascii="Arial" w:hAnsi="Arial" w:cs="Arial"/>
                <w:b/>
                <w:sz w:val="16"/>
                <w:szCs w:val="16"/>
              </w:rPr>
            </w:pPr>
          </w:p>
          <w:p w14:paraId="17309C3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Pr>
                <w:rFonts w:ascii="Arial" w:hAnsi="Arial" w:cs="Arial"/>
                <w:sz w:val="16"/>
                <w:szCs w:val="16"/>
              </w:rPr>
              <w:t>any</w:t>
            </w:r>
            <w:r w:rsidRPr="00115ECC">
              <w:rPr>
                <w:rFonts w:ascii="Arial" w:hAnsi="Arial" w:cs="Arial"/>
                <w:sz w:val="16"/>
                <w:szCs w:val="16"/>
              </w:rPr>
              <w:t xml:space="preserve">one of the following </w:t>
            </w:r>
            <w:proofErr w:type="gramStart"/>
            <w:r w:rsidRPr="00115ECC">
              <w:rPr>
                <w:rFonts w:ascii="Arial" w:hAnsi="Arial" w:cs="Arial"/>
                <w:sz w:val="16"/>
                <w:szCs w:val="16"/>
              </w:rPr>
              <w:t>entities;</w:t>
            </w:r>
            <w:proofErr w:type="gramEnd"/>
          </w:p>
          <w:p w14:paraId="3EE58E3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w:t>
            </w:r>
            <w:proofErr w:type="gramStart"/>
            <w:r w:rsidRPr="00115ECC">
              <w:rPr>
                <w:rFonts w:ascii="Arial" w:hAnsi="Arial" w:cs="Arial"/>
                <w:sz w:val="16"/>
                <w:szCs w:val="16"/>
              </w:rPr>
              <w:t>people;</w:t>
            </w:r>
            <w:proofErr w:type="gramEnd"/>
          </w:p>
          <w:p w14:paraId="078EDD6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youth;</w:t>
            </w:r>
            <w:proofErr w:type="gramEnd"/>
          </w:p>
          <w:p w14:paraId="0ED196F0"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who are </w:t>
            </w:r>
            <w:proofErr w:type="gramStart"/>
            <w:r w:rsidRPr="00115ECC">
              <w:rPr>
                <w:rFonts w:ascii="Arial" w:hAnsi="Arial" w:cs="Arial"/>
                <w:sz w:val="16"/>
                <w:szCs w:val="16"/>
              </w:rPr>
              <w:t>women;</w:t>
            </w:r>
            <w:proofErr w:type="gramEnd"/>
          </w:p>
          <w:p w14:paraId="19981DBA"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at least 51% owned by black people with </w:t>
            </w:r>
            <w:proofErr w:type="gramStart"/>
            <w:r w:rsidRPr="00115ECC">
              <w:rPr>
                <w:rFonts w:ascii="Arial" w:hAnsi="Arial" w:cs="Arial"/>
                <w:sz w:val="16"/>
                <w:szCs w:val="16"/>
              </w:rPr>
              <w:t>disabilities;</w:t>
            </w:r>
            <w:proofErr w:type="gramEnd"/>
          </w:p>
          <w:p w14:paraId="7BB9264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an EME or QSE which is 51% owned by black people living in rural or underdeveloped area or </w:t>
            </w:r>
            <w:proofErr w:type="gramStart"/>
            <w:r w:rsidRPr="00115ECC">
              <w:rPr>
                <w:rFonts w:ascii="Arial" w:hAnsi="Arial" w:cs="Arial"/>
                <w:sz w:val="16"/>
                <w:szCs w:val="16"/>
              </w:rPr>
              <w:t>townships;</w:t>
            </w:r>
            <w:proofErr w:type="gramEnd"/>
          </w:p>
          <w:p w14:paraId="08FF9851"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w:t>
            </w:r>
            <w:proofErr w:type="gramStart"/>
            <w:r w:rsidRPr="00115ECC">
              <w:rPr>
                <w:rFonts w:ascii="Arial" w:hAnsi="Arial" w:cs="Arial"/>
                <w:sz w:val="16"/>
                <w:szCs w:val="16"/>
              </w:rPr>
              <w:t>people;</w:t>
            </w:r>
            <w:proofErr w:type="gramEnd"/>
            <w:r w:rsidRPr="00115ECC">
              <w:rPr>
                <w:rFonts w:ascii="Arial" w:hAnsi="Arial" w:cs="Arial"/>
                <w:sz w:val="16"/>
                <w:szCs w:val="16"/>
              </w:rPr>
              <w:t xml:space="preserve"> </w:t>
            </w:r>
          </w:p>
          <w:p w14:paraId="50831964" w14:textId="77777777" w:rsidR="00C64FE1" w:rsidRPr="003E052A" w:rsidRDefault="00C64FE1" w:rsidP="00C64FE1">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3E96B3F0" w14:textId="77777777"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 xml:space="preserve">Please indicate below </w:t>
                  </w:r>
                  <w:proofErr w:type="gramStart"/>
                  <w:r w:rsidRPr="00EB6A30">
                    <w:rPr>
                      <w:rFonts w:ascii="Arial" w:hAnsi="Arial" w:cs="Arial"/>
                      <w:sz w:val="20"/>
                    </w:rPr>
                    <w:t>Designated</w:t>
                  </w:r>
                  <w:r w:rsidR="001D3F40" w:rsidRPr="00EB6A30">
                    <w:rPr>
                      <w:rFonts w:ascii="Arial" w:hAnsi="Arial" w:cs="Arial"/>
                      <w:sz w:val="20"/>
                    </w:rPr>
                    <w:t xml:space="preserve"> </w:t>
                  </w:r>
                  <w:r w:rsidRPr="00EB6A30">
                    <w:rPr>
                      <w:rFonts w:ascii="Arial" w:hAnsi="Arial" w:cs="Arial"/>
                      <w:sz w:val="20"/>
                    </w:rPr>
                    <w:t xml:space="preserve"> Components</w:t>
                  </w:r>
                  <w:proofErr w:type="gramEnd"/>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w:t>
            </w:r>
            <w:proofErr w:type="spellStart"/>
            <w:r w:rsidR="00304117" w:rsidRPr="00EB6A30">
              <w:rPr>
                <w:rFonts w:ascii="Arial" w:hAnsi="Arial" w:cs="Arial"/>
                <w:sz w:val="20"/>
              </w:rPr>
              <w:t>returnable</w:t>
            </w:r>
            <w:r w:rsidR="00845A4B">
              <w:rPr>
                <w:rFonts w:ascii="Arial" w:hAnsi="Arial" w:cs="Arial"/>
                <w:sz w:val="20"/>
              </w:rPr>
              <w:t>s</w:t>
            </w:r>
            <w:proofErr w:type="spellEnd"/>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088062E8" w14:textId="77777777" w:rsidR="00692B80" w:rsidRDefault="00692B80" w:rsidP="002319CA">
      <w:pPr>
        <w:spacing w:before="60" w:after="60" w:line="276" w:lineRule="auto"/>
        <w:rPr>
          <w:rFonts w:ascii="Arial" w:hAnsi="Arial" w:cs="Arial"/>
          <w:b/>
          <w:sz w:val="20"/>
        </w:rPr>
      </w:pPr>
    </w:p>
    <w:p w14:paraId="405F22EA" w14:textId="77777777" w:rsidR="00FB1E51" w:rsidRDefault="00FB1E51" w:rsidP="002319CA">
      <w:pPr>
        <w:spacing w:before="60" w:after="60" w:line="276" w:lineRule="auto"/>
        <w:rPr>
          <w:rFonts w:ascii="Arial" w:hAnsi="Arial" w:cs="Arial"/>
          <w:b/>
          <w:sz w:val="20"/>
        </w:rPr>
      </w:pPr>
    </w:p>
    <w:p w14:paraId="1CCB5389" w14:textId="77777777" w:rsidR="00FB1E51" w:rsidRDefault="00FB1E51" w:rsidP="002319CA">
      <w:pPr>
        <w:spacing w:before="60" w:after="60" w:line="276" w:lineRule="auto"/>
        <w:rPr>
          <w:rFonts w:ascii="Arial" w:hAnsi="Arial" w:cs="Arial"/>
          <w:b/>
          <w:sz w:val="20"/>
        </w:rPr>
      </w:pPr>
    </w:p>
    <w:p w14:paraId="3F507128" w14:textId="77777777" w:rsidR="00FB1E51" w:rsidRDefault="00FB1E51" w:rsidP="002319CA">
      <w:pPr>
        <w:spacing w:before="60" w:after="60" w:line="276" w:lineRule="auto"/>
        <w:rPr>
          <w:rFonts w:ascii="Arial" w:hAnsi="Arial" w:cs="Arial"/>
          <w:b/>
          <w:sz w:val="20"/>
        </w:rPr>
      </w:pPr>
    </w:p>
    <w:p w14:paraId="0C11E2D4" w14:textId="11C9702A" w:rsidR="00FB1E51" w:rsidRDefault="00FB1E51" w:rsidP="002319CA">
      <w:pPr>
        <w:spacing w:before="60" w:after="60" w:line="276" w:lineRule="auto"/>
        <w:rPr>
          <w:rFonts w:ascii="Arial" w:hAnsi="Arial" w:cs="Arial"/>
          <w:b/>
          <w:sz w:val="20"/>
        </w:rPr>
      </w:pPr>
    </w:p>
    <w:p w14:paraId="77E0C0DD" w14:textId="05748A9F" w:rsidR="00487AA0" w:rsidRDefault="00487AA0" w:rsidP="002319CA">
      <w:pPr>
        <w:spacing w:before="60" w:after="60" w:line="276" w:lineRule="auto"/>
        <w:rPr>
          <w:rFonts w:ascii="Arial" w:hAnsi="Arial" w:cs="Arial"/>
          <w:b/>
          <w:sz w:val="20"/>
        </w:rPr>
      </w:pPr>
    </w:p>
    <w:p w14:paraId="62F69C33" w14:textId="4534933F" w:rsidR="000F2D77" w:rsidRDefault="000F2D77" w:rsidP="002319CA">
      <w:pPr>
        <w:spacing w:before="60" w:after="60" w:line="276" w:lineRule="auto"/>
        <w:rPr>
          <w:rFonts w:ascii="Arial" w:hAnsi="Arial" w:cs="Arial"/>
          <w:b/>
          <w:sz w:val="20"/>
        </w:rPr>
      </w:pPr>
    </w:p>
    <w:p w14:paraId="0D01BC85" w14:textId="16A9EB9F" w:rsidR="006765B2" w:rsidRDefault="006765B2" w:rsidP="002319CA">
      <w:pPr>
        <w:spacing w:before="60" w:after="60" w:line="276" w:lineRule="auto"/>
        <w:rPr>
          <w:rFonts w:ascii="Arial" w:hAnsi="Arial" w:cs="Arial"/>
          <w:b/>
          <w:sz w:val="20"/>
        </w:rPr>
      </w:pPr>
    </w:p>
    <w:p w14:paraId="0FC0FA2C" w14:textId="77777777" w:rsidR="006765B2" w:rsidRDefault="006765B2" w:rsidP="002319CA">
      <w:pPr>
        <w:spacing w:before="60" w:after="60" w:line="276" w:lineRule="auto"/>
        <w:rPr>
          <w:rFonts w:ascii="Arial" w:hAnsi="Arial" w:cs="Arial"/>
          <w:b/>
          <w:sz w:val="20"/>
        </w:rPr>
      </w:pPr>
    </w:p>
    <w:p w14:paraId="26187DCB" w14:textId="77777777" w:rsidR="000F2D77" w:rsidRDefault="000F2D77" w:rsidP="002319CA">
      <w:pPr>
        <w:spacing w:before="60" w:after="60" w:line="276" w:lineRule="auto"/>
        <w:rPr>
          <w:rFonts w:ascii="Arial" w:hAnsi="Arial" w:cs="Arial"/>
          <w:b/>
          <w:sz w:val="20"/>
        </w:rPr>
      </w:pPr>
    </w:p>
    <w:p w14:paraId="103D2FB7" w14:textId="77777777" w:rsidR="00C95EC4" w:rsidRPr="00EB6A30" w:rsidRDefault="006E1BFE" w:rsidP="006E1BFE">
      <w:pPr>
        <w:spacing w:after="200" w:line="276" w:lineRule="auto"/>
        <w:rPr>
          <w:rFonts w:ascii="Arial" w:hAnsi="Arial" w:cs="Arial"/>
          <w:b/>
          <w:sz w:val="22"/>
        </w:rPr>
      </w:pPr>
      <w:r>
        <w:rPr>
          <w:rFonts w:ascii="Arial" w:hAnsi="Arial" w:cs="Arial"/>
          <w:b/>
        </w:rPr>
        <w:lastRenderedPageBreak/>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4B9B57D0" w14:textId="36388A1C"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00956E52">
              <w:rPr>
                <w:rFonts w:ascii="Arial" w:hAnsi="Arial" w:cs="Arial"/>
                <w:sz w:val="20"/>
              </w:rPr>
              <w:t>The supplier is</w:t>
            </w:r>
            <w:r w:rsidR="00CC4080">
              <w:rPr>
                <w:rFonts w:ascii="Arial" w:hAnsi="Arial" w:cs="Arial"/>
                <w:sz w:val="20"/>
              </w:rPr>
              <w:t xml:space="preserv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861BE0" w:rsidRPr="00637D14">
              <w:rPr>
                <w:rFonts w:ascii="Arial" w:hAnsi="Arial" w:cs="Arial"/>
                <w:sz w:val="20"/>
                <w:lang w:val="en-ZA"/>
              </w:rPr>
              <w:t>Th</w:t>
            </w:r>
            <w:r w:rsidRPr="00637D14">
              <w:rPr>
                <w:rFonts w:ascii="Arial" w:hAnsi="Arial" w:cs="Arial"/>
                <w:sz w:val="20"/>
                <w:lang w:val="en-ZA"/>
              </w:rPr>
              <w:t>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713E63" w:rsidRPr="000C5130" w14:paraId="5E5023AD" w14:textId="77777777" w:rsidTr="005358BE">
              <w:trPr>
                <w:trHeight w:val="359"/>
              </w:trPr>
              <w:tc>
                <w:tcPr>
                  <w:tcW w:w="3668" w:type="dxa"/>
                  <w:shd w:val="clear" w:color="auto" w:fill="D9D9D9" w:themeFill="background1" w:themeFillShade="D9"/>
                </w:tcPr>
                <w:p w14:paraId="12EDB94F"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44EAC505" w14:textId="77777777"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D9528EE" w14:textId="719EA1F4" w:rsidR="00713E63" w:rsidRPr="000C5130" w:rsidRDefault="00713E63" w:rsidP="005C2E51">
                  <w:pPr>
                    <w:tabs>
                      <w:tab w:val="left" w:pos="720"/>
                    </w:tabs>
                    <w:jc w:val="center"/>
                    <w:rPr>
                      <w:rFonts w:ascii="Arial" w:hAnsi="Arial" w:cs="Arial"/>
                      <w:b/>
                      <w:sz w:val="20"/>
                    </w:rPr>
                  </w:pPr>
                  <w:r>
                    <w:rPr>
                      <w:rFonts w:ascii="Arial" w:hAnsi="Arial" w:cs="Arial"/>
                      <w:b/>
                      <w:sz w:val="20"/>
                    </w:rPr>
                    <w:t>Number of Candidates</w:t>
                  </w:r>
                </w:p>
              </w:tc>
            </w:tr>
            <w:tr w:rsidR="006765B2" w:rsidRPr="000C5130" w14:paraId="54141FE4" w14:textId="77777777" w:rsidTr="005358BE">
              <w:trPr>
                <w:trHeight w:val="359"/>
              </w:trPr>
              <w:tc>
                <w:tcPr>
                  <w:tcW w:w="3668" w:type="dxa"/>
                  <w:shd w:val="clear" w:color="auto" w:fill="auto"/>
                  <w:vAlign w:val="bottom"/>
                </w:tcPr>
                <w:p w14:paraId="43758F5F" w14:textId="3BB2D54F" w:rsidR="006765B2" w:rsidRPr="008A3FC8" w:rsidRDefault="001F56DF" w:rsidP="006765B2">
                  <w:pPr>
                    <w:spacing w:line="276" w:lineRule="auto"/>
                    <w:rPr>
                      <w:rFonts w:ascii="Arial" w:hAnsi="Arial" w:cs="Arial"/>
                      <w:sz w:val="20"/>
                    </w:rPr>
                  </w:pPr>
                  <w:r>
                    <w:rPr>
                      <w:rFonts w:ascii="Arial" w:hAnsi="Arial" w:cs="Arial"/>
                      <w:sz w:val="20"/>
                    </w:rPr>
                    <w:t xml:space="preserve">Certified cyber security </w:t>
                  </w:r>
                  <w:r w:rsidR="002B49D9">
                    <w:rPr>
                      <w:rFonts w:ascii="Arial" w:hAnsi="Arial" w:cs="Arial"/>
                      <w:sz w:val="20"/>
                    </w:rPr>
                    <w:t>analyst</w:t>
                  </w:r>
                </w:p>
              </w:tc>
              <w:tc>
                <w:tcPr>
                  <w:tcW w:w="1674" w:type="dxa"/>
                </w:tcPr>
                <w:p w14:paraId="1009FC17" w14:textId="54A936DE" w:rsidR="006765B2" w:rsidRDefault="002B49D9" w:rsidP="006765B2">
                  <w:pPr>
                    <w:jc w:val="center"/>
                    <w:rPr>
                      <w:rFonts w:ascii="Arial" w:hAnsi="Arial" w:cs="Arial"/>
                      <w:sz w:val="20"/>
                    </w:rPr>
                  </w:pPr>
                  <w:r>
                    <w:rPr>
                      <w:rFonts w:ascii="Arial" w:hAnsi="Arial" w:cs="Arial"/>
                      <w:sz w:val="20"/>
                    </w:rPr>
                    <w:t>3</w:t>
                  </w:r>
                </w:p>
              </w:tc>
              <w:tc>
                <w:tcPr>
                  <w:tcW w:w="1984" w:type="dxa"/>
                </w:tcPr>
                <w:p w14:paraId="6A18CA41" w14:textId="32172AF1" w:rsidR="006765B2" w:rsidRPr="000F2D77" w:rsidRDefault="006765B2" w:rsidP="006765B2">
                  <w:pPr>
                    <w:tabs>
                      <w:tab w:val="left" w:pos="720"/>
                    </w:tabs>
                    <w:spacing w:line="276" w:lineRule="auto"/>
                    <w:rPr>
                      <w:rFonts w:ascii="Arial" w:hAnsi="Arial" w:cs="Arial"/>
                      <w:sz w:val="20"/>
                    </w:rPr>
                  </w:pPr>
                </w:p>
              </w:tc>
            </w:tr>
            <w:tr w:rsidR="00956E52" w:rsidRPr="000C5130" w14:paraId="4D308D9E" w14:textId="77777777" w:rsidTr="005358BE">
              <w:trPr>
                <w:trHeight w:val="359"/>
              </w:trPr>
              <w:tc>
                <w:tcPr>
                  <w:tcW w:w="3668" w:type="dxa"/>
                  <w:shd w:val="clear" w:color="auto" w:fill="auto"/>
                  <w:vAlign w:val="bottom"/>
                </w:tcPr>
                <w:p w14:paraId="63188195" w14:textId="1CF468B3" w:rsidR="00956E52" w:rsidRPr="00140917" w:rsidRDefault="006765B2" w:rsidP="00F43E37">
                  <w:pPr>
                    <w:spacing w:line="276" w:lineRule="auto"/>
                    <w:rPr>
                      <w:rFonts w:ascii="Arial" w:hAnsi="Arial" w:cs="Arial"/>
                      <w:sz w:val="20"/>
                    </w:rPr>
                  </w:pPr>
                  <w:r w:rsidRPr="006765B2">
                    <w:rPr>
                      <w:rFonts w:ascii="Arial" w:hAnsi="Arial" w:cs="Arial"/>
                      <w:sz w:val="20"/>
                    </w:rPr>
                    <w:t>Certified IT architect</w:t>
                  </w:r>
                </w:p>
              </w:tc>
              <w:tc>
                <w:tcPr>
                  <w:tcW w:w="1674" w:type="dxa"/>
                </w:tcPr>
                <w:p w14:paraId="3E301B9B" w14:textId="6E86C42B" w:rsidR="00956E52" w:rsidRDefault="002B49D9" w:rsidP="00F43E37">
                  <w:pPr>
                    <w:jc w:val="center"/>
                    <w:rPr>
                      <w:rFonts w:ascii="Arial" w:hAnsi="Arial" w:cs="Arial"/>
                      <w:sz w:val="20"/>
                    </w:rPr>
                  </w:pPr>
                  <w:r>
                    <w:rPr>
                      <w:rFonts w:ascii="Arial" w:hAnsi="Arial" w:cs="Arial"/>
                      <w:sz w:val="20"/>
                    </w:rPr>
                    <w:t>2</w:t>
                  </w:r>
                </w:p>
              </w:tc>
              <w:tc>
                <w:tcPr>
                  <w:tcW w:w="1984" w:type="dxa"/>
                </w:tcPr>
                <w:p w14:paraId="569FD80F" w14:textId="77777777" w:rsidR="00956E52" w:rsidRPr="008A3FC8" w:rsidRDefault="00956E52" w:rsidP="00F43E37">
                  <w:pPr>
                    <w:tabs>
                      <w:tab w:val="left" w:pos="720"/>
                    </w:tabs>
                    <w:jc w:val="center"/>
                    <w:rPr>
                      <w:rFonts w:ascii="Arial" w:hAnsi="Arial" w:cs="Arial"/>
                      <w:b/>
                      <w:sz w:val="20"/>
                    </w:rPr>
                  </w:pPr>
                </w:p>
              </w:tc>
            </w:tr>
            <w:tr w:rsidR="00956E52" w:rsidRPr="000C5130" w14:paraId="520B8BCF" w14:textId="77777777" w:rsidTr="005358BE">
              <w:trPr>
                <w:trHeight w:val="359"/>
              </w:trPr>
              <w:tc>
                <w:tcPr>
                  <w:tcW w:w="3668" w:type="dxa"/>
                  <w:shd w:val="clear" w:color="auto" w:fill="auto"/>
                  <w:vAlign w:val="bottom"/>
                </w:tcPr>
                <w:p w14:paraId="2C25933E" w14:textId="1CA71ED8" w:rsidR="00956E52" w:rsidRDefault="002B49D9" w:rsidP="00F43E37">
                  <w:pPr>
                    <w:spacing w:line="276" w:lineRule="auto"/>
                    <w:rPr>
                      <w:rFonts w:ascii="Arial" w:hAnsi="Arial" w:cs="Arial"/>
                      <w:sz w:val="20"/>
                    </w:rPr>
                  </w:pPr>
                  <w:r>
                    <w:rPr>
                      <w:rFonts w:ascii="Arial" w:hAnsi="Arial" w:cs="Arial"/>
                      <w:sz w:val="20"/>
                    </w:rPr>
                    <w:t>CompTIA Security</w:t>
                  </w:r>
                </w:p>
              </w:tc>
              <w:tc>
                <w:tcPr>
                  <w:tcW w:w="1674" w:type="dxa"/>
                </w:tcPr>
                <w:p w14:paraId="388E8332" w14:textId="41E7C131" w:rsidR="00956E52" w:rsidRDefault="003320AB" w:rsidP="00F43E37">
                  <w:pPr>
                    <w:jc w:val="center"/>
                    <w:rPr>
                      <w:rFonts w:ascii="Arial" w:hAnsi="Arial" w:cs="Arial"/>
                      <w:sz w:val="20"/>
                    </w:rPr>
                  </w:pPr>
                  <w:r>
                    <w:rPr>
                      <w:rFonts w:ascii="Arial" w:hAnsi="Arial" w:cs="Arial"/>
                      <w:sz w:val="20"/>
                    </w:rPr>
                    <w:t>3</w:t>
                  </w:r>
                </w:p>
              </w:tc>
              <w:tc>
                <w:tcPr>
                  <w:tcW w:w="1984" w:type="dxa"/>
                </w:tcPr>
                <w:p w14:paraId="4E4BEE8E" w14:textId="77777777" w:rsidR="00956E52" w:rsidRPr="008A3FC8" w:rsidRDefault="00956E52" w:rsidP="00F43E37">
                  <w:pPr>
                    <w:tabs>
                      <w:tab w:val="left" w:pos="720"/>
                    </w:tabs>
                    <w:jc w:val="center"/>
                    <w:rPr>
                      <w:rFonts w:ascii="Arial" w:hAnsi="Arial" w:cs="Arial"/>
                      <w:b/>
                      <w:sz w:val="20"/>
                    </w:rPr>
                  </w:pPr>
                </w:p>
              </w:tc>
            </w:tr>
          </w:tbl>
          <w:p w14:paraId="0CC5CBD3" w14:textId="77777777" w:rsidR="00E500CF" w:rsidRDefault="00E500CF" w:rsidP="00E500CF">
            <w:pPr>
              <w:tabs>
                <w:tab w:val="left" w:pos="720"/>
              </w:tabs>
              <w:ind w:left="720"/>
              <w:jc w:val="both"/>
              <w:rPr>
                <w:rFonts w:ascii="Arial" w:hAnsi="Arial" w:cs="Arial"/>
                <w:sz w:val="20"/>
                <w:lang w:val="en-ZA"/>
              </w:rPr>
            </w:pPr>
          </w:p>
          <w:p w14:paraId="1B290E0F" w14:textId="77777777" w:rsidR="00E500CF" w:rsidRDefault="00E500CF"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2C92BE23" w14:textId="77777777" w:rsidR="00A346F0" w:rsidRDefault="00A346F0"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0923C315" w14:textId="15792112" w:rsidR="000263D8" w:rsidRDefault="000263D8" w:rsidP="00C7656D">
      <w:pPr>
        <w:spacing w:after="200" w:line="276" w:lineRule="auto"/>
        <w:rPr>
          <w:rFonts w:ascii="Arial" w:hAnsi="Arial" w:cs="Arial"/>
          <w:b/>
          <w:sz w:val="22"/>
        </w:rPr>
      </w:pPr>
    </w:p>
    <w:p w14:paraId="62F66350" w14:textId="214CE19C" w:rsidR="003320AB" w:rsidRDefault="003320AB" w:rsidP="00C7656D">
      <w:pPr>
        <w:spacing w:after="200" w:line="276" w:lineRule="auto"/>
        <w:rPr>
          <w:rFonts w:ascii="Arial" w:hAnsi="Arial" w:cs="Arial"/>
          <w:b/>
          <w:sz w:val="22"/>
        </w:rPr>
      </w:pPr>
    </w:p>
    <w:p w14:paraId="1D77E694" w14:textId="1BD58B7E" w:rsidR="003320AB" w:rsidRDefault="003320AB" w:rsidP="00C7656D">
      <w:pPr>
        <w:spacing w:after="200" w:line="276" w:lineRule="auto"/>
        <w:rPr>
          <w:rFonts w:ascii="Arial" w:hAnsi="Arial" w:cs="Arial"/>
          <w:b/>
          <w:sz w:val="22"/>
        </w:rPr>
      </w:pPr>
    </w:p>
    <w:p w14:paraId="6A551E70" w14:textId="77777777" w:rsidR="003320AB" w:rsidRDefault="003320AB" w:rsidP="00C7656D">
      <w:pPr>
        <w:spacing w:after="200" w:line="276" w:lineRule="auto"/>
        <w:rPr>
          <w:rFonts w:ascii="Arial" w:hAnsi="Arial" w:cs="Arial"/>
          <w:b/>
          <w:sz w:val="22"/>
        </w:rPr>
      </w:pPr>
    </w:p>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486E9A04"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FC0343">
        <w:trPr>
          <w:trHeight w:val="1068"/>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757E4E71" w:rsidR="002E453E" w:rsidRPr="00FB2E48" w:rsidRDefault="006765B2" w:rsidP="00FB2E48">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Law</w:t>
            </w:r>
            <w:r w:rsidR="001F56DF">
              <w:rPr>
                <w:rFonts w:ascii="Arial" w:hAnsi="Arial" w:cs="Arial"/>
                <w:sz w:val="20"/>
              </w:rPr>
              <w:t xml:space="preserve"> </w:t>
            </w:r>
            <w:r>
              <w:rPr>
                <w:rFonts w:ascii="Arial" w:hAnsi="Arial" w:cs="Arial"/>
                <w:sz w:val="20"/>
              </w:rPr>
              <w:t>Trust</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58A3990E" w:rsidR="00713E63" w:rsidRPr="00692B80" w:rsidRDefault="003320AB" w:rsidP="00066CB4">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5CD68AB6" w:rsidR="00874A63" w:rsidRDefault="00874A63" w:rsidP="00304117">
      <w:pPr>
        <w:pBdr>
          <w:bottom w:val="single" w:sz="12" w:space="1" w:color="auto"/>
        </w:pBdr>
        <w:tabs>
          <w:tab w:val="left" w:pos="720"/>
        </w:tabs>
        <w:jc w:val="both"/>
        <w:rPr>
          <w:rFonts w:ascii="Arial" w:hAnsi="Arial" w:cs="Arial"/>
          <w:b/>
          <w:sz w:val="20"/>
        </w:rPr>
      </w:pPr>
    </w:p>
    <w:p w14:paraId="69C5486E" w14:textId="77777777" w:rsidR="00F43869" w:rsidRDefault="00F43869"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77777777"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proofErr w:type="gramStart"/>
            <w:r>
              <w:rPr>
                <w:rFonts w:ascii="Arial" w:hAnsi="Arial" w:cs="Arial"/>
                <w:sz w:val="20"/>
              </w:rPr>
              <w:t>Localis</w:t>
            </w:r>
            <w:r w:rsidRPr="00AC3774">
              <w:rPr>
                <w:rFonts w:ascii="Arial" w:hAnsi="Arial" w:cs="Arial"/>
                <w:sz w:val="20"/>
              </w:rPr>
              <w:t>ation</w:t>
            </w:r>
            <w:proofErr w:type="spellEnd"/>
            <w:proofErr w:type="gram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2A936A12"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3320AB">
              <w:rPr>
                <w:rFonts w:ascii="Arial" w:hAnsi="Arial" w:cs="Arial"/>
                <w:sz w:val="20"/>
              </w:rPr>
              <w:t>20</w:t>
            </w:r>
            <w:r w:rsidR="00637D14">
              <w:rPr>
                <w:rFonts w:ascii="Arial" w:hAnsi="Arial" w:cs="Arial"/>
                <w:sz w:val="20"/>
              </w:rPr>
              <w:t xml:space="preserve"> </w:t>
            </w:r>
            <w:r w:rsidR="00F274B7">
              <w:rPr>
                <w:rFonts w:ascii="Arial" w:hAnsi="Arial" w:cs="Arial"/>
                <w:sz w:val="20"/>
              </w:rPr>
              <w:t>May</w:t>
            </w:r>
            <w:r w:rsidR="00637D14">
              <w:rPr>
                <w:rFonts w:ascii="Arial" w:hAnsi="Arial" w:cs="Arial"/>
                <w:sz w:val="20"/>
              </w:rPr>
              <w:t xml:space="preserve"> 202</w:t>
            </w:r>
            <w:r w:rsidR="00F43E37">
              <w:rPr>
                <w:rFonts w:ascii="Arial" w:hAnsi="Arial" w:cs="Arial"/>
                <w:sz w:val="20"/>
              </w:rPr>
              <w:t>2</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0B0D" w14:textId="77777777" w:rsidR="005A585D" w:rsidRDefault="005A585D" w:rsidP="00201A98">
      <w:r>
        <w:separator/>
      </w:r>
    </w:p>
  </w:endnote>
  <w:endnote w:type="continuationSeparator" w:id="0">
    <w:p w14:paraId="3E0BE5F3" w14:textId="77777777" w:rsidR="005A585D" w:rsidRDefault="005A585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D5FD" w14:textId="77777777" w:rsidR="005A585D" w:rsidRDefault="005A585D" w:rsidP="00201A98">
      <w:r>
        <w:separator/>
      </w:r>
    </w:p>
  </w:footnote>
  <w:footnote w:type="continuationSeparator" w:id="0">
    <w:p w14:paraId="0AED6F40" w14:textId="77777777" w:rsidR="005A585D" w:rsidRDefault="005A585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5A585D"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4798489"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7481F42"/>
    <w:multiLevelType w:val="hybridMultilevel"/>
    <w:tmpl w:val="BF40AE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1"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5"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6"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7"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0"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6"/>
  </w:num>
  <w:num w:numId="3">
    <w:abstractNumId w:val="27"/>
  </w:num>
  <w:num w:numId="4">
    <w:abstractNumId w:val="1"/>
  </w:num>
  <w:num w:numId="5">
    <w:abstractNumId w:val="11"/>
  </w:num>
  <w:num w:numId="6">
    <w:abstractNumId w:val="16"/>
  </w:num>
  <w:num w:numId="7">
    <w:abstractNumId w:val="32"/>
  </w:num>
  <w:num w:numId="8">
    <w:abstractNumId w:val="3"/>
  </w:num>
  <w:num w:numId="9">
    <w:abstractNumId w:val="20"/>
  </w:num>
  <w:num w:numId="10">
    <w:abstractNumId w:val="24"/>
  </w:num>
  <w:num w:numId="11">
    <w:abstractNumId w:val="30"/>
  </w:num>
  <w:num w:numId="12">
    <w:abstractNumId w:val="9"/>
  </w:num>
  <w:num w:numId="13">
    <w:abstractNumId w:val="21"/>
  </w:num>
  <w:num w:numId="14">
    <w:abstractNumId w:val="13"/>
  </w:num>
  <w:num w:numId="15">
    <w:abstractNumId w:val="15"/>
  </w:num>
  <w:num w:numId="16">
    <w:abstractNumId w:val="0"/>
  </w:num>
  <w:num w:numId="17">
    <w:abstractNumId w:val="18"/>
  </w:num>
  <w:num w:numId="18">
    <w:abstractNumId w:val="4"/>
  </w:num>
  <w:num w:numId="19">
    <w:abstractNumId w:val="25"/>
  </w:num>
  <w:num w:numId="20">
    <w:abstractNumId w:val="10"/>
  </w:num>
  <w:num w:numId="21">
    <w:abstractNumId w:val="22"/>
  </w:num>
  <w:num w:numId="22">
    <w:abstractNumId w:val="12"/>
  </w:num>
  <w:num w:numId="23">
    <w:abstractNumId w:val="31"/>
  </w:num>
  <w:num w:numId="24">
    <w:abstractNumId w:val="19"/>
  </w:num>
  <w:num w:numId="25">
    <w:abstractNumId w:val="8"/>
  </w:num>
  <w:num w:numId="26">
    <w:abstractNumId w:val="10"/>
  </w:num>
  <w:num w:numId="27">
    <w:abstractNumId w:val="35"/>
  </w:num>
  <w:num w:numId="28">
    <w:abstractNumId w:val="23"/>
  </w:num>
  <w:num w:numId="29">
    <w:abstractNumId w:val="2"/>
  </w:num>
  <w:num w:numId="30">
    <w:abstractNumId w:val="28"/>
  </w:num>
  <w:num w:numId="31">
    <w:abstractNumId w:val="37"/>
  </w:num>
  <w:num w:numId="32">
    <w:abstractNumId w:val="33"/>
  </w:num>
  <w:num w:numId="33">
    <w:abstractNumId w:val="29"/>
  </w:num>
  <w:num w:numId="34">
    <w:abstractNumId w:val="36"/>
  </w:num>
  <w:num w:numId="35">
    <w:abstractNumId w:val="17"/>
  </w:num>
  <w:num w:numId="36">
    <w:abstractNumId w:val="34"/>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3097A"/>
    <w:rsid w:val="00044E88"/>
    <w:rsid w:val="00066CB4"/>
    <w:rsid w:val="00067DC9"/>
    <w:rsid w:val="00074C17"/>
    <w:rsid w:val="00077A57"/>
    <w:rsid w:val="00097047"/>
    <w:rsid w:val="000A01FA"/>
    <w:rsid w:val="000A386C"/>
    <w:rsid w:val="000A648D"/>
    <w:rsid w:val="000B165C"/>
    <w:rsid w:val="000B28F1"/>
    <w:rsid w:val="000B6B22"/>
    <w:rsid w:val="000B7D6D"/>
    <w:rsid w:val="000C33EB"/>
    <w:rsid w:val="000C6C73"/>
    <w:rsid w:val="000D4357"/>
    <w:rsid w:val="000E1AB5"/>
    <w:rsid w:val="000F2D77"/>
    <w:rsid w:val="001022DD"/>
    <w:rsid w:val="00105474"/>
    <w:rsid w:val="00115ECC"/>
    <w:rsid w:val="00140917"/>
    <w:rsid w:val="001477A3"/>
    <w:rsid w:val="001521AD"/>
    <w:rsid w:val="00154240"/>
    <w:rsid w:val="00155040"/>
    <w:rsid w:val="00155248"/>
    <w:rsid w:val="001645BF"/>
    <w:rsid w:val="00173BE4"/>
    <w:rsid w:val="001829A7"/>
    <w:rsid w:val="001A408A"/>
    <w:rsid w:val="001A57D9"/>
    <w:rsid w:val="001B2323"/>
    <w:rsid w:val="001B3B2A"/>
    <w:rsid w:val="001C599B"/>
    <w:rsid w:val="001C61B6"/>
    <w:rsid w:val="001D0409"/>
    <w:rsid w:val="001D042C"/>
    <w:rsid w:val="001D1614"/>
    <w:rsid w:val="001D391D"/>
    <w:rsid w:val="001D3F40"/>
    <w:rsid w:val="001E64BB"/>
    <w:rsid w:val="001F56DF"/>
    <w:rsid w:val="00201A98"/>
    <w:rsid w:val="002319CA"/>
    <w:rsid w:val="002341C9"/>
    <w:rsid w:val="00253B8A"/>
    <w:rsid w:val="002632AA"/>
    <w:rsid w:val="00270763"/>
    <w:rsid w:val="0027500D"/>
    <w:rsid w:val="002763F5"/>
    <w:rsid w:val="00276C45"/>
    <w:rsid w:val="0027700C"/>
    <w:rsid w:val="002855B7"/>
    <w:rsid w:val="00296B82"/>
    <w:rsid w:val="002A7C4A"/>
    <w:rsid w:val="002B02CB"/>
    <w:rsid w:val="002B19FA"/>
    <w:rsid w:val="002B49D9"/>
    <w:rsid w:val="002E453E"/>
    <w:rsid w:val="002F4F5C"/>
    <w:rsid w:val="003037EE"/>
    <w:rsid w:val="00304117"/>
    <w:rsid w:val="003113D9"/>
    <w:rsid w:val="003127C7"/>
    <w:rsid w:val="00317372"/>
    <w:rsid w:val="0032593D"/>
    <w:rsid w:val="003317CA"/>
    <w:rsid w:val="003320AB"/>
    <w:rsid w:val="00332369"/>
    <w:rsid w:val="003363BE"/>
    <w:rsid w:val="00336747"/>
    <w:rsid w:val="003462C3"/>
    <w:rsid w:val="00347894"/>
    <w:rsid w:val="003633CD"/>
    <w:rsid w:val="00373CF8"/>
    <w:rsid w:val="0037426F"/>
    <w:rsid w:val="0037609B"/>
    <w:rsid w:val="003840F2"/>
    <w:rsid w:val="00390AB7"/>
    <w:rsid w:val="003914DE"/>
    <w:rsid w:val="0039219D"/>
    <w:rsid w:val="003A0A37"/>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A92"/>
    <w:rsid w:val="00472A90"/>
    <w:rsid w:val="004857A1"/>
    <w:rsid w:val="00487AA0"/>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7071"/>
    <w:rsid w:val="00560EDB"/>
    <w:rsid w:val="00563AC1"/>
    <w:rsid w:val="00565D0A"/>
    <w:rsid w:val="005765A0"/>
    <w:rsid w:val="00586532"/>
    <w:rsid w:val="005908DD"/>
    <w:rsid w:val="0059543E"/>
    <w:rsid w:val="00596B3A"/>
    <w:rsid w:val="005A1E52"/>
    <w:rsid w:val="005A39B7"/>
    <w:rsid w:val="005A585D"/>
    <w:rsid w:val="005A62CE"/>
    <w:rsid w:val="005A63F7"/>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65B2"/>
    <w:rsid w:val="00686AD4"/>
    <w:rsid w:val="00692B80"/>
    <w:rsid w:val="006A1569"/>
    <w:rsid w:val="006A443E"/>
    <w:rsid w:val="006A55C5"/>
    <w:rsid w:val="006A73A5"/>
    <w:rsid w:val="006B0DF7"/>
    <w:rsid w:val="006B3FA2"/>
    <w:rsid w:val="006B57DF"/>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E0CE5"/>
    <w:rsid w:val="007F15E3"/>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2FA4"/>
    <w:rsid w:val="008F5BEC"/>
    <w:rsid w:val="009017B9"/>
    <w:rsid w:val="00903604"/>
    <w:rsid w:val="00914474"/>
    <w:rsid w:val="009214A0"/>
    <w:rsid w:val="00924E22"/>
    <w:rsid w:val="00944D59"/>
    <w:rsid w:val="009478F2"/>
    <w:rsid w:val="0095525E"/>
    <w:rsid w:val="00956E52"/>
    <w:rsid w:val="00965504"/>
    <w:rsid w:val="00970379"/>
    <w:rsid w:val="00977B70"/>
    <w:rsid w:val="009801BA"/>
    <w:rsid w:val="00990864"/>
    <w:rsid w:val="009A77EC"/>
    <w:rsid w:val="009F3555"/>
    <w:rsid w:val="00A05C1D"/>
    <w:rsid w:val="00A111DA"/>
    <w:rsid w:val="00A17546"/>
    <w:rsid w:val="00A22EF4"/>
    <w:rsid w:val="00A256F9"/>
    <w:rsid w:val="00A346F0"/>
    <w:rsid w:val="00A4460B"/>
    <w:rsid w:val="00A473FA"/>
    <w:rsid w:val="00A532EE"/>
    <w:rsid w:val="00A651E0"/>
    <w:rsid w:val="00A6602E"/>
    <w:rsid w:val="00A67C16"/>
    <w:rsid w:val="00A72491"/>
    <w:rsid w:val="00A72A16"/>
    <w:rsid w:val="00A91CB3"/>
    <w:rsid w:val="00A96374"/>
    <w:rsid w:val="00AA16F4"/>
    <w:rsid w:val="00AA403D"/>
    <w:rsid w:val="00AB4D3B"/>
    <w:rsid w:val="00AB54B6"/>
    <w:rsid w:val="00AB64E3"/>
    <w:rsid w:val="00AB650A"/>
    <w:rsid w:val="00AC3774"/>
    <w:rsid w:val="00AD1C04"/>
    <w:rsid w:val="00AD784B"/>
    <w:rsid w:val="00AE7139"/>
    <w:rsid w:val="00AF35DE"/>
    <w:rsid w:val="00AF6824"/>
    <w:rsid w:val="00B0566F"/>
    <w:rsid w:val="00B16C39"/>
    <w:rsid w:val="00B263C0"/>
    <w:rsid w:val="00B26EC6"/>
    <w:rsid w:val="00B3212E"/>
    <w:rsid w:val="00B32FC7"/>
    <w:rsid w:val="00B35AA2"/>
    <w:rsid w:val="00B44389"/>
    <w:rsid w:val="00B47EA0"/>
    <w:rsid w:val="00B54B80"/>
    <w:rsid w:val="00B57DBD"/>
    <w:rsid w:val="00B612DB"/>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C12D3D"/>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10DC0"/>
    <w:rsid w:val="00E2355B"/>
    <w:rsid w:val="00E238C2"/>
    <w:rsid w:val="00E35EB0"/>
    <w:rsid w:val="00E3774F"/>
    <w:rsid w:val="00E500CF"/>
    <w:rsid w:val="00E534E2"/>
    <w:rsid w:val="00E71288"/>
    <w:rsid w:val="00E71A93"/>
    <w:rsid w:val="00E74D52"/>
    <w:rsid w:val="00E81422"/>
    <w:rsid w:val="00E825AE"/>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274B7"/>
    <w:rsid w:val="00F3247D"/>
    <w:rsid w:val="00F337F6"/>
    <w:rsid w:val="00F43869"/>
    <w:rsid w:val="00F43E37"/>
    <w:rsid w:val="00F45833"/>
    <w:rsid w:val="00F53FC5"/>
    <w:rsid w:val="00F64443"/>
    <w:rsid w:val="00F73FDF"/>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Bulleted Text Char,Bullet List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044E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67904445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1804529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cp:lastPrinted>2022-05-20T11:56:00Z</cp:lastPrinted>
  <dcterms:created xsi:type="dcterms:W3CDTF">2022-05-23T06:08:00Z</dcterms:created>
  <dcterms:modified xsi:type="dcterms:W3CDTF">2022-05-23T06:08:00Z</dcterms:modified>
</cp:coreProperties>
</file>