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1" w:rsidRPr="00D46D2D" w:rsidRDefault="00374460" w:rsidP="00374460">
      <w:pPr>
        <w:tabs>
          <w:tab w:val="left" w:pos="7363"/>
          <w:tab w:val="center" w:pos="10530"/>
        </w:tabs>
        <w:rPr>
          <w:rFonts w:ascii="Arial" w:hAnsi="Arial" w:cs="Arial"/>
          <w:b/>
          <w:bCs/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17049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 w:rsidR="00A47B21"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3F723F" w:rsidRDefault="003F723F" w:rsidP="003F723F">
      <w:pPr>
        <w:tabs>
          <w:tab w:val="left" w:pos="7363"/>
          <w:tab w:val="center" w:pos="10530"/>
        </w:tabs>
        <w:rPr>
          <w:rFonts w:ascii="Arial" w:hAnsi="Arial" w:cs="Arial"/>
          <w:b/>
          <w:bCs/>
          <w:sz w:val="28"/>
          <w:szCs w:val="28"/>
          <w:lang w:val="en-GB"/>
        </w:rPr>
      </w:pP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 xml:space="preserve">any national or provincial department, national or provincial public entity or constitutional institution within the meaning of the Public Finance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lastRenderedPageBreak/>
        <w:t>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lastRenderedPageBreak/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</w:p>
    <w:sectPr w:rsidR="00A47B21" w:rsidRPr="00F45EE3" w:rsidSect="005F1FDE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21" w:rsidRDefault="00A47B21">
      <w:r>
        <w:separator/>
      </w:r>
    </w:p>
  </w:endnote>
  <w:endnote w:type="continuationSeparator" w:id="0">
    <w:p w:rsidR="00A47B21" w:rsidRDefault="00A4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21" w:rsidRDefault="00A47B21">
      <w:r>
        <w:separator/>
      </w:r>
    </w:p>
  </w:footnote>
  <w:footnote w:type="continuationSeparator" w:id="0">
    <w:p w:rsidR="00A47B21" w:rsidRDefault="00A4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74460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3F723F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B1A5A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32C3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03C620B043D458B6CDAD2BE056E4E" ma:contentTypeVersion="4" ma:contentTypeDescription="Create a new document." ma:contentTypeScope="" ma:versionID="36dff75bf25975cb39af14fe66295b72">
  <xsd:schema xmlns:xsd="http://www.w3.org/2001/XMLSchema" xmlns:xs="http://www.w3.org/2001/XMLSchema" xmlns:p="http://schemas.microsoft.com/office/2006/metadata/properties" xmlns:ns2="e084b424-417d-48ea-af74-26b570fdf7f9" targetNamespace="http://schemas.microsoft.com/office/2006/metadata/properties" ma:root="true" ma:fieldsID="cbb139c4dac8d91702f480b6a708eb06" ns2:_="">
    <xsd:import namespace="e084b424-417d-48ea-af74-26b570fdf7f9"/>
    <xsd:element name="properties">
      <xsd:complexType>
        <xsd:sequence>
          <xsd:element name="documentManagement">
            <xsd:complexType>
              <xsd:all>
                <xsd:element ref="ns2:DocumentState"/>
                <xsd:element ref="ns2:DocumentType"/>
                <xsd:element ref="ns2:RFQId" minOccurs="0"/>
                <xsd:element ref="ns2:VendAc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b424-417d-48ea-af74-26b570fdf7f9" elementFormDefault="qualified">
    <xsd:import namespace="http://schemas.microsoft.com/office/2006/documentManagement/types"/>
    <xsd:import namespace="http://schemas.microsoft.com/office/infopath/2007/PartnerControls"/>
    <xsd:element name="DocumentState" ma:index="8" ma:displayName="DocumentState" ma:description="Document state" ma:internalName="DocumentState">
      <xsd:simpleType>
        <xsd:restriction base="dms:Unknown"/>
      </xsd:simpleType>
    </xsd:element>
    <xsd:element name="DocumentType" ma:index="9" ma:displayName="DocumentType" ma:description="Document type" ma:internalName="DocumentType">
      <xsd:simpleType>
        <xsd:restriction base="dms:Unknown"/>
      </xsd:simpleType>
    </xsd:element>
    <xsd:element name="RFQId" ma:index="10" nillable="true" ma:displayName="RFQId" ma:description="RFQ identification" ma:internalName="RFQId">
      <xsd:simpleType>
        <xsd:restriction base="dms:Unknown"/>
      </xsd:simpleType>
    </xsd:element>
    <xsd:element name="VendAccount" ma:index="11" nillable="true" ma:displayName="VendAccount" ma:description="Vendor account" ma:internalName="VendAccount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Account xmlns="e084b424-417d-48ea-af74-26b570fdf7f9" xsi:nil="true"/>
    <DocumentType xmlns="e084b424-417d-48ea-af74-26b570fdf7f9">|File|</DocumentType>
    <DocumentState xmlns="e084b424-417d-48ea-af74-26b570fdf7f9">|New|</DocumentState>
    <RFQId xmlns="e084b424-417d-48ea-af74-26b570fdf7f9" xsi:nil="true"/>
  </documentManagement>
</p:properties>
</file>

<file path=customXml/itemProps1.xml><?xml version="1.0" encoding="utf-8"?>
<ds:datastoreItem xmlns:ds="http://schemas.openxmlformats.org/officeDocument/2006/customXml" ds:itemID="{B8D3B0F7-DE21-4343-AEB4-01252DF57E11}"/>
</file>

<file path=customXml/itemProps2.xml><?xml version="1.0" encoding="utf-8"?>
<ds:datastoreItem xmlns:ds="http://schemas.openxmlformats.org/officeDocument/2006/customXml" ds:itemID="{EA8DF29C-2D09-4E52-8D65-39883F7A97AA}"/>
</file>

<file path=customXml/itemProps3.xml><?xml version="1.0" encoding="utf-8"?>
<ds:datastoreItem xmlns:ds="http://schemas.openxmlformats.org/officeDocument/2006/customXml" ds:itemID="{4E5DA22F-F5F0-49E6-8F4F-D8E685313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SimelaneM</cp:lastModifiedBy>
  <cp:revision>2</cp:revision>
  <cp:lastPrinted>2013-11-29T09:48:00Z</cp:lastPrinted>
  <dcterms:created xsi:type="dcterms:W3CDTF">2013-12-02T06:59:00Z</dcterms:created>
  <dcterms:modified xsi:type="dcterms:W3CDTF">2013-12-02T06:59:00Z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0x0101006E603C620B043D458B6CDAD2BE056E4E</vt:lpwstr>
  </property>
  <property fmtid="{D5CDD505-2E9C-101B-9397-08002B2CF9AE}" pid="3" name="ecm_WorkflowCompany">
    <vt:lpwstr>ARC</vt:lpwstr>
  </property>
</Properties>
</file>