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66" w:rsidRDefault="007F438B" w:rsidP="00386C90">
      <w:pPr>
        <w:ind w:right="119"/>
        <w:jc w:val="center"/>
      </w:pPr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>
            <wp:extent cx="1058334" cy="1458650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149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78B" w:rsidRDefault="0009778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9778B" w:rsidRPr="00273877" w:rsidRDefault="0009778B" w:rsidP="0009778B">
      <w:pPr>
        <w:pStyle w:val="ListParagraph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SPECIFICATIONS FOR PROCUREMENT OF SERVICE PROVIDER TO REDESIGN AND MODERNISE THE RECEPTION, CASH HALL AREA</w:t>
      </w:r>
      <w:r w:rsidR="00952077">
        <w:rPr>
          <w:rFonts w:ascii="Arial" w:hAnsi="Arial" w:cs="Arial"/>
          <w:b/>
        </w:rPr>
        <w:t xml:space="preserve"> &amp; SPEAKERS FOYER  </w:t>
      </w:r>
      <w:r>
        <w:rPr>
          <w:rFonts w:ascii="Arial" w:hAnsi="Arial" w:cs="Arial"/>
          <w:b/>
        </w:rPr>
        <w:t xml:space="preserve"> AT THE MUSINA LOCAL MUNICIPALITY:  CIVIC CENTRE</w:t>
      </w:r>
      <w:r w:rsidRPr="00273877">
        <w:rPr>
          <w:rFonts w:ascii="Arial" w:hAnsi="Arial" w:cs="Arial"/>
          <w:b/>
          <w:bCs/>
        </w:rPr>
        <w:t>.</w:t>
      </w:r>
      <w:r w:rsidRPr="00273877">
        <w:rPr>
          <w:rFonts w:ascii="Arial" w:hAnsi="Arial" w:cs="Arial"/>
          <w:b/>
        </w:rPr>
        <w:t xml:space="preserve"> </w:t>
      </w:r>
    </w:p>
    <w:p w:rsidR="0009778B" w:rsidRPr="000C0DCD" w:rsidRDefault="0009778B" w:rsidP="0009778B">
      <w:pPr>
        <w:pStyle w:val="ListParagraph"/>
        <w:spacing w:after="0"/>
        <w:ind w:left="284"/>
        <w:jc w:val="both"/>
        <w:rPr>
          <w:rFonts w:ascii="Arial" w:hAnsi="Arial" w:cs="Arial"/>
          <w:lang w:val="en-ZA"/>
        </w:rPr>
      </w:pPr>
    </w:p>
    <w:p w:rsidR="0009778B" w:rsidRPr="000076C7" w:rsidRDefault="0009778B" w:rsidP="0009778B">
      <w:pPr>
        <w:spacing w:after="0" w:line="240" w:lineRule="auto"/>
        <w:rPr>
          <w:rFonts w:ascii="Arial" w:hAnsi="Arial" w:cs="Arial"/>
          <w:b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Purpose and Scope</w:t>
      </w: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09778B" w:rsidRPr="002213D8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2213D8">
        <w:rPr>
          <w:rFonts w:ascii="Arial" w:hAnsi="Arial" w:cs="Arial"/>
        </w:rPr>
        <w:t xml:space="preserve">Musina Local Municipality hereby invites service providers to submit </w:t>
      </w:r>
      <w:r>
        <w:rPr>
          <w:rFonts w:ascii="Arial" w:hAnsi="Arial" w:cs="Arial"/>
        </w:rPr>
        <w:t xml:space="preserve">proposals to redesign and modernize the </w:t>
      </w:r>
      <w:r w:rsidRPr="002213D8">
        <w:rPr>
          <w:rFonts w:ascii="Arial" w:hAnsi="Arial" w:cs="Arial"/>
        </w:rPr>
        <w:t>reception</w:t>
      </w:r>
      <w:r>
        <w:rPr>
          <w:rFonts w:ascii="Arial" w:hAnsi="Arial" w:cs="Arial"/>
        </w:rPr>
        <w:t xml:space="preserve"> and cash hall area at the Civic Centre, Musina</w:t>
      </w:r>
      <w:r w:rsidRPr="002213D8">
        <w:rPr>
          <w:rFonts w:ascii="Arial" w:hAnsi="Arial" w:cs="Arial"/>
        </w:rPr>
        <w:t>.</w:t>
      </w:r>
    </w:p>
    <w:p w:rsidR="0009778B" w:rsidRPr="000076C7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Queries and contact information</w:t>
      </w:r>
    </w:p>
    <w:p w:rsidR="0009778B" w:rsidRPr="000076C7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</w:p>
    <w:p w:rsidR="0009778B" w:rsidRPr="000076C7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0076C7">
        <w:rPr>
          <w:rFonts w:ascii="Arial" w:hAnsi="Arial" w:cs="Arial"/>
        </w:rPr>
        <w:t>All queries regarding this bid must be submitted in writing by email, which will, in turn, be recorded. A written response will then be emailed to all purchasers of the tender document. No telephonic queries will be answered. Contact detail for queries:</w:t>
      </w: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</w:rPr>
      </w:pP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</w:rPr>
      </w:pPr>
      <w:r w:rsidRPr="000076C7">
        <w:rPr>
          <w:rFonts w:ascii="Arial" w:hAnsi="Arial" w:cs="Arial"/>
        </w:rPr>
        <w:t>Rika Le Roux</w:t>
      </w: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</w:rPr>
      </w:pPr>
      <w:r w:rsidRPr="000076C7">
        <w:rPr>
          <w:rFonts w:ascii="Arial" w:hAnsi="Arial" w:cs="Arial"/>
        </w:rPr>
        <w:t xml:space="preserve">HR Manager </w:t>
      </w:r>
    </w:p>
    <w:p w:rsidR="0009778B" w:rsidRDefault="00890814" w:rsidP="0009778B">
      <w:pPr>
        <w:pStyle w:val="ListParagraph"/>
        <w:spacing w:after="0" w:line="240" w:lineRule="auto"/>
        <w:rPr>
          <w:rFonts w:ascii="Arial" w:hAnsi="Arial" w:cs="Arial"/>
        </w:rPr>
      </w:pPr>
      <w:hyperlink r:id="rId8" w:history="1">
        <w:r w:rsidR="00952077" w:rsidRPr="00B31DDE">
          <w:rPr>
            <w:rStyle w:val="Hyperlink"/>
            <w:rFonts w:ascii="Arial" w:hAnsi="Arial" w:cs="Arial"/>
          </w:rPr>
          <w:t>rikal@musina.gov.za</w:t>
        </w:r>
      </w:hyperlink>
    </w:p>
    <w:p w:rsidR="00952077" w:rsidRDefault="00952077" w:rsidP="0009778B">
      <w:pPr>
        <w:pStyle w:val="ListParagraph"/>
        <w:spacing w:after="0" w:line="240" w:lineRule="auto"/>
        <w:rPr>
          <w:rFonts w:ascii="Arial" w:hAnsi="Arial" w:cs="Arial"/>
        </w:rPr>
      </w:pPr>
    </w:p>
    <w:p w:rsidR="00952077" w:rsidRDefault="00952077" w:rsidP="0009778B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Mary Siziba</w:t>
      </w:r>
    </w:p>
    <w:p w:rsidR="00952077" w:rsidRDefault="00B95EB2" w:rsidP="0009778B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SCM Manager</w:t>
      </w:r>
    </w:p>
    <w:p w:rsidR="00B95EB2" w:rsidRPr="00B95EB2" w:rsidRDefault="00B95EB2" w:rsidP="0009778B">
      <w:pPr>
        <w:pStyle w:val="ListParagraph"/>
        <w:spacing w:after="0" w:line="240" w:lineRule="auto"/>
        <w:rPr>
          <w:rFonts w:ascii="Arial" w:hAnsi="Arial" w:cs="Arial"/>
          <w:color w:val="00B0F0"/>
          <w:u w:val="single"/>
        </w:rPr>
      </w:pPr>
      <w:r w:rsidRPr="00B95EB2">
        <w:rPr>
          <w:rFonts w:ascii="Arial" w:hAnsi="Arial" w:cs="Arial"/>
          <w:color w:val="00B0F0"/>
          <w:u w:val="single"/>
        </w:rPr>
        <w:t>marys@musina.gov.za</w:t>
      </w:r>
    </w:p>
    <w:p w:rsidR="00952077" w:rsidRPr="000076C7" w:rsidRDefault="00952077" w:rsidP="0009778B">
      <w:pPr>
        <w:pStyle w:val="ListParagraph"/>
        <w:spacing w:after="0" w:line="240" w:lineRule="auto"/>
        <w:rPr>
          <w:rFonts w:ascii="Arial" w:hAnsi="Arial" w:cs="Arial"/>
        </w:rPr>
      </w:pP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Specifications</w:t>
      </w:r>
    </w:p>
    <w:p w:rsidR="0009778B" w:rsidRPr="000076C7" w:rsidRDefault="0009778B" w:rsidP="0009778B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09778B" w:rsidRDefault="0009778B" w:rsidP="0009778B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Specifications:</w:t>
      </w:r>
    </w:p>
    <w:p w:rsidR="0009778B" w:rsidRDefault="0009778B" w:rsidP="0009778B">
      <w:pPr>
        <w:pStyle w:val="ListParagraph"/>
        <w:spacing w:after="0"/>
        <w:ind w:left="1440"/>
        <w:jc w:val="both"/>
        <w:rPr>
          <w:rFonts w:ascii="Arial" w:hAnsi="Arial" w:cs="Arial"/>
        </w:rPr>
      </w:pP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Service provider</w:t>
      </w:r>
      <w:r w:rsidR="00B95EB2">
        <w:rPr>
          <w:rFonts w:ascii="Arial" w:hAnsi="Arial" w:cs="Arial"/>
        </w:rPr>
        <w:t xml:space="preserve"> must be a professional</w:t>
      </w:r>
      <w:r w:rsidRPr="00D52148">
        <w:rPr>
          <w:rFonts w:ascii="Arial" w:hAnsi="Arial" w:cs="Arial"/>
        </w:rPr>
        <w:t xml:space="preserve"> (Interior Designer) must re-design the layout of the reception, cash hall area as well as the Foyer at the Speakers office without any major structural changes.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Creation of a dedicated reception desk separate from Security checkpoint.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Queue management and seating / waiting area for clients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Redecoration and modernization of the front area and the foyer at the Speakers Office.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Proposals for furniture / infrastructure to be procured.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Proposals include the Professional Services as well as any furniture, decorations, finishing’s and artefacts that has to be purchased.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Improve on the security features and surveillance of the reception area and Cash Hall.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Service Provider must include in the proposal confirmation of professionals involved in the project.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Service Provider must submit a detailed proposal that reflects the new layout, design, drawings and pictorial outlook of the proposed improvements.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Cash hall design to be done such that it facilitate easy movement of customers, ease of communication between teller and client, enhanced service of personnel and cash.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Cash Hall must have secure teller booths with lockable drawers.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Designated space for Supervisor with ease of access to tellers.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 xml:space="preserve">Each part of the works must be independently </w:t>
      </w:r>
      <w:proofErr w:type="spellStart"/>
      <w:r w:rsidRPr="00D52148">
        <w:rPr>
          <w:rFonts w:ascii="Arial" w:hAnsi="Arial" w:cs="Arial"/>
        </w:rPr>
        <w:t>costed</w:t>
      </w:r>
      <w:proofErr w:type="spellEnd"/>
      <w:r w:rsidRPr="00D52148">
        <w:rPr>
          <w:rFonts w:ascii="Arial" w:hAnsi="Arial" w:cs="Arial"/>
        </w:rPr>
        <w:t>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Service Provider is permitted to make use of and incorporate into the design available municipal material.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t>The designs and outlook must incorporate some of the Municipal Official Colors as per the approved logo.</w:t>
      </w:r>
    </w:p>
    <w:p w:rsidR="0009778B" w:rsidRDefault="0009778B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D52148">
        <w:rPr>
          <w:rFonts w:ascii="Arial" w:hAnsi="Arial" w:cs="Arial"/>
        </w:rPr>
        <w:lastRenderedPageBreak/>
        <w:t>The Specifications should be viewed as a minimum deliverable and standard for this proposal process. For the SCM process to appoint the Service Provider to revamp the reception are to proceed a detailed proposal and design concept will be required.</w:t>
      </w:r>
    </w:p>
    <w:p w:rsidR="0074582C" w:rsidRDefault="00E76825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revamp project duration is 3 months.</w:t>
      </w:r>
    </w:p>
    <w:p w:rsidR="00E76825" w:rsidRDefault="00E76825" w:rsidP="0009778B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Compulsory briefing session.</w:t>
      </w:r>
    </w:p>
    <w:p w:rsidR="0009778B" w:rsidRPr="00D52148" w:rsidRDefault="0009778B" w:rsidP="0009778B">
      <w:pPr>
        <w:pStyle w:val="ListParagraph"/>
        <w:spacing w:after="0"/>
        <w:jc w:val="both"/>
        <w:rPr>
          <w:rFonts w:ascii="Arial" w:hAnsi="Arial" w:cs="Arial"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Compulsory documents to submit to be considered for appointment</w:t>
      </w:r>
    </w:p>
    <w:p w:rsidR="0009778B" w:rsidRPr="00986898" w:rsidRDefault="0009778B" w:rsidP="0009778B">
      <w:pPr>
        <w:spacing w:after="0" w:line="240" w:lineRule="auto"/>
        <w:jc w:val="both"/>
        <w:rPr>
          <w:rFonts w:ascii="Arial" w:hAnsi="Arial" w:cs="Arial"/>
          <w:b/>
        </w:rPr>
      </w:pPr>
    </w:p>
    <w:p w:rsidR="0009778B" w:rsidRPr="0009778B" w:rsidRDefault="0009778B" w:rsidP="0009778B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Supply Chain Documentation</w:t>
      </w:r>
    </w:p>
    <w:p w:rsidR="0009778B" w:rsidRPr="00986898" w:rsidRDefault="0009778B" w:rsidP="0009778B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>Tax Compliance Status Pin Issued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>Certified ID copies of all members / owners /directors / shareholders /   Trustees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 xml:space="preserve">Attach Proof of payment for tender document 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>Copy of municipal rates and taxes statement of account not older than three months  for all directors and for the company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 xml:space="preserve">Certified Copy of Financial Statements 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>Central supplier database registration report</w:t>
      </w:r>
    </w:p>
    <w:p w:rsidR="0009778B" w:rsidRPr="00D52148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D52148">
        <w:rPr>
          <w:rFonts w:ascii="Arial" w:hAnsi="Arial" w:cs="Arial"/>
          <w:lang w:val="en-ZA"/>
        </w:rPr>
        <w:t xml:space="preserve">A fully complete pricing schedule </w:t>
      </w:r>
      <w:r>
        <w:rPr>
          <w:rFonts w:ascii="Arial" w:hAnsi="Arial" w:cs="Arial"/>
          <w:lang w:val="en-ZA"/>
        </w:rPr>
        <w:t>where e</w:t>
      </w:r>
      <w:r w:rsidRPr="00D52148">
        <w:rPr>
          <w:rFonts w:ascii="Arial" w:hAnsi="Arial" w:cs="Arial"/>
        </w:rPr>
        <w:t xml:space="preserve">ach part of the works must be independently </w:t>
      </w:r>
      <w:proofErr w:type="spellStart"/>
      <w:r w:rsidRPr="00D52148">
        <w:rPr>
          <w:rFonts w:ascii="Arial" w:hAnsi="Arial" w:cs="Arial"/>
        </w:rPr>
        <w:t>costed</w:t>
      </w:r>
      <w:proofErr w:type="spellEnd"/>
      <w:r>
        <w:rPr>
          <w:rFonts w:ascii="Arial" w:hAnsi="Arial" w:cs="Arial"/>
        </w:rPr>
        <w:t>.</w:t>
      </w:r>
    </w:p>
    <w:p w:rsidR="0009778B" w:rsidRPr="00751F64" w:rsidRDefault="0009778B" w:rsidP="0009778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en-ZA"/>
        </w:rPr>
      </w:pPr>
      <w:r w:rsidRPr="00751F64">
        <w:rPr>
          <w:rFonts w:ascii="Arial" w:hAnsi="Arial" w:cs="Arial"/>
          <w:lang w:val="en-ZA"/>
        </w:rPr>
        <w:t>Proof of company experience and customer references (appointment / confirmation of service letters).</w:t>
      </w:r>
    </w:p>
    <w:p w:rsidR="0009778B" w:rsidRDefault="0009778B" w:rsidP="0009778B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09778B" w:rsidRPr="00986898" w:rsidRDefault="0009778B" w:rsidP="0009778B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986898">
        <w:rPr>
          <w:rFonts w:ascii="Arial" w:hAnsi="Arial" w:cs="Arial"/>
          <w:b/>
        </w:rPr>
        <w:t>.2. Documentation</w:t>
      </w:r>
    </w:p>
    <w:p w:rsidR="0009778B" w:rsidRPr="008F2604" w:rsidRDefault="0009778B" w:rsidP="0009778B">
      <w:pPr>
        <w:spacing w:after="0" w:line="240" w:lineRule="auto"/>
        <w:rPr>
          <w:rFonts w:ascii="Arial" w:hAnsi="Arial" w:cs="Arial"/>
        </w:rPr>
      </w:pPr>
    </w:p>
    <w:p w:rsidR="0009778B" w:rsidRDefault="0009778B" w:rsidP="0009778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Qualification documents</w:t>
      </w:r>
    </w:p>
    <w:p w:rsidR="0009778B" w:rsidRPr="00986898" w:rsidRDefault="0009778B" w:rsidP="0009778B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986898">
        <w:rPr>
          <w:rFonts w:ascii="Arial" w:hAnsi="Arial" w:cs="Arial"/>
        </w:rPr>
        <w:t>Company Experience and contactable references.</w:t>
      </w:r>
    </w:p>
    <w:p w:rsidR="0009778B" w:rsidRPr="00986898" w:rsidRDefault="0009778B" w:rsidP="0009778B">
      <w:pPr>
        <w:pStyle w:val="ListParagraph"/>
        <w:spacing w:after="0" w:line="240" w:lineRule="auto"/>
        <w:ind w:left="360" w:firstLine="360"/>
        <w:rPr>
          <w:rFonts w:ascii="Arial" w:hAnsi="Arial" w:cs="Arial"/>
          <w:color w:val="FF0000"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Pricing Schedule</w:t>
      </w:r>
    </w:p>
    <w:p w:rsidR="0009778B" w:rsidRPr="00986898" w:rsidRDefault="0009778B" w:rsidP="0009778B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09778B" w:rsidRPr="00986898" w:rsidRDefault="0009778B" w:rsidP="0009778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986898">
        <w:rPr>
          <w:rFonts w:ascii="Arial" w:hAnsi="Arial" w:cs="Arial"/>
        </w:rPr>
        <w:t xml:space="preserve">All bidders are required to complete the pricing schedule, covering </w:t>
      </w:r>
      <w:r>
        <w:rPr>
          <w:rFonts w:ascii="Arial" w:hAnsi="Arial" w:cs="Arial"/>
        </w:rPr>
        <w:t xml:space="preserve">each part of the work and to be independently </w:t>
      </w:r>
      <w:proofErr w:type="spellStart"/>
      <w:r>
        <w:rPr>
          <w:rFonts w:ascii="Arial" w:hAnsi="Arial" w:cs="Arial"/>
        </w:rPr>
        <w:t>costed</w:t>
      </w:r>
      <w:proofErr w:type="spellEnd"/>
      <w:r>
        <w:rPr>
          <w:rFonts w:ascii="Arial" w:hAnsi="Arial" w:cs="Arial"/>
        </w:rPr>
        <w:t>.</w:t>
      </w:r>
    </w:p>
    <w:p w:rsidR="0009778B" w:rsidRPr="00986898" w:rsidRDefault="0009778B" w:rsidP="0009778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09778B" w:rsidRDefault="0009778B" w:rsidP="0009778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</w:t>
      </w:r>
      <w:r w:rsidRPr="00986898">
        <w:rPr>
          <w:rFonts w:ascii="Arial" w:hAnsi="Arial" w:cs="Arial"/>
          <w:b/>
        </w:rPr>
        <w:t xml:space="preserve"> OF PRICING SCHEDULE</w:t>
      </w:r>
    </w:p>
    <w:p w:rsidR="0009778B" w:rsidRPr="00986898" w:rsidRDefault="0009778B" w:rsidP="0009778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27"/>
        <w:gridCol w:w="2592"/>
        <w:gridCol w:w="2221"/>
        <w:gridCol w:w="2534"/>
      </w:tblGrid>
      <w:tr w:rsidR="0009778B" w:rsidRPr="00986898" w:rsidTr="00026FD1">
        <w:trPr>
          <w:trHeight w:val="528"/>
        </w:trPr>
        <w:tc>
          <w:tcPr>
            <w:tcW w:w="10774" w:type="dxa"/>
            <w:gridSpan w:val="4"/>
            <w:shd w:val="clear" w:color="auto" w:fill="DDD9C3" w:themeFill="background2" w:themeFillShade="E6"/>
            <w:noWrap/>
            <w:vAlign w:val="center"/>
            <w:hideMark/>
          </w:tcPr>
          <w:p w:rsidR="0009778B" w:rsidRPr="00986898" w:rsidRDefault="0009778B" w:rsidP="00026FD1">
            <w:pPr>
              <w:jc w:val="center"/>
              <w:rPr>
                <w:rFonts w:ascii="Arial" w:hAnsi="Arial" w:cs="Arial"/>
                <w:b/>
                <w:bCs/>
              </w:rPr>
            </w:pPr>
            <w:r w:rsidRPr="00986898">
              <w:rPr>
                <w:rFonts w:ascii="Arial" w:hAnsi="Arial" w:cs="Arial"/>
                <w:b/>
                <w:bCs/>
              </w:rPr>
              <w:t>PRICING STRUCTURE (Prices based on individual items)</w:t>
            </w:r>
          </w:p>
        </w:tc>
      </w:tr>
      <w:tr w:rsidR="0009778B" w:rsidRPr="00986898" w:rsidTr="00026FD1">
        <w:trPr>
          <w:trHeight w:val="511"/>
        </w:trPr>
        <w:tc>
          <w:tcPr>
            <w:tcW w:w="3427" w:type="dxa"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  <w:bCs/>
              </w:rPr>
            </w:pPr>
            <w:r w:rsidRPr="00986898">
              <w:rPr>
                <w:rFonts w:ascii="Arial" w:hAnsi="Arial" w:cs="Arial"/>
                <w:b/>
                <w:bCs/>
              </w:rPr>
              <w:t>GRAND TOTAL PRICE EXCLUDING VAT</w:t>
            </w:r>
          </w:p>
        </w:tc>
        <w:tc>
          <w:tcPr>
            <w:tcW w:w="2221" w:type="dxa"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  <w:bCs/>
              </w:rPr>
            </w:pPr>
            <w:r w:rsidRPr="00986898">
              <w:rPr>
                <w:rFonts w:ascii="Arial" w:hAnsi="Arial" w:cs="Arial"/>
                <w:b/>
                <w:bCs/>
              </w:rPr>
              <w:t>GRAND TOTAL VAT</w:t>
            </w:r>
          </w:p>
        </w:tc>
        <w:tc>
          <w:tcPr>
            <w:tcW w:w="2534" w:type="dxa"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  <w:bCs/>
              </w:rPr>
            </w:pPr>
            <w:r w:rsidRPr="00986898">
              <w:rPr>
                <w:rFonts w:ascii="Arial" w:hAnsi="Arial" w:cs="Arial"/>
                <w:b/>
                <w:bCs/>
              </w:rPr>
              <w:t>GRAN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986898">
              <w:rPr>
                <w:rFonts w:ascii="Arial" w:hAnsi="Arial" w:cs="Arial"/>
                <w:b/>
                <w:bCs/>
              </w:rPr>
              <w:t xml:space="preserve"> TOTAL PRICE INCLUDING VAT</w:t>
            </w:r>
          </w:p>
        </w:tc>
      </w:tr>
      <w:tr w:rsidR="0009778B" w:rsidRPr="00986898" w:rsidTr="00026FD1">
        <w:trPr>
          <w:trHeight w:val="471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52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52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52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52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52"/>
        </w:trPr>
        <w:tc>
          <w:tcPr>
            <w:tcW w:w="3427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</w:p>
        </w:tc>
        <w:tc>
          <w:tcPr>
            <w:tcW w:w="2592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516"/>
        </w:trPr>
        <w:tc>
          <w:tcPr>
            <w:tcW w:w="3427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92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  <w:hideMark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  <w:tr w:rsidR="0009778B" w:rsidRPr="00986898" w:rsidTr="00026FD1">
        <w:trPr>
          <w:trHeight w:val="716"/>
        </w:trPr>
        <w:tc>
          <w:tcPr>
            <w:tcW w:w="3427" w:type="dxa"/>
            <w:shd w:val="clear" w:color="auto" w:fill="DDD9C3" w:themeFill="background2" w:themeFillShade="E6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lastRenderedPageBreak/>
              <w:t xml:space="preserve">OVERALL ACCUMULATED GRAND TOTAL PRICE </w:t>
            </w:r>
          </w:p>
        </w:tc>
        <w:tc>
          <w:tcPr>
            <w:tcW w:w="2592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 R                 </w:t>
            </w:r>
          </w:p>
        </w:tc>
        <w:tc>
          <w:tcPr>
            <w:tcW w:w="2221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  <w:tc>
          <w:tcPr>
            <w:tcW w:w="2534" w:type="dxa"/>
            <w:noWrap/>
            <w:vAlign w:val="center"/>
          </w:tcPr>
          <w:p w:rsidR="0009778B" w:rsidRPr="00986898" w:rsidRDefault="0009778B" w:rsidP="00026FD1">
            <w:pPr>
              <w:rPr>
                <w:rFonts w:ascii="Arial" w:hAnsi="Arial" w:cs="Arial"/>
                <w:b/>
              </w:rPr>
            </w:pPr>
            <w:r w:rsidRPr="00986898">
              <w:rPr>
                <w:rFonts w:ascii="Arial" w:hAnsi="Arial" w:cs="Arial"/>
                <w:b/>
              </w:rPr>
              <w:t xml:space="preserve"> R   </w:t>
            </w:r>
          </w:p>
        </w:tc>
      </w:tr>
    </w:tbl>
    <w:p w:rsidR="0009778B" w:rsidRDefault="0009778B" w:rsidP="0009778B">
      <w:pPr>
        <w:spacing w:after="0" w:line="240" w:lineRule="auto"/>
        <w:jc w:val="both"/>
        <w:rPr>
          <w:rFonts w:ascii="Arial" w:hAnsi="Arial" w:cs="Arial"/>
          <w:b/>
        </w:rPr>
      </w:pPr>
      <w:r w:rsidRPr="00986898">
        <w:rPr>
          <w:rFonts w:ascii="Arial" w:hAnsi="Arial" w:cs="Arial"/>
          <w:b/>
        </w:rPr>
        <w:tab/>
      </w:r>
    </w:p>
    <w:p w:rsidR="0009778B" w:rsidRPr="00A460A9" w:rsidRDefault="0009778B" w:rsidP="0009778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A460A9">
        <w:rPr>
          <w:rFonts w:ascii="Arial" w:hAnsi="Arial" w:cs="Arial"/>
          <w:b/>
        </w:rPr>
        <w:t xml:space="preserve">The pricing will be considered as an accumulated total </w:t>
      </w: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Default="0009778B" w:rsidP="0009778B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778B">
        <w:rPr>
          <w:rFonts w:ascii="Arial" w:eastAsia="Calibri" w:hAnsi="Arial" w:cs="Arial"/>
          <w:b/>
          <w:lang w:val="en-ZA"/>
        </w:rPr>
        <w:t>Evaluation of Bids</w:t>
      </w:r>
    </w:p>
    <w:p w:rsidR="0009778B" w:rsidRPr="0009778B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9778B" w:rsidRDefault="0009778B" w:rsidP="0009778B">
      <w:pPr>
        <w:spacing w:after="160"/>
        <w:ind w:left="720" w:hanging="360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  <w:lang w:val="en-ZA"/>
        </w:rPr>
        <w:t>6.1</w:t>
      </w:r>
      <w:r>
        <w:rPr>
          <w:rFonts w:ascii="Arial" w:eastAsia="Calibri" w:hAnsi="Arial" w:cs="Arial"/>
          <w:lang w:val="en-ZA"/>
        </w:rPr>
        <w:tab/>
        <w:t xml:space="preserve">All bids will be evaluated in terms of Supply Chain Management regulations, Musina Local Municipality Supply Chain Policy and the Preferential Procurement Regulation of 2022. </w:t>
      </w:r>
    </w:p>
    <w:p w:rsidR="0009778B" w:rsidRDefault="0009778B" w:rsidP="0009778B">
      <w:pPr>
        <w:spacing w:after="160"/>
        <w:ind w:left="360"/>
        <w:rPr>
          <w:rFonts w:ascii="Arial" w:eastAsia="Calibri" w:hAnsi="Arial" w:cs="Arial"/>
          <w:lang w:val="en-ZA"/>
        </w:rPr>
      </w:pPr>
      <w:r>
        <w:rPr>
          <w:rFonts w:ascii="Arial" w:eastAsia="Calibri" w:hAnsi="Arial" w:cs="Arial"/>
          <w:lang w:val="en-ZA"/>
        </w:rPr>
        <w:t>6.2</w:t>
      </w:r>
      <w:r>
        <w:rPr>
          <w:rFonts w:ascii="Arial" w:eastAsia="Calibri" w:hAnsi="Arial" w:cs="Arial"/>
          <w:lang w:val="en-ZA"/>
        </w:rPr>
        <w:tab/>
        <w:t>Assessment Criteria</w:t>
      </w:r>
    </w:p>
    <w:p w:rsidR="0009778B" w:rsidRPr="00986898" w:rsidRDefault="0009778B" w:rsidP="0009778B">
      <w:pPr>
        <w:spacing w:after="160"/>
        <w:ind w:left="360" w:firstLine="360"/>
        <w:rPr>
          <w:rFonts w:ascii="Arial" w:eastAsia="Calibri" w:hAnsi="Arial" w:cs="Arial"/>
          <w:b/>
          <w:lang w:val="en-ZA"/>
        </w:rPr>
      </w:pPr>
      <w:r w:rsidRPr="00986898">
        <w:rPr>
          <w:rFonts w:ascii="Arial" w:eastAsia="Calibri" w:hAnsi="Arial" w:cs="Arial"/>
          <w:lang w:val="en-ZA"/>
        </w:rPr>
        <w:t>All bids received will be evaluated as follows</w:t>
      </w:r>
      <w:r w:rsidRPr="00986898">
        <w:rPr>
          <w:rFonts w:ascii="Arial" w:eastAsia="Calibri" w:hAnsi="Arial" w:cs="Arial"/>
          <w:b/>
          <w:lang w:val="en-ZA"/>
        </w:rPr>
        <w:t>:</w:t>
      </w:r>
    </w:p>
    <w:p w:rsidR="0009778B" w:rsidRPr="0009778B" w:rsidRDefault="0009778B" w:rsidP="0009778B">
      <w:pPr>
        <w:spacing w:after="160"/>
        <w:ind w:left="360" w:firstLine="360"/>
        <w:rPr>
          <w:rFonts w:ascii="Arial" w:eastAsia="Calibri" w:hAnsi="Arial" w:cs="Arial"/>
          <w:lang w:val="en-ZA"/>
        </w:rPr>
      </w:pPr>
      <w:r w:rsidRPr="0009778B">
        <w:rPr>
          <w:rFonts w:ascii="Arial" w:eastAsia="Calibri" w:hAnsi="Arial" w:cs="Arial"/>
          <w:lang w:val="en-ZA"/>
        </w:rPr>
        <w:t>First stage</w:t>
      </w:r>
    </w:p>
    <w:p w:rsidR="0009778B" w:rsidRPr="0009778B" w:rsidRDefault="0009778B" w:rsidP="0009778B">
      <w:pPr>
        <w:spacing w:after="160"/>
        <w:ind w:left="720"/>
        <w:rPr>
          <w:rFonts w:ascii="Arial" w:eastAsia="Calibri" w:hAnsi="Arial" w:cs="Arial"/>
          <w:lang w:val="en-ZA"/>
        </w:rPr>
      </w:pPr>
      <w:r w:rsidRPr="0009778B">
        <w:rPr>
          <w:rFonts w:ascii="Arial" w:eastAsia="Calibri" w:hAnsi="Arial" w:cs="Arial"/>
          <w:lang w:val="en-ZA"/>
        </w:rPr>
        <w:t>Mandatory and functionality requirements t</w:t>
      </w:r>
      <w:r w:rsidR="00F31866">
        <w:rPr>
          <w:rFonts w:ascii="Arial" w:eastAsia="Calibri" w:hAnsi="Arial" w:cs="Arial"/>
          <w:lang w:val="en-ZA"/>
        </w:rPr>
        <w:t>o</w:t>
      </w:r>
      <w:r w:rsidRPr="0009778B">
        <w:rPr>
          <w:rFonts w:ascii="Arial" w:eastAsia="Calibri" w:hAnsi="Arial" w:cs="Arial"/>
          <w:lang w:val="en-ZA"/>
        </w:rPr>
        <w:t xml:space="preserve"> assess each </w:t>
      </w:r>
      <w:proofErr w:type="gramStart"/>
      <w:r w:rsidRPr="0009778B">
        <w:rPr>
          <w:rFonts w:ascii="Arial" w:eastAsia="Calibri" w:hAnsi="Arial" w:cs="Arial"/>
          <w:lang w:val="en-ZA"/>
        </w:rPr>
        <w:t>bidders</w:t>
      </w:r>
      <w:proofErr w:type="gramEnd"/>
      <w:r w:rsidRPr="0009778B">
        <w:rPr>
          <w:rFonts w:ascii="Arial" w:eastAsia="Calibri" w:hAnsi="Arial" w:cs="Arial"/>
          <w:lang w:val="en-ZA"/>
        </w:rPr>
        <w:t xml:space="preserve"> ability to execute the scope of work / contract.</w:t>
      </w:r>
    </w:p>
    <w:p w:rsidR="0009778B" w:rsidRPr="0009778B" w:rsidRDefault="0009778B" w:rsidP="0009778B">
      <w:pPr>
        <w:spacing w:after="160"/>
        <w:ind w:left="360" w:firstLine="360"/>
        <w:rPr>
          <w:rFonts w:ascii="Arial" w:eastAsia="Calibri" w:hAnsi="Arial" w:cs="Arial"/>
          <w:lang w:val="en-ZA"/>
        </w:rPr>
      </w:pPr>
      <w:r w:rsidRPr="0009778B">
        <w:rPr>
          <w:rFonts w:ascii="Arial" w:eastAsia="Calibri" w:hAnsi="Arial" w:cs="Arial"/>
          <w:lang w:val="en-ZA"/>
        </w:rPr>
        <w:t>Second stage</w:t>
      </w:r>
    </w:p>
    <w:p w:rsidR="0009778B" w:rsidRPr="00AC1D99" w:rsidRDefault="0009778B" w:rsidP="0009778B">
      <w:pPr>
        <w:spacing w:after="160"/>
        <w:ind w:left="360" w:firstLine="360"/>
        <w:rPr>
          <w:rFonts w:ascii="Arial" w:eastAsia="Calibri" w:hAnsi="Arial" w:cs="Arial"/>
          <w:lang w:val="en-ZA"/>
        </w:rPr>
      </w:pPr>
      <w:r w:rsidRPr="00AC1D99">
        <w:rPr>
          <w:rFonts w:ascii="Arial" w:eastAsia="Calibri" w:hAnsi="Arial" w:cs="Arial"/>
          <w:lang w:val="en-ZA"/>
        </w:rPr>
        <w:t>Price and preference point system</w:t>
      </w:r>
    </w:p>
    <w:p w:rsidR="0009778B" w:rsidRPr="00AC1D99" w:rsidRDefault="0009778B" w:rsidP="0009778B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</w:r>
      <w:r w:rsidR="00F31866">
        <w:rPr>
          <w:rFonts w:ascii="Arial" w:hAnsi="Arial" w:cs="Arial"/>
        </w:rPr>
        <w:t xml:space="preserve">Bids will be </w:t>
      </w:r>
      <w:r w:rsidRPr="00AC1D99">
        <w:rPr>
          <w:rFonts w:ascii="Arial" w:hAnsi="Arial" w:cs="Arial"/>
        </w:rPr>
        <w:t xml:space="preserve">evaluated on the following criteria: </w:t>
      </w:r>
    </w:p>
    <w:p w:rsidR="0009778B" w:rsidRPr="00AC1D99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9778B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gramStart"/>
      <w:r w:rsidRPr="00AC1D99">
        <w:rPr>
          <w:rFonts w:ascii="Arial" w:hAnsi="Arial" w:cs="Arial"/>
        </w:rPr>
        <w:t>evaluation</w:t>
      </w:r>
      <w:proofErr w:type="gramEnd"/>
      <w:r w:rsidRPr="00AC1D99">
        <w:rPr>
          <w:rFonts w:ascii="Arial" w:hAnsi="Arial" w:cs="Arial"/>
        </w:rPr>
        <w:t xml:space="preserve"> criteria:</w:t>
      </w:r>
    </w:p>
    <w:p w:rsidR="0009778B" w:rsidRPr="00AC1D99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9778B" w:rsidRDefault="0009778B" w:rsidP="0009778B">
      <w:pPr>
        <w:pStyle w:val="ListParagraph"/>
        <w:numPr>
          <w:ilvl w:val="0"/>
          <w:numId w:val="32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Technical Requirements </w:t>
      </w:r>
    </w:p>
    <w:p w:rsidR="0009778B" w:rsidRDefault="0009778B" w:rsidP="0009778B">
      <w:pPr>
        <w:pStyle w:val="ListParagraph"/>
        <w:numPr>
          <w:ilvl w:val="0"/>
          <w:numId w:val="32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Qualification &amp; Experience </w:t>
      </w:r>
    </w:p>
    <w:p w:rsidR="0009778B" w:rsidRDefault="0009778B" w:rsidP="0009778B">
      <w:pPr>
        <w:pStyle w:val="ListParagraph"/>
        <w:numPr>
          <w:ilvl w:val="0"/>
          <w:numId w:val="32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Company experience </w:t>
      </w:r>
    </w:p>
    <w:p w:rsidR="0009778B" w:rsidRPr="00AC1D99" w:rsidRDefault="0009778B" w:rsidP="0009778B">
      <w:pPr>
        <w:pStyle w:val="ListParagraph"/>
        <w:numPr>
          <w:ilvl w:val="0"/>
          <w:numId w:val="32"/>
        </w:numPr>
        <w:spacing w:after="0" w:line="240" w:lineRule="auto"/>
        <w:ind w:hanging="11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Customer references  </w:t>
      </w:r>
    </w:p>
    <w:p w:rsidR="0009778B" w:rsidRPr="00AC1D99" w:rsidRDefault="0009778B" w:rsidP="0009778B">
      <w:pPr>
        <w:spacing w:after="0" w:line="240" w:lineRule="auto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              </w:t>
      </w:r>
    </w:p>
    <w:p w:rsidR="0009778B" w:rsidRPr="00D52148" w:rsidRDefault="0009778B" w:rsidP="0009778B">
      <w:pPr>
        <w:spacing w:after="160"/>
        <w:ind w:left="709"/>
        <w:rPr>
          <w:rFonts w:ascii="Arial" w:eastAsia="Calibri" w:hAnsi="Arial" w:cs="Arial"/>
          <w:color w:val="FF0000"/>
          <w:lang w:val="en-ZA"/>
        </w:rPr>
      </w:pPr>
      <w:r w:rsidRPr="00AC1D99">
        <w:rPr>
          <w:rFonts w:ascii="Arial" w:hAnsi="Arial" w:cs="Arial"/>
        </w:rPr>
        <w:t>The tender will be evaluated on the 80/20 Preference Points system as prescribed by the Preferenti</w:t>
      </w:r>
      <w:r w:rsidR="00F31866">
        <w:rPr>
          <w:rFonts w:ascii="Arial" w:hAnsi="Arial" w:cs="Arial"/>
        </w:rPr>
        <w:t>al Procurement Regulations, 2022.</w:t>
      </w:r>
    </w:p>
    <w:p w:rsidR="0009778B" w:rsidRPr="0009778B" w:rsidRDefault="0009778B" w:rsidP="0009778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Mandatory and functionality Requirement</w:t>
      </w:r>
    </w:p>
    <w:p w:rsidR="0009778B" w:rsidRPr="00986898" w:rsidRDefault="0009778B" w:rsidP="0009778B">
      <w:pPr>
        <w:spacing w:after="0" w:line="240" w:lineRule="auto"/>
        <w:jc w:val="both"/>
        <w:rPr>
          <w:rFonts w:ascii="Arial" w:hAnsi="Arial" w:cs="Arial"/>
          <w:b/>
        </w:rPr>
      </w:pPr>
    </w:p>
    <w:p w:rsidR="0009778B" w:rsidRDefault="0009778B" w:rsidP="0009778B">
      <w:pPr>
        <w:pStyle w:val="ListParagraph"/>
        <w:spacing w:line="240" w:lineRule="auto"/>
        <w:jc w:val="both"/>
        <w:rPr>
          <w:rFonts w:ascii="Arial" w:hAnsi="Arial" w:cs="Arial"/>
        </w:rPr>
      </w:pPr>
      <w:r w:rsidRPr="00986898">
        <w:rPr>
          <w:rFonts w:ascii="Arial" w:hAnsi="Arial" w:cs="Arial"/>
        </w:rPr>
        <w:t>The information requested from bidders has been identified by the Municipality as necessary to evaluate the commitment, capability, suitability, and c</w:t>
      </w:r>
      <w:r>
        <w:rPr>
          <w:rFonts w:ascii="Arial" w:hAnsi="Arial" w:cs="Arial"/>
        </w:rPr>
        <w:t>apacity of the service provider:</w:t>
      </w:r>
    </w:p>
    <w:p w:rsidR="0009778B" w:rsidRDefault="0009778B" w:rsidP="0009778B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9778B" w:rsidRDefault="0009778B" w:rsidP="0009778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1D99">
        <w:rPr>
          <w:rFonts w:ascii="Arial" w:hAnsi="Arial" w:cs="Arial"/>
        </w:rPr>
        <w:t xml:space="preserve">Technical Requirements </w:t>
      </w:r>
    </w:p>
    <w:p w:rsidR="0009778B" w:rsidRDefault="0009778B" w:rsidP="0009778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C87C71">
        <w:rPr>
          <w:rFonts w:ascii="Arial" w:hAnsi="Arial" w:cs="Arial"/>
        </w:rPr>
        <w:t xml:space="preserve">Company experience </w:t>
      </w:r>
    </w:p>
    <w:p w:rsidR="0009778B" w:rsidRPr="00C87C71" w:rsidRDefault="0009778B" w:rsidP="0009778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C87C71">
        <w:rPr>
          <w:rFonts w:ascii="Arial" w:hAnsi="Arial" w:cs="Arial"/>
        </w:rPr>
        <w:t xml:space="preserve">Customer references  </w:t>
      </w:r>
    </w:p>
    <w:p w:rsidR="0009778B" w:rsidRPr="00781B9C" w:rsidRDefault="0009778B" w:rsidP="0009778B">
      <w:pPr>
        <w:pStyle w:val="ListParagraph"/>
        <w:spacing w:line="240" w:lineRule="auto"/>
        <w:jc w:val="both"/>
        <w:rPr>
          <w:rFonts w:ascii="Arial" w:hAnsi="Arial" w:cs="Arial"/>
        </w:rPr>
      </w:pPr>
    </w:p>
    <w:p w:rsidR="0009778B" w:rsidRPr="0009778B" w:rsidRDefault="0009778B" w:rsidP="0009778B">
      <w:pPr>
        <w:pStyle w:val="ListParagraph"/>
        <w:numPr>
          <w:ilvl w:val="1"/>
          <w:numId w:val="36"/>
        </w:numPr>
        <w:spacing w:after="160" w:line="240" w:lineRule="auto"/>
        <w:jc w:val="both"/>
        <w:rPr>
          <w:rFonts w:ascii="Arial" w:hAnsi="Arial" w:cs="Arial"/>
          <w:b/>
        </w:rPr>
      </w:pPr>
      <w:r w:rsidRPr="0009778B">
        <w:rPr>
          <w:rFonts w:ascii="Arial" w:hAnsi="Arial" w:cs="Arial"/>
          <w:b/>
        </w:rPr>
        <w:t>Technical Requirements and Capacity to provide services</w:t>
      </w:r>
    </w:p>
    <w:p w:rsidR="0009778B" w:rsidRDefault="0009778B" w:rsidP="0009778B">
      <w:pPr>
        <w:pStyle w:val="ListParagraph"/>
        <w:ind w:left="1440"/>
        <w:jc w:val="both"/>
        <w:rPr>
          <w:rFonts w:ascii="Arial" w:hAnsi="Arial" w:cs="Arial"/>
        </w:rPr>
      </w:pPr>
    </w:p>
    <w:p w:rsidR="0009778B" w:rsidRDefault="0009778B" w:rsidP="0009778B">
      <w:pPr>
        <w:pStyle w:val="ListParagraph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The requirement</w:t>
      </w:r>
      <w:r w:rsidRPr="00986898">
        <w:rPr>
          <w:rFonts w:ascii="Arial" w:hAnsi="Arial" w:cs="Arial"/>
        </w:rPr>
        <w:t xml:space="preserve"> criteria have been described below to assist the bidder with understanding the minimum submission requirements</w:t>
      </w:r>
      <w:r w:rsidRPr="00694CDC">
        <w:rPr>
          <w:rFonts w:ascii="Arial" w:hAnsi="Arial" w:cs="Arial"/>
        </w:rPr>
        <w:t xml:space="preserve">. </w:t>
      </w:r>
    </w:p>
    <w:p w:rsidR="0009778B" w:rsidRDefault="0009778B" w:rsidP="0009778B">
      <w:pPr>
        <w:pStyle w:val="ListParagraph"/>
        <w:ind w:left="709"/>
        <w:jc w:val="both"/>
        <w:rPr>
          <w:rFonts w:ascii="Arial" w:hAnsi="Arial" w:cs="Arial"/>
        </w:rPr>
      </w:pPr>
    </w:p>
    <w:p w:rsidR="0009778B" w:rsidRPr="00555A29" w:rsidRDefault="0009778B" w:rsidP="0009778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555A29">
        <w:rPr>
          <w:rFonts w:ascii="Arial" w:hAnsi="Arial" w:cs="Arial"/>
          <w:b/>
          <w:bCs/>
        </w:rPr>
        <w:t xml:space="preserve">Company Experience and Customer References </w:t>
      </w:r>
    </w:p>
    <w:p w:rsidR="0009778B" w:rsidRPr="00555A29" w:rsidRDefault="0009778B" w:rsidP="0009778B">
      <w:pPr>
        <w:spacing w:line="240" w:lineRule="auto"/>
        <w:ind w:firstLine="720"/>
        <w:jc w:val="both"/>
        <w:rPr>
          <w:rFonts w:ascii="Arial" w:hAnsi="Arial" w:cs="Arial"/>
        </w:rPr>
      </w:pPr>
      <w:r w:rsidRPr="00555A29">
        <w:rPr>
          <w:rFonts w:ascii="Arial" w:hAnsi="Arial" w:cs="Arial"/>
        </w:rPr>
        <w:lastRenderedPageBreak/>
        <w:t>Company references / appointment letters with a detailed contactable</w:t>
      </w:r>
    </w:p>
    <w:p w:rsidR="0009778B" w:rsidRDefault="0009778B" w:rsidP="0009778B">
      <w:pPr>
        <w:spacing w:line="240" w:lineRule="auto"/>
        <w:ind w:left="709"/>
        <w:jc w:val="both"/>
        <w:rPr>
          <w:rFonts w:ascii="Arial" w:hAnsi="Arial" w:cs="Arial"/>
        </w:rPr>
      </w:pPr>
      <w:r w:rsidRPr="00555A29">
        <w:rPr>
          <w:rFonts w:ascii="Arial" w:hAnsi="Arial" w:cs="Arial"/>
        </w:rPr>
        <w:t>The service provider must prove it has the capacity and is capable of rendering the renovations. Supporting documentation including contracts, commitment agreements, or lease/rental agreements.</w:t>
      </w:r>
    </w:p>
    <w:p w:rsidR="0009778B" w:rsidRPr="00555A29" w:rsidRDefault="0009778B" w:rsidP="0009778B">
      <w:pPr>
        <w:pStyle w:val="ListParagraph"/>
        <w:numPr>
          <w:ilvl w:val="0"/>
          <w:numId w:val="31"/>
        </w:numPr>
        <w:spacing w:after="160" w:line="240" w:lineRule="auto"/>
        <w:jc w:val="both"/>
        <w:rPr>
          <w:rFonts w:ascii="Arial" w:hAnsi="Arial" w:cs="Arial"/>
          <w:b/>
        </w:rPr>
      </w:pPr>
      <w:r w:rsidRPr="00555A29">
        <w:rPr>
          <w:rFonts w:ascii="Arial" w:hAnsi="Arial" w:cs="Arial"/>
          <w:b/>
        </w:rPr>
        <w:t xml:space="preserve">Company Experience </w:t>
      </w:r>
    </w:p>
    <w:p w:rsidR="0009778B" w:rsidRDefault="0009778B" w:rsidP="0009778B">
      <w:pPr>
        <w:pStyle w:val="ListParagraph"/>
        <w:spacing w:after="160" w:line="240" w:lineRule="auto"/>
        <w:ind w:left="851"/>
        <w:jc w:val="both"/>
        <w:rPr>
          <w:rFonts w:ascii="Arial" w:hAnsi="Arial" w:cs="Arial"/>
          <w:b/>
        </w:rPr>
      </w:pPr>
    </w:p>
    <w:p w:rsidR="0009778B" w:rsidRPr="00555A29" w:rsidRDefault="0009778B" w:rsidP="0009778B">
      <w:pPr>
        <w:spacing w:after="160" w:line="240" w:lineRule="auto"/>
        <w:ind w:left="720"/>
        <w:jc w:val="both"/>
        <w:rPr>
          <w:rFonts w:ascii="Arial" w:hAnsi="Arial" w:cs="Arial"/>
          <w:bCs/>
        </w:rPr>
      </w:pPr>
      <w:r w:rsidRPr="00555A29">
        <w:rPr>
          <w:rFonts w:ascii="Arial" w:hAnsi="Arial" w:cs="Arial"/>
          <w:bCs/>
        </w:rPr>
        <w:t xml:space="preserve">The service provider is required to provide details of the value of work performed by the company for </w:t>
      </w:r>
      <w:r>
        <w:rPr>
          <w:rFonts w:ascii="Arial" w:hAnsi="Arial" w:cs="Arial"/>
          <w:bCs/>
        </w:rPr>
        <w:t xml:space="preserve">at least three (3) </w:t>
      </w:r>
      <w:r w:rsidRPr="00555A29">
        <w:rPr>
          <w:rFonts w:ascii="Arial" w:hAnsi="Arial" w:cs="Arial"/>
          <w:bCs/>
        </w:rPr>
        <w:t>similar services required in the tender supported by appointment letters/contract/work</w:t>
      </w:r>
      <w:r>
        <w:rPr>
          <w:rFonts w:ascii="Arial" w:hAnsi="Arial" w:cs="Arial"/>
          <w:bCs/>
        </w:rPr>
        <w:t xml:space="preserve"> </w:t>
      </w:r>
      <w:r w:rsidRPr="00555A29">
        <w:rPr>
          <w:rFonts w:ascii="Arial" w:hAnsi="Arial" w:cs="Arial"/>
          <w:bCs/>
        </w:rPr>
        <w:t>orders/invoices/confirmation of payment with traceable references.</w:t>
      </w:r>
    </w:p>
    <w:p w:rsidR="0009778B" w:rsidRPr="00555A29" w:rsidRDefault="0009778B" w:rsidP="0009778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55A29">
        <w:rPr>
          <w:rFonts w:ascii="Arial" w:hAnsi="Arial" w:cs="Arial"/>
        </w:rPr>
        <w:t>NB:  Musina Local Municipality reserves the right to, should it emerge that evidence supplied is not valid, it may result in the bid being disqualified for dishonesty.</w:t>
      </w:r>
    </w:p>
    <w:p w:rsidR="0009778B" w:rsidRDefault="0009778B" w:rsidP="0009778B">
      <w:pPr>
        <w:pStyle w:val="ListParagraph"/>
        <w:spacing w:after="160" w:line="240" w:lineRule="auto"/>
        <w:ind w:left="851"/>
        <w:jc w:val="both"/>
        <w:rPr>
          <w:rFonts w:ascii="Arial" w:hAnsi="Arial" w:cs="Arial"/>
          <w:b/>
        </w:rPr>
      </w:pPr>
    </w:p>
    <w:p w:rsidR="0009778B" w:rsidRPr="00555A29" w:rsidRDefault="0009778B" w:rsidP="0009778B">
      <w:pPr>
        <w:pStyle w:val="ListParagraph"/>
        <w:numPr>
          <w:ilvl w:val="0"/>
          <w:numId w:val="31"/>
        </w:numPr>
        <w:spacing w:after="160" w:line="240" w:lineRule="auto"/>
        <w:jc w:val="both"/>
        <w:rPr>
          <w:rFonts w:ascii="Arial" w:hAnsi="Arial" w:cs="Arial"/>
          <w:b/>
        </w:rPr>
      </w:pPr>
      <w:r w:rsidRPr="00555A29">
        <w:rPr>
          <w:rFonts w:ascii="Arial" w:hAnsi="Arial" w:cs="Arial"/>
          <w:b/>
        </w:rPr>
        <w:t>Customer References</w:t>
      </w:r>
    </w:p>
    <w:p w:rsidR="0009778B" w:rsidRDefault="0009778B" w:rsidP="0009778B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9778B" w:rsidRPr="00555A29" w:rsidRDefault="0009778B" w:rsidP="0009778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555A29">
        <w:rPr>
          <w:rFonts w:ascii="Arial" w:hAnsi="Arial" w:cs="Arial"/>
        </w:rPr>
        <w:t xml:space="preserve">The service provider is required to give details of </w:t>
      </w:r>
      <w:r>
        <w:rPr>
          <w:rFonts w:ascii="Arial" w:hAnsi="Arial" w:cs="Arial"/>
        </w:rPr>
        <w:t xml:space="preserve">at least three (3) </w:t>
      </w:r>
      <w:r w:rsidRPr="00555A29">
        <w:rPr>
          <w:rFonts w:ascii="Arial" w:hAnsi="Arial" w:cs="Arial"/>
        </w:rPr>
        <w:t>active customers making use of similar services with appointment letters and contactable references.</w:t>
      </w:r>
    </w:p>
    <w:p w:rsidR="0009778B" w:rsidRDefault="0009778B" w:rsidP="0009778B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6E7DBF" w:rsidRPr="000651AC" w:rsidRDefault="0009778B" w:rsidP="0009778B">
      <w:pPr>
        <w:pBdr>
          <w:bottom w:val="single" w:sz="6" w:space="1" w:color="auto"/>
        </w:pBdr>
        <w:rPr>
          <w:rFonts w:ascii="Arial" w:hAnsi="Arial" w:cs="Arial"/>
          <w:b/>
          <w:sz w:val="20"/>
        </w:rPr>
      </w:pPr>
      <w:r w:rsidRPr="00555A29">
        <w:rPr>
          <w:rFonts w:ascii="Arial" w:hAnsi="Arial" w:cs="Arial"/>
        </w:rPr>
        <w:t>NB:  Musina Local Municipality reserves the right to, should it emerge that evidence supplied is not valid, it may result in the bid be</w:t>
      </w:r>
      <w:r>
        <w:rPr>
          <w:rFonts w:ascii="Arial" w:hAnsi="Arial" w:cs="Arial"/>
        </w:rPr>
        <w:t>ing disqualified for dishonesty</w:t>
      </w:r>
    </w:p>
    <w:sectPr w:rsidR="006E7DBF" w:rsidRPr="000651AC" w:rsidSect="000651AC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568" w:right="992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14" w:rsidRDefault="00890814" w:rsidP="007F5968">
      <w:pPr>
        <w:spacing w:after="0" w:line="240" w:lineRule="auto"/>
      </w:pPr>
      <w:r>
        <w:separator/>
      </w:r>
    </w:p>
  </w:endnote>
  <w:endnote w:type="continuationSeparator" w:id="0">
    <w:p w:rsidR="00890814" w:rsidRDefault="00890814" w:rsidP="007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68" w:rsidRDefault="007F5968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145415</wp:posOffset>
          </wp:positionV>
          <wp:extent cx="8001000" cy="4749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14" w:rsidRDefault="00890814" w:rsidP="007F5968">
      <w:pPr>
        <w:spacing w:after="0" w:line="240" w:lineRule="auto"/>
      </w:pPr>
      <w:r>
        <w:separator/>
      </w:r>
    </w:p>
  </w:footnote>
  <w:footnote w:type="continuationSeparator" w:id="0">
    <w:p w:rsidR="00890814" w:rsidRDefault="00890814" w:rsidP="007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68" w:rsidRDefault="00890814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1" o:spid="_x0000_s2059" type="#_x0000_t75" style="position:absolute;margin-left:0;margin-top:0;width:263.25pt;height:284.25pt;z-index:-251656192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68" w:rsidRDefault="00890814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2" o:spid="_x0000_s2060" type="#_x0000_t75" style="position:absolute;margin-left:0;margin-top:0;width:263.25pt;height:284.25pt;z-index:-251655168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968" w:rsidRDefault="00890814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0" o:spid="_x0000_s2058" type="#_x0000_t75" style="position:absolute;margin-left:0;margin-top:0;width:263.25pt;height:284.25pt;z-index:-251657216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653"/>
    <w:multiLevelType w:val="hybridMultilevel"/>
    <w:tmpl w:val="D0443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A1706"/>
    <w:multiLevelType w:val="hybridMultilevel"/>
    <w:tmpl w:val="0E8EC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1FE"/>
    <w:multiLevelType w:val="hybridMultilevel"/>
    <w:tmpl w:val="F06AABE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D79F0"/>
    <w:multiLevelType w:val="hybridMultilevel"/>
    <w:tmpl w:val="D61686EC"/>
    <w:lvl w:ilvl="0" w:tplc="41329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A2DD1"/>
    <w:multiLevelType w:val="hybridMultilevel"/>
    <w:tmpl w:val="BC268D2A"/>
    <w:lvl w:ilvl="0" w:tplc="12FED96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AE7A75"/>
    <w:multiLevelType w:val="hybridMultilevel"/>
    <w:tmpl w:val="9558C4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2A71"/>
    <w:multiLevelType w:val="hybridMultilevel"/>
    <w:tmpl w:val="A3D8305C"/>
    <w:lvl w:ilvl="0" w:tplc="805CE37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6A47"/>
    <w:multiLevelType w:val="hybridMultilevel"/>
    <w:tmpl w:val="F1B2F2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00C85"/>
    <w:multiLevelType w:val="hybridMultilevel"/>
    <w:tmpl w:val="6A12BCD8"/>
    <w:lvl w:ilvl="0" w:tplc="514C40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63589"/>
    <w:multiLevelType w:val="hybridMultilevel"/>
    <w:tmpl w:val="B0309F20"/>
    <w:lvl w:ilvl="0" w:tplc="F0D813B0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42" w:hanging="360"/>
      </w:pPr>
    </w:lvl>
    <w:lvl w:ilvl="2" w:tplc="1C09001B" w:tentative="1">
      <w:start w:val="1"/>
      <w:numFmt w:val="lowerRoman"/>
      <w:lvlText w:val="%3."/>
      <w:lvlJc w:val="right"/>
      <w:pPr>
        <w:ind w:left="2662" w:hanging="180"/>
      </w:pPr>
    </w:lvl>
    <w:lvl w:ilvl="3" w:tplc="1C09000F" w:tentative="1">
      <w:start w:val="1"/>
      <w:numFmt w:val="decimal"/>
      <w:lvlText w:val="%4."/>
      <w:lvlJc w:val="left"/>
      <w:pPr>
        <w:ind w:left="3382" w:hanging="360"/>
      </w:pPr>
    </w:lvl>
    <w:lvl w:ilvl="4" w:tplc="1C090019" w:tentative="1">
      <w:start w:val="1"/>
      <w:numFmt w:val="lowerLetter"/>
      <w:lvlText w:val="%5."/>
      <w:lvlJc w:val="left"/>
      <w:pPr>
        <w:ind w:left="4102" w:hanging="360"/>
      </w:pPr>
    </w:lvl>
    <w:lvl w:ilvl="5" w:tplc="1C09001B" w:tentative="1">
      <w:start w:val="1"/>
      <w:numFmt w:val="lowerRoman"/>
      <w:lvlText w:val="%6."/>
      <w:lvlJc w:val="right"/>
      <w:pPr>
        <w:ind w:left="4822" w:hanging="180"/>
      </w:pPr>
    </w:lvl>
    <w:lvl w:ilvl="6" w:tplc="1C09000F" w:tentative="1">
      <w:start w:val="1"/>
      <w:numFmt w:val="decimal"/>
      <w:lvlText w:val="%7."/>
      <w:lvlJc w:val="left"/>
      <w:pPr>
        <w:ind w:left="5542" w:hanging="360"/>
      </w:pPr>
    </w:lvl>
    <w:lvl w:ilvl="7" w:tplc="1C090019" w:tentative="1">
      <w:start w:val="1"/>
      <w:numFmt w:val="lowerLetter"/>
      <w:lvlText w:val="%8."/>
      <w:lvlJc w:val="left"/>
      <w:pPr>
        <w:ind w:left="6262" w:hanging="360"/>
      </w:pPr>
    </w:lvl>
    <w:lvl w:ilvl="8" w:tplc="1C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D4A47BF"/>
    <w:multiLevelType w:val="hybridMultilevel"/>
    <w:tmpl w:val="96501F1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33F"/>
    <w:multiLevelType w:val="hybridMultilevel"/>
    <w:tmpl w:val="730647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91831"/>
    <w:multiLevelType w:val="hybridMultilevel"/>
    <w:tmpl w:val="E670179E"/>
    <w:lvl w:ilvl="0" w:tplc="4BA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59AAE90">
      <w:start w:val="1"/>
      <w:numFmt w:val="low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E5B6C"/>
    <w:multiLevelType w:val="hybridMultilevel"/>
    <w:tmpl w:val="01FA463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B41DD"/>
    <w:multiLevelType w:val="hybridMultilevel"/>
    <w:tmpl w:val="58C4BE80"/>
    <w:lvl w:ilvl="0" w:tplc="1C09000F">
      <w:start w:val="1"/>
      <w:numFmt w:val="decimal"/>
      <w:lvlText w:val="%1.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B0818C5"/>
    <w:multiLevelType w:val="hybridMultilevel"/>
    <w:tmpl w:val="ED624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D6522"/>
    <w:multiLevelType w:val="hybridMultilevel"/>
    <w:tmpl w:val="1C14902A"/>
    <w:lvl w:ilvl="0" w:tplc="1BBA135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86788E"/>
    <w:multiLevelType w:val="hybridMultilevel"/>
    <w:tmpl w:val="723268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C3EAD"/>
    <w:multiLevelType w:val="hybridMultilevel"/>
    <w:tmpl w:val="9614FC46"/>
    <w:lvl w:ilvl="0" w:tplc="28B64A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2214F"/>
    <w:multiLevelType w:val="multilevel"/>
    <w:tmpl w:val="B6660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22A6CC8"/>
    <w:multiLevelType w:val="hybridMultilevel"/>
    <w:tmpl w:val="D5EAFE26"/>
    <w:lvl w:ilvl="0" w:tplc="939C3F7C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A05E9"/>
    <w:multiLevelType w:val="multilevel"/>
    <w:tmpl w:val="CE24F0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7DE1CB8"/>
    <w:multiLevelType w:val="hybridMultilevel"/>
    <w:tmpl w:val="DA58F26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8218A"/>
    <w:multiLevelType w:val="hybridMultilevel"/>
    <w:tmpl w:val="BCD0E7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D0CC4"/>
    <w:multiLevelType w:val="hybridMultilevel"/>
    <w:tmpl w:val="AF0CE9D0"/>
    <w:lvl w:ilvl="0" w:tplc="F0E8A42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92A0A"/>
    <w:multiLevelType w:val="hybridMultilevel"/>
    <w:tmpl w:val="BC268D2A"/>
    <w:lvl w:ilvl="0" w:tplc="12FE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60201"/>
    <w:multiLevelType w:val="hybridMultilevel"/>
    <w:tmpl w:val="2C5C44AA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CCD562D"/>
    <w:multiLevelType w:val="hybridMultilevel"/>
    <w:tmpl w:val="2306FF94"/>
    <w:lvl w:ilvl="0" w:tplc="748CA7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618DE"/>
    <w:multiLevelType w:val="hybridMultilevel"/>
    <w:tmpl w:val="74569C50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FC3B47"/>
    <w:multiLevelType w:val="hybridMultilevel"/>
    <w:tmpl w:val="889EAF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6E70A6"/>
    <w:multiLevelType w:val="hybridMultilevel"/>
    <w:tmpl w:val="DDB4F79E"/>
    <w:lvl w:ilvl="0" w:tplc="1C09001B">
      <w:start w:val="1"/>
      <w:numFmt w:val="lowerRoman"/>
      <w:lvlText w:val="%1."/>
      <w:lvlJc w:val="right"/>
      <w:pPr>
        <w:ind w:left="1860" w:hanging="360"/>
      </w:pPr>
    </w:lvl>
    <w:lvl w:ilvl="1" w:tplc="1C090019" w:tentative="1">
      <w:start w:val="1"/>
      <w:numFmt w:val="lowerLetter"/>
      <w:lvlText w:val="%2."/>
      <w:lvlJc w:val="left"/>
      <w:pPr>
        <w:ind w:left="2580" w:hanging="360"/>
      </w:pPr>
    </w:lvl>
    <w:lvl w:ilvl="2" w:tplc="1C09001B" w:tentative="1">
      <w:start w:val="1"/>
      <w:numFmt w:val="lowerRoman"/>
      <w:lvlText w:val="%3."/>
      <w:lvlJc w:val="right"/>
      <w:pPr>
        <w:ind w:left="3300" w:hanging="180"/>
      </w:pPr>
    </w:lvl>
    <w:lvl w:ilvl="3" w:tplc="1C09000F" w:tentative="1">
      <w:start w:val="1"/>
      <w:numFmt w:val="decimal"/>
      <w:lvlText w:val="%4."/>
      <w:lvlJc w:val="left"/>
      <w:pPr>
        <w:ind w:left="4020" w:hanging="360"/>
      </w:pPr>
    </w:lvl>
    <w:lvl w:ilvl="4" w:tplc="1C090019" w:tentative="1">
      <w:start w:val="1"/>
      <w:numFmt w:val="lowerLetter"/>
      <w:lvlText w:val="%5."/>
      <w:lvlJc w:val="left"/>
      <w:pPr>
        <w:ind w:left="4740" w:hanging="360"/>
      </w:pPr>
    </w:lvl>
    <w:lvl w:ilvl="5" w:tplc="1C09001B" w:tentative="1">
      <w:start w:val="1"/>
      <w:numFmt w:val="lowerRoman"/>
      <w:lvlText w:val="%6."/>
      <w:lvlJc w:val="right"/>
      <w:pPr>
        <w:ind w:left="5460" w:hanging="180"/>
      </w:pPr>
    </w:lvl>
    <w:lvl w:ilvl="6" w:tplc="1C09000F" w:tentative="1">
      <w:start w:val="1"/>
      <w:numFmt w:val="decimal"/>
      <w:lvlText w:val="%7."/>
      <w:lvlJc w:val="left"/>
      <w:pPr>
        <w:ind w:left="6180" w:hanging="360"/>
      </w:pPr>
    </w:lvl>
    <w:lvl w:ilvl="7" w:tplc="1C090019" w:tentative="1">
      <w:start w:val="1"/>
      <w:numFmt w:val="lowerLetter"/>
      <w:lvlText w:val="%8."/>
      <w:lvlJc w:val="left"/>
      <w:pPr>
        <w:ind w:left="6900" w:hanging="360"/>
      </w:pPr>
    </w:lvl>
    <w:lvl w:ilvl="8" w:tplc="1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>
    <w:nsid w:val="7003010B"/>
    <w:multiLevelType w:val="hybridMultilevel"/>
    <w:tmpl w:val="6402FAB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944CA"/>
    <w:multiLevelType w:val="multilevel"/>
    <w:tmpl w:val="B6660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95056BC"/>
    <w:multiLevelType w:val="hybridMultilevel"/>
    <w:tmpl w:val="6D0610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867D3"/>
    <w:multiLevelType w:val="hybridMultilevel"/>
    <w:tmpl w:val="379CAB6A"/>
    <w:lvl w:ilvl="0" w:tplc="97F2C6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B177D27"/>
    <w:multiLevelType w:val="hybridMultilevel"/>
    <w:tmpl w:val="42AC4D5C"/>
    <w:lvl w:ilvl="0" w:tplc="1C090017">
      <w:start w:val="1"/>
      <w:numFmt w:val="lowerLetter"/>
      <w:lvlText w:val="%1)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867E7E"/>
    <w:multiLevelType w:val="hybridMultilevel"/>
    <w:tmpl w:val="E5DE1256"/>
    <w:lvl w:ilvl="0" w:tplc="413292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0"/>
  </w:num>
  <w:num w:numId="4">
    <w:abstractNumId w:val="11"/>
  </w:num>
  <w:num w:numId="5">
    <w:abstractNumId w:val="27"/>
  </w:num>
  <w:num w:numId="6">
    <w:abstractNumId w:val="15"/>
  </w:num>
  <w:num w:numId="7">
    <w:abstractNumId w:val="1"/>
  </w:num>
  <w:num w:numId="8">
    <w:abstractNumId w:val="24"/>
  </w:num>
  <w:num w:numId="9">
    <w:abstractNumId w:val="7"/>
  </w:num>
  <w:num w:numId="10">
    <w:abstractNumId w:val="18"/>
  </w:num>
  <w:num w:numId="11">
    <w:abstractNumId w:val="0"/>
  </w:num>
  <w:num w:numId="12">
    <w:abstractNumId w:val="19"/>
  </w:num>
  <w:num w:numId="13">
    <w:abstractNumId w:val="17"/>
  </w:num>
  <w:num w:numId="14">
    <w:abstractNumId w:val="21"/>
  </w:num>
  <w:num w:numId="15">
    <w:abstractNumId w:val="6"/>
  </w:num>
  <w:num w:numId="16">
    <w:abstractNumId w:val="5"/>
  </w:num>
  <w:num w:numId="17">
    <w:abstractNumId w:val="36"/>
  </w:num>
  <w:num w:numId="18">
    <w:abstractNumId w:val="8"/>
  </w:num>
  <w:num w:numId="19">
    <w:abstractNumId w:val="37"/>
  </w:num>
  <w:num w:numId="20">
    <w:abstractNumId w:val="35"/>
  </w:num>
  <w:num w:numId="21">
    <w:abstractNumId w:val="14"/>
  </w:num>
  <w:num w:numId="22">
    <w:abstractNumId w:val="29"/>
  </w:num>
  <w:num w:numId="23">
    <w:abstractNumId w:val="31"/>
  </w:num>
  <w:num w:numId="24">
    <w:abstractNumId w:val="13"/>
  </w:num>
  <w:num w:numId="25">
    <w:abstractNumId w:val="3"/>
  </w:num>
  <w:num w:numId="26">
    <w:abstractNumId w:val="12"/>
  </w:num>
  <w:num w:numId="27">
    <w:abstractNumId w:val="10"/>
  </w:num>
  <w:num w:numId="28">
    <w:abstractNumId w:val="9"/>
  </w:num>
  <w:num w:numId="29">
    <w:abstractNumId w:val="23"/>
  </w:num>
  <w:num w:numId="30">
    <w:abstractNumId w:val="22"/>
  </w:num>
  <w:num w:numId="31">
    <w:abstractNumId w:val="28"/>
  </w:num>
  <w:num w:numId="32">
    <w:abstractNumId w:val="26"/>
  </w:num>
  <w:num w:numId="33">
    <w:abstractNumId w:val="4"/>
  </w:num>
  <w:num w:numId="34">
    <w:abstractNumId w:val="25"/>
  </w:num>
  <w:num w:numId="35">
    <w:abstractNumId w:val="34"/>
  </w:num>
  <w:num w:numId="36">
    <w:abstractNumId w:val="33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MjUxtzA2N7U0NbRQ0lEKTi0uzszPAykwqQUA77tcGCwAAAA="/>
  </w:docVars>
  <w:rsids>
    <w:rsidRoot w:val="00AF6DEE"/>
    <w:rsid w:val="00003D1D"/>
    <w:rsid w:val="00006C11"/>
    <w:rsid w:val="00020E17"/>
    <w:rsid w:val="00024962"/>
    <w:rsid w:val="00033A2E"/>
    <w:rsid w:val="000342F5"/>
    <w:rsid w:val="00040671"/>
    <w:rsid w:val="00044361"/>
    <w:rsid w:val="00047206"/>
    <w:rsid w:val="0005436C"/>
    <w:rsid w:val="000651AC"/>
    <w:rsid w:val="000660A7"/>
    <w:rsid w:val="00075CC8"/>
    <w:rsid w:val="0008558E"/>
    <w:rsid w:val="00092627"/>
    <w:rsid w:val="0009778B"/>
    <w:rsid w:val="000A4D97"/>
    <w:rsid w:val="000A7219"/>
    <w:rsid w:val="000B5C55"/>
    <w:rsid w:val="000C357E"/>
    <w:rsid w:val="000D0BAE"/>
    <w:rsid w:val="000D43B5"/>
    <w:rsid w:val="000F5FFE"/>
    <w:rsid w:val="00100985"/>
    <w:rsid w:val="00125076"/>
    <w:rsid w:val="00133881"/>
    <w:rsid w:val="001344F2"/>
    <w:rsid w:val="00136D30"/>
    <w:rsid w:val="001412AA"/>
    <w:rsid w:val="00157D63"/>
    <w:rsid w:val="00172FF0"/>
    <w:rsid w:val="00182787"/>
    <w:rsid w:val="00183B34"/>
    <w:rsid w:val="00190A8C"/>
    <w:rsid w:val="00200C40"/>
    <w:rsid w:val="002054AE"/>
    <w:rsid w:val="002270C3"/>
    <w:rsid w:val="00230BE1"/>
    <w:rsid w:val="00232A25"/>
    <w:rsid w:val="002418AB"/>
    <w:rsid w:val="00241D36"/>
    <w:rsid w:val="002532B0"/>
    <w:rsid w:val="00263E1A"/>
    <w:rsid w:val="002749D3"/>
    <w:rsid w:val="00286E23"/>
    <w:rsid w:val="0029176A"/>
    <w:rsid w:val="002A1FDC"/>
    <w:rsid w:val="002C0717"/>
    <w:rsid w:val="002C1170"/>
    <w:rsid w:val="002C2421"/>
    <w:rsid w:val="002D7EDD"/>
    <w:rsid w:val="002E1CCE"/>
    <w:rsid w:val="002E4583"/>
    <w:rsid w:val="002F0BB2"/>
    <w:rsid w:val="00312A5A"/>
    <w:rsid w:val="0031625F"/>
    <w:rsid w:val="00330097"/>
    <w:rsid w:val="00334967"/>
    <w:rsid w:val="00354CD1"/>
    <w:rsid w:val="00364587"/>
    <w:rsid w:val="00370592"/>
    <w:rsid w:val="00381ECF"/>
    <w:rsid w:val="00383D44"/>
    <w:rsid w:val="00386C90"/>
    <w:rsid w:val="0039512A"/>
    <w:rsid w:val="003B47C5"/>
    <w:rsid w:val="003B5AB1"/>
    <w:rsid w:val="003F5549"/>
    <w:rsid w:val="00402A6B"/>
    <w:rsid w:val="004214E9"/>
    <w:rsid w:val="00440982"/>
    <w:rsid w:val="00452865"/>
    <w:rsid w:val="00464E46"/>
    <w:rsid w:val="00492C9B"/>
    <w:rsid w:val="004957DE"/>
    <w:rsid w:val="004A1319"/>
    <w:rsid w:val="004A7351"/>
    <w:rsid w:val="004B617D"/>
    <w:rsid w:val="004C22D1"/>
    <w:rsid w:val="004D365B"/>
    <w:rsid w:val="004D6EB6"/>
    <w:rsid w:val="004E7C9E"/>
    <w:rsid w:val="0050776A"/>
    <w:rsid w:val="00520775"/>
    <w:rsid w:val="005304D3"/>
    <w:rsid w:val="00535F6F"/>
    <w:rsid w:val="0056329A"/>
    <w:rsid w:val="005A551A"/>
    <w:rsid w:val="005B0344"/>
    <w:rsid w:val="005D21A3"/>
    <w:rsid w:val="005D3B03"/>
    <w:rsid w:val="005D7363"/>
    <w:rsid w:val="005E43B3"/>
    <w:rsid w:val="005E7264"/>
    <w:rsid w:val="00603322"/>
    <w:rsid w:val="00606133"/>
    <w:rsid w:val="00612E91"/>
    <w:rsid w:val="006142DA"/>
    <w:rsid w:val="00614BD2"/>
    <w:rsid w:val="00616169"/>
    <w:rsid w:val="0062330C"/>
    <w:rsid w:val="0062777F"/>
    <w:rsid w:val="00645BF1"/>
    <w:rsid w:val="0064701C"/>
    <w:rsid w:val="00654AB5"/>
    <w:rsid w:val="00666A76"/>
    <w:rsid w:val="00672C8D"/>
    <w:rsid w:val="00687E76"/>
    <w:rsid w:val="006A0169"/>
    <w:rsid w:val="006A7DB8"/>
    <w:rsid w:val="006B0B02"/>
    <w:rsid w:val="006E7DBF"/>
    <w:rsid w:val="006F2010"/>
    <w:rsid w:val="006F7127"/>
    <w:rsid w:val="00700666"/>
    <w:rsid w:val="00702BCA"/>
    <w:rsid w:val="00734298"/>
    <w:rsid w:val="0074582C"/>
    <w:rsid w:val="0075563F"/>
    <w:rsid w:val="00757D22"/>
    <w:rsid w:val="00771B1A"/>
    <w:rsid w:val="00790A74"/>
    <w:rsid w:val="007A723A"/>
    <w:rsid w:val="007B5529"/>
    <w:rsid w:val="007D7FEE"/>
    <w:rsid w:val="007E255C"/>
    <w:rsid w:val="007E6571"/>
    <w:rsid w:val="007F438B"/>
    <w:rsid w:val="007F5968"/>
    <w:rsid w:val="00804C79"/>
    <w:rsid w:val="0081639B"/>
    <w:rsid w:val="00817169"/>
    <w:rsid w:val="0082301E"/>
    <w:rsid w:val="00845C96"/>
    <w:rsid w:val="00856C1F"/>
    <w:rsid w:val="00873D78"/>
    <w:rsid w:val="00885BCE"/>
    <w:rsid w:val="00890814"/>
    <w:rsid w:val="008B2298"/>
    <w:rsid w:val="008E305C"/>
    <w:rsid w:val="008E36BB"/>
    <w:rsid w:val="008F6356"/>
    <w:rsid w:val="008F6D47"/>
    <w:rsid w:val="0091134B"/>
    <w:rsid w:val="009221DF"/>
    <w:rsid w:val="00922FE8"/>
    <w:rsid w:val="00932585"/>
    <w:rsid w:val="0094329C"/>
    <w:rsid w:val="0094433B"/>
    <w:rsid w:val="00952077"/>
    <w:rsid w:val="00956BD0"/>
    <w:rsid w:val="009604E8"/>
    <w:rsid w:val="009660BF"/>
    <w:rsid w:val="0097239A"/>
    <w:rsid w:val="00973826"/>
    <w:rsid w:val="009831F8"/>
    <w:rsid w:val="00984072"/>
    <w:rsid w:val="00995FB5"/>
    <w:rsid w:val="009B684C"/>
    <w:rsid w:val="009C3C5E"/>
    <w:rsid w:val="009D0307"/>
    <w:rsid w:val="009E71E9"/>
    <w:rsid w:val="009F10CF"/>
    <w:rsid w:val="00A02B43"/>
    <w:rsid w:val="00A418C8"/>
    <w:rsid w:val="00A507C5"/>
    <w:rsid w:val="00A5399A"/>
    <w:rsid w:val="00A62ECE"/>
    <w:rsid w:val="00A74F9C"/>
    <w:rsid w:val="00A8576C"/>
    <w:rsid w:val="00A955E4"/>
    <w:rsid w:val="00A9595B"/>
    <w:rsid w:val="00A974D9"/>
    <w:rsid w:val="00AA70A9"/>
    <w:rsid w:val="00AB3520"/>
    <w:rsid w:val="00AB39A9"/>
    <w:rsid w:val="00AD6EFC"/>
    <w:rsid w:val="00AF2C18"/>
    <w:rsid w:val="00AF57F8"/>
    <w:rsid w:val="00AF6DEE"/>
    <w:rsid w:val="00B30281"/>
    <w:rsid w:val="00B34559"/>
    <w:rsid w:val="00B44137"/>
    <w:rsid w:val="00B646C1"/>
    <w:rsid w:val="00B91640"/>
    <w:rsid w:val="00B940A2"/>
    <w:rsid w:val="00B95EB2"/>
    <w:rsid w:val="00BB1674"/>
    <w:rsid w:val="00BB6834"/>
    <w:rsid w:val="00BC170B"/>
    <w:rsid w:val="00BD1E5E"/>
    <w:rsid w:val="00BD749A"/>
    <w:rsid w:val="00BE288F"/>
    <w:rsid w:val="00BE7749"/>
    <w:rsid w:val="00BF195B"/>
    <w:rsid w:val="00BF284B"/>
    <w:rsid w:val="00BF654B"/>
    <w:rsid w:val="00C05AAE"/>
    <w:rsid w:val="00C247FD"/>
    <w:rsid w:val="00C31FB1"/>
    <w:rsid w:val="00C46664"/>
    <w:rsid w:val="00C5777D"/>
    <w:rsid w:val="00C67AF2"/>
    <w:rsid w:val="00CB23CB"/>
    <w:rsid w:val="00CC24F4"/>
    <w:rsid w:val="00CF526F"/>
    <w:rsid w:val="00D00087"/>
    <w:rsid w:val="00D02AAE"/>
    <w:rsid w:val="00D032B0"/>
    <w:rsid w:val="00D07D85"/>
    <w:rsid w:val="00D24555"/>
    <w:rsid w:val="00D421BA"/>
    <w:rsid w:val="00D916D6"/>
    <w:rsid w:val="00DA2084"/>
    <w:rsid w:val="00DC0174"/>
    <w:rsid w:val="00DD14C4"/>
    <w:rsid w:val="00DD2C0E"/>
    <w:rsid w:val="00DF0CD1"/>
    <w:rsid w:val="00DF218F"/>
    <w:rsid w:val="00E16F93"/>
    <w:rsid w:val="00E25130"/>
    <w:rsid w:val="00E27EE3"/>
    <w:rsid w:val="00E42265"/>
    <w:rsid w:val="00E46EBF"/>
    <w:rsid w:val="00E55769"/>
    <w:rsid w:val="00E76825"/>
    <w:rsid w:val="00E776C4"/>
    <w:rsid w:val="00E83D93"/>
    <w:rsid w:val="00E8770B"/>
    <w:rsid w:val="00E97FCC"/>
    <w:rsid w:val="00EC0886"/>
    <w:rsid w:val="00ED3A5A"/>
    <w:rsid w:val="00ED7702"/>
    <w:rsid w:val="00EE08D2"/>
    <w:rsid w:val="00EE4AA7"/>
    <w:rsid w:val="00F00BB6"/>
    <w:rsid w:val="00F234A4"/>
    <w:rsid w:val="00F31866"/>
    <w:rsid w:val="00F34D42"/>
    <w:rsid w:val="00F3603D"/>
    <w:rsid w:val="00F4666E"/>
    <w:rsid w:val="00F55902"/>
    <w:rsid w:val="00F66C65"/>
    <w:rsid w:val="00F73522"/>
    <w:rsid w:val="00F81397"/>
    <w:rsid w:val="00F85C18"/>
    <w:rsid w:val="00FA0066"/>
    <w:rsid w:val="00FA1C65"/>
    <w:rsid w:val="00FA44D5"/>
    <w:rsid w:val="00FB15F8"/>
    <w:rsid w:val="00FC3C94"/>
    <w:rsid w:val="00FC63A4"/>
    <w:rsid w:val="00FD09C4"/>
    <w:rsid w:val="00FD39D5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docId w15:val="{21ABA44C-5C06-43D1-8011-EDC31AE3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paragraph" w:styleId="BodyText">
    <w:name w:val="Body Text"/>
    <w:basedOn w:val="Normal"/>
    <w:link w:val="BodyTextChar"/>
    <w:rsid w:val="002F0BB2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2F0BB2"/>
    <w:rPr>
      <w:rFonts w:ascii="Arial" w:eastAsia="Times New Roman" w:hAnsi="Arial" w:cs="Times New Roman"/>
      <w:spacing w:val="-5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BE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8"/>
  </w:style>
  <w:style w:type="paragraph" w:styleId="Footer">
    <w:name w:val="footer"/>
    <w:basedOn w:val="Normal"/>
    <w:link w:val="Foot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8"/>
  </w:style>
  <w:style w:type="character" w:styleId="Hyperlink">
    <w:name w:val="Hyperlink"/>
    <w:basedOn w:val="DefaultParagraphFont"/>
    <w:uiPriority w:val="99"/>
    <w:unhideWhenUsed/>
    <w:rsid w:val="000A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al@musina.gov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Dzebu</dc:creator>
  <cp:keywords/>
  <dc:description/>
  <cp:lastModifiedBy>Mary Siziba</cp:lastModifiedBy>
  <cp:revision>2</cp:revision>
  <cp:lastPrinted>2023-10-23T05:59:00Z</cp:lastPrinted>
  <dcterms:created xsi:type="dcterms:W3CDTF">2023-12-07T11:19:00Z</dcterms:created>
  <dcterms:modified xsi:type="dcterms:W3CDTF">2023-12-07T11:19:00Z</dcterms:modified>
</cp:coreProperties>
</file>