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9B" w:rsidRPr="00CA6548" w:rsidRDefault="00CA6548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CA6548">
        <w:rPr>
          <w:rFonts w:ascii="Arial" w:hAnsi="Arial" w:cs="Arial"/>
          <w:b/>
          <w:color w:val="000000"/>
          <w:sz w:val="20"/>
          <w:szCs w:val="20"/>
        </w:rPr>
        <w:t>ANNEXURE A</w:t>
      </w:r>
      <w:r w:rsidR="00145499">
        <w:rPr>
          <w:rFonts w:ascii="Arial" w:hAnsi="Arial" w:cs="Arial"/>
          <w:b/>
          <w:color w:val="000000"/>
          <w:sz w:val="20"/>
          <w:szCs w:val="20"/>
        </w:rPr>
        <w:t>: Requirements for Salary Surveys</w:t>
      </w:r>
    </w:p>
    <w:p w:rsidR="00CA1F9B" w:rsidRPr="00CA6548" w:rsidRDefault="00CA1F9B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A1F9B" w:rsidRPr="00CA6548" w:rsidRDefault="00CA1F9B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63405" w:rsidRPr="004C59FE" w:rsidRDefault="00F426B0" w:rsidP="00A634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C59FE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The S</w:t>
      </w:r>
      <w:r w:rsidR="00E21837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tate Security Agency (S</w:t>
      </w:r>
      <w:r w:rsidRPr="004C59FE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SA</w:t>
      </w:r>
      <w:r w:rsidR="00E21837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)</w:t>
      </w:r>
      <w:r w:rsidRPr="004C59FE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 </w:t>
      </w:r>
      <w:r w:rsidR="00F222A9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requires</w:t>
      </w:r>
      <w:r w:rsidRPr="004C59FE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 </w:t>
      </w:r>
      <w:r w:rsidR="00F222A9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a subscription to a website/database to </w:t>
      </w:r>
      <w:r w:rsidRPr="004C59FE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access</w:t>
      </w:r>
      <w:r w:rsidR="00F222A9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 </w:t>
      </w:r>
      <w:r w:rsidR="004C70E4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reliable, </w:t>
      </w:r>
      <w:r w:rsidR="00B41647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comprehensive</w:t>
      </w:r>
      <w:r w:rsidR="004C70E4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 </w:t>
      </w:r>
      <w:r w:rsidR="00A524A9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and </w:t>
      </w:r>
      <w:r w:rsidR="00F222A9" w:rsidRPr="004C59FE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up-to-date </w:t>
      </w:r>
      <w:r w:rsidRPr="004C59FE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salary survey</w:t>
      </w:r>
      <w:r w:rsidR="004C70E4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s on </w:t>
      </w:r>
      <w:r w:rsidR="004C70E4" w:rsidRPr="004C59FE">
        <w:rPr>
          <w:rFonts w:ascii="Arial" w:hAnsi="Arial" w:cs="Arial"/>
          <w:color w:val="000000" w:themeColor="text1"/>
          <w:sz w:val="20"/>
          <w:szCs w:val="20"/>
        </w:rPr>
        <w:t xml:space="preserve">General Staff and Top Executive </w:t>
      </w:r>
      <w:r w:rsidR="00B41647">
        <w:rPr>
          <w:rFonts w:ascii="Arial" w:hAnsi="Arial" w:cs="Arial"/>
          <w:color w:val="000000" w:themeColor="text1"/>
          <w:sz w:val="20"/>
          <w:szCs w:val="20"/>
        </w:rPr>
        <w:t>(comp</w:t>
      </w:r>
      <w:r w:rsidR="004C70E4" w:rsidRPr="004C59FE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ensation </w:t>
      </w:r>
      <w:r w:rsidR="00F222A9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data/</w:t>
      </w:r>
      <w:r w:rsidR="004C70E4" w:rsidRPr="004C59FE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information</w:t>
      </w:r>
      <w:r w:rsidR="00B41647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)</w:t>
      </w:r>
      <w:r w:rsidR="004C70E4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 </w:t>
      </w:r>
      <w:r w:rsidR="00F222A9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existing</w:t>
      </w:r>
      <w:r w:rsidR="00A524A9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/</w:t>
      </w:r>
      <w:r w:rsidR="00F222A9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a</w:t>
      </w:r>
      <w:r w:rsidR="00E21837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vailable in the market </w:t>
      </w:r>
      <w:r w:rsidR="004C70E4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for </w:t>
      </w:r>
      <w:r w:rsidR="00E56B45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benchmarking: P</w:t>
      </w:r>
      <w:r w:rsidR="00F222A9">
        <w:rPr>
          <w:rFonts w:ascii="Arial" w:hAnsi="Arial" w:cs="Arial"/>
          <w:color w:val="000000" w:themeColor="text1"/>
          <w:sz w:val="20"/>
          <w:szCs w:val="20"/>
        </w:rPr>
        <w:t xml:space="preserve">eriod of </w:t>
      </w:r>
      <w:r w:rsidR="00EC01E2" w:rsidRPr="004C59FE">
        <w:rPr>
          <w:rFonts w:ascii="Arial" w:hAnsi="Arial" w:cs="Arial"/>
          <w:color w:val="000000" w:themeColor="text1"/>
          <w:sz w:val="20"/>
          <w:szCs w:val="20"/>
        </w:rPr>
        <w:t xml:space="preserve">three </w:t>
      </w:r>
      <w:r w:rsidR="00A63405" w:rsidRPr="004C59FE">
        <w:rPr>
          <w:rFonts w:ascii="Arial" w:hAnsi="Arial" w:cs="Arial"/>
          <w:color w:val="000000" w:themeColor="text1"/>
          <w:sz w:val="20"/>
          <w:szCs w:val="20"/>
        </w:rPr>
        <w:t>(0</w:t>
      </w:r>
      <w:r w:rsidR="00E0614D" w:rsidRPr="004C59FE">
        <w:rPr>
          <w:rFonts w:ascii="Arial" w:hAnsi="Arial" w:cs="Arial"/>
          <w:color w:val="000000" w:themeColor="text1"/>
          <w:sz w:val="20"/>
          <w:szCs w:val="20"/>
        </w:rPr>
        <w:t>3</w:t>
      </w:r>
      <w:r w:rsidR="004C70E4">
        <w:rPr>
          <w:rFonts w:ascii="Arial" w:hAnsi="Arial" w:cs="Arial"/>
          <w:color w:val="000000" w:themeColor="text1"/>
          <w:sz w:val="20"/>
          <w:szCs w:val="20"/>
        </w:rPr>
        <w:t xml:space="preserve">) years, </w:t>
      </w:r>
      <w:r w:rsidR="00A63405" w:rsidRPr="004C59FE">
        <w:rPr>
          <w:rFonts w:ascii="Arial" w:hAnsi="Arial" w:cs="Arial"/>
          <w:color w:val="000000" w:themeColor="text1"/>
          <w:sz w:val="20"/>
          <w:szCs w:val="20"/>
        </w:rPr>
        <w:t>FY2025/2026 and FY2026/2027</w:t>
      </w:r>
      <w:r w:rsidR="00EC01E2" w:rsidRPr="004C59FE">
        <w:rPr>
          <w:rFonts w:ascii="Arial" w:hAnsi="Arial" w:cs="Arial"/>
          <w:color w:val="000000" w:themeColor="text1"/>
          <w:sz w:val="20"/>
          <w:szCs w:val="20"/>
        </w:rPr>
        <w:t xml:space="preserve"> and FY2027/2028</w:t>
      </w:r>
      <w:r w:rsidR="00E510F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63405" w:rsidRDefault="00A63405" w:rsidP="00A634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C70E4" w:rsidRPr="004C70E4" w:rsidRDefault="004C70E4" w:rsidP="00A634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0E4">
        <w:rPr>
          <w:rFonts w:ascii="Arial" w:hAnsi="Arial" w:cs="Arial"/>
          <w:b/>
          <w:color w:val="000000" w:themeColor="text1"/>
          <w:sz w:val="20"/>
          <w:szCs w:val="20"/>
        </w:rPr>
        <w:t>NB:  THE SSA WILL NOT PARTICIPATE IN ANY SALARY SURVEY</w:t>
      </w:r>
      <w:r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4C70E4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C70E4" w:rsidRDefault="004C70E4" w:rsidP="00A634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45499" w:rsidRPr="00145499" w:rsidRDefault="00145499" w:rsidP="00A634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45499">
        <w:rPr>
          <w:rFonts w:ascii="Arial" w:hAnsi="Arial" w:cs="Arial"/>
          <w:b/>
          <w:color w:val="000000" w:themeColor="text1"/>
          <w:sz w:val="20"/>
          <w:szCs w:val="20"/>
        </w:rPr>
        <w:t>Number of users: Eight (08)</w:t>
      </w:r>
    </w:p>
    <w:p w:rsidR="00145499" w:rsidRPr="004C59FE" w:rsidRDefault="00145499" w:rsidP="00A634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63405" w:rsidRPr="004C59FE" w:rsidRDefault="00A63405" w:rsidP="007E65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</w:pPr>
      <w:r w:rsidRPr="004C59F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  <w:t xml:space="preserve">The </w:t>
      </w:r>
      <w:r w:rsidR="006348CF" w:rsidRPr="004C59F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  <w:t xml:space="preserve">survey/s </w:t>
      </w:r>
      <w:r w:rsidRPr="004C59F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  <w:t>should</w:t>
      </w:r>
      <w:r w:rsidR="006348CF" w:rsidRPr="004C59F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  <w:t xml:space="preserve"> detail remuneration </w:t>
      </w:r>
      <w:r w:rsidR="005A709D" w:rsidRPr="004C59F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  <w:t>and benchmark information</w:t>
      </w:r>
      <w:r w:rsidR="006348CF" w:rsidRPr="004C59F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  <w:t xml:space="preserve"> </w:t>
      </w:r>
      <w:r w:rsidRPr="004C59F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  <w:t>that include</w:t>
      </w:r>
      <w:r w:rsidR="009833A7" w:rsidRPr="004C59F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  <w:t xml:space="preserve"> the following</w:t>
      </w:r>
      <w:r w:rsidR="006348CF" w:rsidRPr="004C59F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  <w:t>:</w:t>
      </w:r>
    </w:p>
    <w:p w:rsidR="007E6546" w:rsidRPr="004C59FE" w:rsidRDefault="007E6546" w:rsidP="007E65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</w:pPr>
    </w:p>
    <w:p w:rsidR="00E37AE5" w:rsidRPr="004C59FE" w:rsidRDefault="00E37AE5" w:rsidP="00E37A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C59FE">
        <w:rPr>
          <w:rFonts w:ascii="Arial" w:hAnsi="Arial" w:cs="Arial"/>
          <w:color w:val="000000" w:themeColor="text1"/>
          <w:sz w:val="20"/>
          <w:szCs w:val="20"/>
        </w:rPr>
        <w:t xml:space="preserve">Market data for South African </w:t>
      </w:r>
      <w:r w:rsidR="0029457A" w:rsidRPr="004C59FE">
        <w:rPr>
          <w:rFonts w:ascii="Arial" w:hAnsi="Arial" w:cs="Arial"/>
          <w:color w:val="000000" w:themeColor="text1"/>
          <w:sz w:val="20"/>
          <w:szCs w:val="20"/>
        </w:rPr>
        <w:t xml:space="preserve">top </w:t>
      </w:r>
      <w:r w:rsidRPr="004C59FE">
        <w:rPr>
          <w:rFonts w:ascii="Arial" w:hAnsi="Arial" w:cs="Arial"/>
          <w:color w:val="000000" w:themeColor="text1"/>
          <w:sz w:val="20"/>
          <w:szCs w:val="20"/>
        </w:rPr>
        <w:t>executive remuneration and be</w:t>
      </w:r>
      <w:r w:rsidR="00D30E40" w:rsidRPr="004C59FE">
        <w:rPr>
          <w:rFonts w:ascii="Arial" w:hAnsi="Arial" w:cs="Arial"/>
          <w:color w:val="000000" w:themeColor="text1"/>
          <w:sz w:val="20"/>
          <w:szCs w:val="20"/>
        </w:rPr>
        <w:t>nefits that</w:t>
      </w:r>
      <w:r w:rsidRPr="004C59FE">
        <w:rPr>
          <w:rFonts w:ascii="Arial" w:hAnsi="Arial" w:cs="Arial"/>
          <w:color w:val="000000" w:themeColor="text1"/>
          <w:sz w:val="20"/>
          <w:szCs w:val="20"/>
        </w:rPr>
        <w:t xml:space="preserve"> cover global and national trends in executive remuneration, executive benefits and employment practices, international pay comparisons, staff turnover, historical and projected salary movements and non-executive directors’ survey</w:t>
      </w:r>
      <w:r w:rsidR="004C59FE">
        <w:rPr>
          <w:rFonts w:ascii="Arial" w:hAnsi="Arial" w:cs="Arial"/>
          <w:color w:val="000000" w:themeColor="text1"/>
          <w:sz w:val="20"/>
          <w:szCs w:val="20"/>
        </w:rPr>
        <w:t xml:space="preserve"> data</w:t>
      </w:r>
      <w:r w:rsidRPr="004C59F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37AE5" w:rsidRPr="004C59FE" w:rsidRDefault="00E37AE5" w:rsidP="00E37A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A1F9B" w:rsidRPr="004C59FE" w:rsidRDefault="00E37AE5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C59FE">
        <w:rPr>
          <w:rFonts w:ascii="Arial" w:hAnsi="Arial" w:cs="Arial"/>
          <w:color w:val="000000" w:themeColor="text1"/>
          <w:sz w:val="20"/>
          <w:szCs w:val="20"/>
        </w:rPr>
        <w:t>Market data for levels of staff from lower level income to middle/line management across all industries with data for benchmarked positions.</w:t>
      </w:r>
      <w:r w:rsidR="004C59FE">
        <w:rPr>
          <w:rFonts w:ascii="Arial" w:hAnsi="Arial" w:cs="Arial"/>
          <w:color w:val="000000" w:themeColor="text1"/>
          <w:sz w:val="20"/>
          <w:szCs w:val="20"/>
        </w:rPr>
        <w:t xml:space="preserve"> The survey data should cover a c</w:t>
      </w:r>
      <w:r w:rsidR="0046696A" w:rsidRPr="004C59FE">
        <w:rPr>
          <w:rFonts w:ascii="Arial" w:hAnsi="Arial" w:cs="Arial"/>
          <w:color w:val="000000" w:themeColor="text1"/>
          <w:sz w:val="20"/>
          <w:szCs w:val="20"/>
        </w:rPr>
        <w:t xml:space="preserve">omprehensive overview of both fixed and variable remuneration that include national analysis </w:t>
      </w:r>
      <w:r w:rsidR="00CA1F9B" w:rsidRPr="004C59FE">
        <w:rPr>
          <w:rFonts w:ascii="Arial" w:hAnsi="Arial" w:cs="Arial"/>
          <w:color w:val="000000" w:themeColor="text1"/>
          <w:sz w:val="20"/>
          <w:szCs w:val="20"/>
        </w:rPr>
        <w:t xml:space="preserve">for each position containing pay and benefit details </w:t>
      </w:r>
      <w:r w:rsidR="00812D47" w:rsidRPr="004C59FE">
        <w:rPr>
          <w:rFonts w:ascii="Arial" w:hAnsi="Arial" w:cs="Arial"/>
          <w:color w:val="000000" w:themeColor="text1"/>
          <w:sz w:val="20"/>
          <w:szCs w:val="20"/>
        </w:rPr>
        <w:t>analyzed</w:t>
      </w:r>
      <w:r w:rsidR="00CA1F9B" w:rsidRPr="004C59FE">
        <w:rPr>
          <w:rFonts w:ascii="Arial" w:hAnsi="Arial" w:cs="Arial"/>
          <w:color w:val="000000" w:themeColor="text1"/>
          <w:sz w:val="20"/>
          <w:szCs w:val="20"/>
        </w:rPr>
        <w:t xml:space="preserve"> into pay ranges, percentiles, basic, guaranteed and annual cost of employment and detailed fringe benefits.  </w:t>
      </w:r>
      <w:r w:rsidR="004C59FE">
        <w:rPr>
          <w:rFonts w:ascii="Arial" w:hAnsi="Arial" w:cs="Arial"/>
          <w:color w:val="000000" w:themeColor="text1"/>
          <w:sz w:val="20"/>
          <w:szCs w:val="20"/>
        </w:rPr>
        <w:t>Also provide for f</w:t>
      </w:r>
      <w:r w:rsidR="00CA1F9B" w:rsidRPr="004C59FE">
        <w:rPr>
          <w:rFonts w:ascii="Arial" w:hAnsi="Arial" w:cs="Arial"/>
          <w:color w:val="000000" w:themeColor="text1"/>
          <w:sz w:val="20"/>
          <w:szCs w:val="20"/>
        </w:rPr>
        <w:t>urther selections for industry and locations.</w:t>
      </w:r>
    </w:p>
    <w:p w:rsidR="00CA1F9B" w:rsidRPr="004C59FE" w:rsidRDefault="00CA1F9B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A1F9B" w:rsidRPr="004C59FE" w:rsidRDefault="00E37AE5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C59FE">
        <w:rPr>
          <w:rFonts w:ascii="Arial" w:hAnsi="Arial" w:cs="Arial"/>
          <w:color w:val="000000" w:themeColor="text1"/>
          <w:sz w:val="20"/>
          <w:szCs w:val="20"/>
        </w:rPr>
        <w:t>Salaries by grades reflected in at least</w:t>
      </w:r>
      <w:r w:rsidR="00CA1F9B" w:rsidRPr="004C59FE">
        <w:rPr>
          <w:rFonts w:ascii="Arial" w:hAnsi="Arial" w:cs="Arial"/>
          <w:color w:val="000000" w:themeColor="text1"/>
          <w:sz w:val="20"/>
          <w:szCs w:val="20"/>
        </w:rPr>
        <w:t xml:space="preserve"> Paterson, </w:t>
      </w:r>
      <w:r w:rsidRPr="004C59FE">
        <w:rPr>
          <w:rFonts w:ascii="Arial" w:hAnsi="Arial" w:cs="Arial"/>
          <w:color w:val="000000" w:themeColor="text1"/>
          <w:sz w:val="20"/>
          <w:szCs w:val="20"/>
        </w:rPr>
        <w:t xml:space="preserve">but comparison </w:t>
      </w:r>
      <w:r w:rsidR="0009786C" w:rsidRPr="004C59FE">
        <w:rPr>
          <w:rFonts w:ascii="Arial" w:hAnsi="Arial" w:cs="Arial"/>
          <w:color w:val="000000" w:themeColor="text1"/>
          <w:sz w:val="20"/>
          <w:szCs w:val="20"/>
        </w:rPr>
        <w:t>with other</w:t>
      </w:r>
      <w:r w:rsidRPr="004C59FE">
        <w:rPr>
          <w:rFonts w:ascii="Arial" w:hAnsi="Arial" w:cs="Arial"/>
          <w:color w:val="000000" w:themeColor="text1"/>
          <w:sz w:val="20"/>
          <w:szCs w:val="20"/>
        </w:rPr>
        <w:t xml:space="preserve"> established grading plans such as Peromnes, </w:t>
      </w:r>
      <w:r w:rsidR="0029457A" w:rsidRPr="004C59FE">
        <w:rPr>
          <w:rFonts w:ascii="Arial" w:hAnsi="Arial" w:cs="Arial"/>
          <w:color w:val="000000" w:themeColor="text1"/>
          <w:sz w:val="20"/>
          <w:szCs w:val="20"/>
        </w:rPr>
        <w:t>HAY</w:t>
      </w:r>
      <w:r w:rsidR="0046696A" w:rsidRPr="004C59FE">
        <w:rPr>
          <w:rFonts w:ascii="Arial" w:hAnsi="Arial" w:cs="Arial"/>
          <w:color w:val="000000" w:themeColor="text1"/>
          <w:sz w:val="20"/>
          <w:szCs w:val="20"/>
        </w:rPr>
        <w:t xml:space="preserve"> etc.</w:t>
      </w:r>
      <w:r w:rsidR="00CA1F9B" w:rsidRPr="004C59FE">
        <w:rPr>
          <w:rFonts w:ascii="Arial" w:hAnsi="Arial" w:cs="Arial"/>
          <w:color w:val="000000" w:themeColor="text1"/>
          <w:sz w:val="20"/>
          <w:szCs w:val="20"/>
        </w:rPr>
        <w:t>, by category, industry and location.</w:t>
      </w:r>
    </w:p>
    <w:p w:rsidR="00E37AE5" w:rsidRPr="004C59FE" w:rsidRDefault="00E37AE5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E37AE5" w:rsidRPr="004C59FE" w:rsidRDefault="00E37AE5" w:rsidP="00E37A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C59FE">
        <w:rPr>
          <w:rFonts w:ascii="Arial" w:hAnsi="Arial" w:cs="Arial"/>
          <w:color w:val="000000" w:themeColor="text1"/>
          <w:sz w:val="20"/>
          <w:szCs w:val="20"/>
        </w:rPr>
        <w:t>Commentary on cash and non-cash policies and best practice including: salary trends and projections, salary admin and pay policies, staff benefits, conditions of employment and staff turnover.</w:t>
      </w:r>
      <w:r w:rsidR="00812D47" w:rsidRPr="00812D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12D47" w:rsidRPr="004C59FE">
        <w:rPr>
          <w:rFonts w:ascii="Arial" w:hAnsi="Arial" w:cs="Arial"/>
          <w:color w:val="000000" w:themeColor="text1"/>
          <w:sz w:val="20"/>
          <w:szCs w:val="20"/>
        </w:rPr>
        <w:t>Comparative rations and employment equity profiles.</w:t>
      </w:r>
    </w:p>
    <w:p w:rsidR="00E37AE5" w:rsidRPr="004C59FE" w:rsidRDefault="00E37AE5" w:rsidP="00E37A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E37AE5" w:rsidRDefault="00E37AE5" w:rsidP="00E37A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C59FE">
        <w:rPr>
          <w:rFonts w:ascii="Arial" w:hAnsi="Arial" w:cs="Arial"/>
          <w:color w:val="000000" w:themeColor="text1"/>
          <w:sz w:val="20"/>
          <w:szCs w:val="20"/>
        </w:rPr>
        <w:t xml:space="preserve">Access to </w:t>
      </w:r>
      <w:r w:rsidR="0029457A" w:rsidRPr="004C59FE">
        <w:rPr>
          <w:rFonts w:ascii="Arial" w:hAnsi="Arial" w:cs="Arial"/>
          <w:color w:val="000000" w:themeColor="text1"/>
          <w:sz w:val="20"/>
          <w:szCs w:val="20"/>
        </w:rPr>
        <w:t>national industry selections such as  c</w:t>
      </w:r>
      <w:r w:rsidRPr="004C59FE">
        <w:rPr>
          <w:rFonts w:ascii="Arial" w:hAnsi="Arial" w:cs="Arial"/>
          <w:color w:val="000000" w:themeColor="text1"/>
          <w:sz w:val="20"/>
          <w:szCs w:val="20"/>
        </w:rPr>
        <w:t xml:space="preserve">onstruction, consumer  goods manufacturing, financial institutions, industrial equipment manufacture and supply, information technology (computer hardware and software and telecommunications), materials manufacture, mining, non-profit </w:t>
      </w:r>
      <w:r w:rsidR="00787356" w:rsidRPr="004C59FE">
        <w:rPr>
          <w:rFonts w:ascii="Arial" w:hAnsi="Arial" w:cs="Arial"/>
          <w:color w:val="000000" w:themeColor="text1"/>
          <w:sz w:val="20"/>
          <w:szCs w:val="20"/>
        </w:rPr>
        <w:t>organizations</w:t>
      </w:r>
      <w:r w:rsidRPr="004C59FE">
        <w:rPr>
          <w:rFonts w:ascii="Arial" w:hAnsi="Arial" w:cs="Arial"/>
          <w:color w:val="000000" w:themeColor="text1"/>
          <w:sz w:val="20"/>
          <w:szCs w:val="20"/>
        </w:rPr>
        <w:t>, primary production, retail, sales, marketing and distribution, service industries and transport and state owned enterprises.</w:t>
      </w:r>
      <w:r w:rsidR="00CC337C" w:rsidRPr="004C59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12D47" w:rsidRDefault="00812D47" w:rsidP="00E37A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12D47" w:rsidRPr="004C59FE" w:rsidRDefault="00812D47" w:rsidP="00E37A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Special provision if any for emerging jobs especially </w:t>
      </w:r>
      <w:r w:rsidR="0009786C">
        <w:rPr>
          <w:rFonts w:ascii="Arial" w:hAnsi="Arial" w:cs="Arial"/>
          <w:color w:val="000000" w:themeColor="text1"/>
          <w:sz w:val="20"/>
          <w:szCs w:val="20"/>
        </w:rPr>
        <w:t xml:space="preserve">Tech sector compensation and </w:t>
      </w:r>
      <w:r w:rsidRPr="00812D47">
        <w:rPr>
          <w:rFonts w:ascii="Arial" w:hAnsi="Arial" w:cs="Arial"/>
          <w:color w:val="000000" w:themeColor="text1"/>
          <w:sz w:val="20"/>
          <w:szCs w:val="20"/>
        </w:rPr>
        <w:t>pay benchmarking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837B7" w:rsidRPr="004C59FE" w:rsidRDefault="00B837B7" w:rsidP="00E37A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A1F9B" w:rsidRDefault="00CA1F9B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C59FE">
        <w:rPr>
          <w:rFonts w:ascii="Arial" w:hAnsi="Arial" w:cs="Arial"/>
          <w:color w:val="000000" w:themeColor="text1"/>
          <w:sz w:val="20"/>
          <w:szCs w:val="20"/>
        </w:rPr>
        <w:t>Salary projections for the next 12 months.</w:t>
      </w:r>
    </w:p>
    <w:p w:rsidR="00812D47" w:rsidRDefault="00812D47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12D47" w:rsidRPr="00812D47" w:rsidRDefault="00812D47" w:rsidP="0081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12D47">
        <w:rPr>
          <w:rFonts w:ascii="Arial" w:hAnsi="Arial" w:cs="Arial"/>
          <w:color w:val="000000" w:themeColor="text1"/>
          <w:sz w:val="20"/>
          <w:szCs w:val="20"/>
        </w:rPr>
        <w:t>The surveys must demonstrate adequate sample of participants, and data collection processes, methodology, validation processes, etc.</w:t>
      </w:r>
    </w:p>
    <w:p w:rsidR="00812D47" w:rsidRPr="004C59FE" w:rsidRDefault="00812D47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A1F9B" w:rsidRDefault="00CA1F9B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12D47" w:rsidRPr="00812D47" w:rsidRDefault="00812D47" w:rsidP="00CA1F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</w:pPr>
      <w:r w:rsidRPr="00812D4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  <w:t>Special Conditions</w:t>
      </w:r>
    </w:p>
    <w:p w:rsidR="00CA1F9B" w:rsidRPr="00CA6548" w:rsidRDefault="00CA1F9B" w:rsidP="00CA1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9457A" w:rsidRPr="00812D47" w:rsidRDefault="0029457A" w:rsidP="0029457A">
      <w:pPr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</w:pPr>
      <w:r w:rsidRPr="00812D47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Demonstration of the system/database</w:t>
      </w:r>
      <w:r w:rsidR="00CC337C" w:rsidRPr="00812D47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/internet based solution</w:t>
      </w:r>
      <w:r w:rsidRPr="00812D47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 xml:space="preserve"> is </w:t>
      </w:r>
      <w:r w:rsidR="00E510F9" w:rsidRPr="00E510F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ZA"/>
        </w:rPr>
        <w:t>COMPULSORY</w:t>
      </w:r>
      <w:r w:rsidR="0021044C">
        <w:rPr>
          <w:rFonts w:ascii="Arial" w:eastAsia="Times New Roman" w:hAnsi="Arial" w:cs="Arial"/>
          <w:color w:val="000000" w:themeColor="text1"/>
          <w:sz w:val="20"/>
          <w:szCs w:val="20"/>
          <w:lang w:eastAsia="en-ZA"/>
        </w:rPr>
        <w:t>, and</w:t>
      </w:r>
    </w:p>
    <w:p w:rsidR="0021044C" w:rsidRPr="0021044C" w:rsidRDefault="00812D47" w:rsidP="008930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21044C">
        <w:rPr>
          <w:rFonts w:ascii="Arial" w:hAnsi="Arial" w:cs="Arial"/>
          <w:color w:val="000000"/>
          <w:sz w:val="20"/>
          <w:szCs w:val="20"/>
        </w:rPr>
        <w:t>Should provide for adequate f</w:t>
      </w:r>
      <w:r w:rsidR="00CC337C" w:rsidRPr="0021044C">
        <w:rPr>
          <w:rFonts w:ascii="Arial" w:hAnsi="Arial" w:cs="Arial"/>
          <w:color w:val="000000"/>
          <w:sz w:val="20"/>
          <w:szCs w:val="20"/>
        </w:rPr>
        <w:t>un</w:t>
      </w:r>
      <w:r w:rsidRPr="0021044C">
        <w:rPr>
          <w:rFonts w:ascii="Arial" w:hAnsi="Arial" w:cs="Arial"/>
          <w:color w:val="000000"/>
          <w:sz w:val="20"/>
          <w:szCs w:val="20"/>
        </w:rPr>
        <w:t xml:space="preserve">ctionalities to extract reports also into </w:t>
      </w:r>
      <w:r w:rsidR="00CC337C" w:rsidRPr="0021044C">
        <w:rPr>
          <w:rFonts w:ascii="Arial" w:hAnsi="Arial" w:cs="Arial"/>
          <w:color w:val="000000"/>
          <w:sz w:val="20"/>
          <w:szCs w:val="20"/>
        </w:rPr>
        <w:t>PDF, Word and Excel spreadsheet.</w:t>
      </w:r>
    </w:p>
    <w:p w:rsidR="0021044C" w:rsidRDefault="0021044C" w:rsidP="00893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6B45" w:rsidRDefault="0021044C" w:rsidP="008930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21044C">
        <w:rPr>
          <w:rFonts w:ascii="Arial" w:hAnsi="Arial" w:cs="Arial"/>
          <w:color w:val="000000"/>
          <w:sz w:val="20"/>
          <w:szCs w:val="20"/>
        </w:rPr>
        <w:t>Al</w:t>
      </w:r>
      <w:r w:rsidR="00E510F9">
        <w:rPr>
          <w:rFonts w:ascii="Arial" w:hAnsi="Arial" w:cs="Arial"/>
          <w:color w:val="000000"/>
          <w:sz w:val="20"/>
          <w:szCs w:val="20"/>
        </w:rPr>
        <w:t>lowance or access availability/</w:t>
      </w:r>
      <w:r w:rsidRPr="0021044C">
        <w:rPr>
          <w:rFonts w:ascii="Arial" w:hAnsi="Arial" w:cs="Arial"/>
          <w:color w:val="000000"/>
          <w:sz w:val="20"/>
          <w:szCs w:val="20"/>
        </w:rPr>
        <w:t>restrictions for non-participating survey user.</w:t>
      </w:r>
    </w:p>
    <w:p w:rsidR="00E56B45" w:rsidRPr="00E56B45" w:rsidRDefault="00E56B45" w:rsidP="0089301F">
      <w:pPr>
        <w:pStyle w:val="ListParagraph"/>
        <w:ind w:left="360"/>
        <w:rPr>
          <w:rFonts w:ascii="Arial" w:hAnsi="Arial" w:cs="Arial"/>
          <w:color w:val="000000"/>
          <w:sz w:val="20"/>
          <w:szCs w:val="20"/>
        </w:rPr>
      </w:pPr>
    </w:p>
    <w:p w:rsidR="00E56B45" w:rsidRDefault="00E56B45" w:rsidP="008930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Pricing</w:t>
      </w:r>
      <w:r w:rsidR="0089301F">
        <w:rPr>
          <w:rFonts w:ascii="Arial" w:hAnsi="Arial" w:cs="Arial"/>
          <w:color w:val="000000"/>
          <w:sz w:val="20"/>
          <w:szCs w:val="20"/>
        </w:rPr>
        <w:t xml:space="preserve"> breakdown</w:t>
      </w:r>
      <w:r>
        <w:rPr>
          <w:rFonts w:ascii="Arial" w:hAnsi="Arial" w:cs="Arial"/>
          <w:color w:val="000000"/>
          <w:sz w:val="20"/>
          <w:szCs w:val="20"/>
        </w:rPr>
        <w:t xml:space="preserve"> per year: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89301F" w:rsidTr="0089301F">
        <w:tc>
          <w:tcPr>
            <w:tcW w:w="2157" w:type="dxa"/>
          </w:tcPr>
          <w:p w:rsidR="0089301F" w:rsidRP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301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Pricing Year 1</w:t>
            </w:r>
          </w:p>
          <w:p w:rsidR="0089301F" w:rsidRP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301F">
              <w:rPr>
                <w:rFonts w:ascii="Arial" w:hAnsi="Arial" w:cs="Arial"/>
                <w:b/>
                <w:color w:val="000000"/>
                <w:sz w:val="20"/>
                <w:szCs w:val="20"/>
              </w:rPr>
              <w:t>VAT inclusive</w:t>
            </w:r>
          </w:p>
        </w:tc>
        <w:tc>
          <w:tcPr>
            <w:tcW w:w="2157" w:type="dxa"/>
          </w:tcPr>
          <w:p w:rsidR="0089301F" w:rsidRP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301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Pricing Year 2</w:t>
            </w:r>
          </w:p>
          <w:p w:rsidR="0089301F" w:rsidRP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301F">
              <w:rPr>
                <w:rFonts w:ascii="Arial" w:hAnsi="Arial" w:cs="Arial"/>
                <w:b/>
                <w:color w:val="000000"/>
                <w:sz w:val="20"/>
                <w:szCs w:val="20"/>
              </w:rPr>
              <w:t>VAT inclusive</w:t>
            </w:r>
          </w:p>
        </w:tc>
        <w:tc>
          <w:tcPr>
            <w:tcW w:w="2158" w:type="dxa"/>
          </w:tcPr>
          <w:p w:rsidR="0089301F" w:rsidRP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301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Pricing Year 3</w:t>
            </w:r>
          </w:p>
          <w:p w:rsidR="0089301F" w:rsidRP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301F">
              <w:rPr>
                <w:rFonts w:ascii="Arial" w:hAnsi="Arial" w:cs="Arial"/>
                <w:b/>
                <w:color w:val="000000"/>
                <w:sz w:val="20"/>
                <w:szCs w:val="20"/>
              </w:rPr>
              <w:t>VAT inclusive</w:t>
            </w:r>
          </w:p>
        </w:tc>
        <w:tc>
          <w:tcPr>
            <w:tcW w:w="2158" w:type="dxa"/>
          </w:tcPr>
          <w:p w:rsidR="0089301F" w:rsidRP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301F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for 3 Years</w:t>
            </w:r>
          </w:p>
          <w:p w:rsidR="0089301F" w:rsidRP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301F">
              <w:rPr>
                <w:rFonts w:ascii="Arial" w:hAnsi="Arial" w:cs="Arial"/>
                <w:b/>
                <w:color w:val="000000"/>
                <w:sz w:val="20"/>
                <w:szCs w:val="20"/>
              </w:rPr>
              <w:t>VAT inclusive</w:t>
            </w:r>
          </w:p>
        </w:tc>
      </w:tr>
      <w:tr w:rsidR="0089301F" w:rsidTr="0089301F">
        <w:tc>
          <w:tcPr>
            <w:tcW w:w="2157" w:type="dxa"/>
          </w:tcPr>
          <w:p w:rsid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</w:tcPr>
          <w:p w:rsid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89301F" w:rsidRDefault="0089301F" w:rsidP="0089301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56B45" w:rsidRPr="00E56B45" w:rsidRDefault="00E56B45" w:rsidP="00E56B45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E56B45" w:rsidRPr="00E56B45" w:rsidRDefault="00E56B45" w:rsidP="00E56B4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E56B45" w:rsidRPr="00E56B45" w:rsidSect="0089301F">
      <w:pgSz w:w="12240" w:h="15840"/>
      <w:pgMar w:top="851" w:right="1440" w:bottom="851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131A"/>
    <w:multiLevelType w:val="hybridMultilevel"/>
    <w:tmpl w:val="FBE0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5409"/>
    <w:multiLevelType w:val="hybridMultilevel"/>
    <w:tmpl w:val="C25033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9B"/>
    <w:rsid w:val="0009786C"/>
    <w:rsid w:val="00145499"/>
    <w:rsid w:val="0021044C"/>
    <w:rsid w:val="00211209"/>
    <w:rsid w:val="0029457A"/>
    <w:rsid w:val="002B1BD1"/>
    <w:rsid w:val="00320300"/>
    <w:rsid w:val="00447F93"/>
    <w:rsid w:val="0046696A"/>
    <w:rsid w:val="004C59FE"/>
    <w:rsid w:val="004C70E4"/>
    <w:rsid w:val="005A709D"/>
    <w:rsid w:val="006030B4"/>
    <w:rsid w:val="00612E9A"/>
    <w:rsid w:val="006348CF"/>
    <w:rsid w:val="006442E2"/>
    <w:rsid w:val="006A3E8B"/>
    <w:rsid w:val="006B0942"/>
    <w:rsid w:val="006D6E85"/>
    <w:rsid w:val="00787356"/>
    <w:rsid w:val="007E6546"/>
    <w:rsid w:val="008110A6"/>
    <w:rsid w:val="00812D47"/>
    <w:rsid w:val="0089301F"/>
    <w:rsid w:val="008958BD"/>
    <w:rsid w:val="008A2A49"/>
    <w:rsid w:val="008A4BAD"/>
    <w:rsid w:val="009833A7"/>
    <w:rsid w:val="009C1E87"/>
    <w:rsid w:val="00A524A9"/>
    <w:rsid w:val="00A63405"/>
    <w:rsid w:val="00B41647"/>
    <w:rsid w:val="00B837B7"/>
    <w:rsid w:val="00BA36F6"/>
    <w:rsid w:val="00BA5A21"/>
    <w:rsid w:val="00CA1F9B"/>
    <w:rsid w:val="00CA6548"/>
    <w:rsid w:val="00CC337C"/>
    <w:rsid w:val="00D30E40"/>
    <w:rsid w:val="00DC778E"/>
    <w:rsid w:val="00E0614D"/>
    <w:rsid w:val="00E21837"/>
    <w:rsid w:val="00E37AE5"/>
    <w:rsid w:val="00E510F9"/>
    <w:rsid w:val="00E56B45"/>
    <w:rsid w:val="00EC01E2"/>
    <w:rsid w:val="00EE77C1"/>
    <w:rsid w:val="00F222A9"/>
    <w:rsid w:val="00F426B0"/>
    <w:rsid w:val="00F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D1487D-CE38-4250-A098-EB598146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5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E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56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Security Agency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Mogotsi, Nobantu</dc:creator>
  <cp:keywords/>
  <dc:description/>
  <cp:lastModifiedBy>NOBANTU Makhapela</cp:lastModifiedBy>
  <cp:revision>2</cp:revision>
  <cp:lastPrinted>2025-10-10T11:35:00Z</cp:lastPrinted>
  <dcterms:created xsi:type="dcterms:W3CDTF">2025-11-07T11:23:00Z</dcterms:created>
  <dcterms:modified xsi:type="dcterms:W3CDTF">2025-11-07T11:23:00Z</dcterms:modified>
</cp:coreProperties>
</file>