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821F5D" w:rsidRPr="00821F5D" w:rsidRDefault="00821F5D" w:rsidP="00821F5D">
            <w:pPr>
              <w:spacing w:after="0" w:line="240" w:lineRule="auto"/>
              <w:rPr>
                <w:rFonts w:eastAsia="Times New Roman" w:cs="Arial"/>
                <w:sz w:val="24"/>
                <w:szCs w:val="24"/>
                <w:lang w:val="en-GB" w:eastAsia="en-GB"/>
              </w:rPr>
            </w:pPr>
          </w:p>
          <w:p w:rsidR="00821F5D" w:rsidRPr="00821F5D" w:rsidRDefault="00821F5D" w:rsidP="00821F5D">
            <w:pPr>
              <w:spacing w:after="0" w:line="240" w:lineRule="auto"/>
              <w:rPr>
                <w:rFonts w:eastAsia="Times New Roman" w:cs="Arial"/>
                <w:sz w:val="24"/>
                <w:szCs w:val="24"/>
                <w:lang w:val="en-GB" w:eastAsia="en-GB"/>
              </w:rPr>
            </w:pPr>
          </w:p>
        </w:tc>
        <w:tc>
          <w:tcPr>
            <w:tcW w:w="5528" w:type="dxa"/>
            <w:shd w:val="clear" w:color="auto" w:fill="auto"/>
          </w:tcPr>
          <w:p w:rsidR="00821F5D" w:rsidRPr="00A61BD2" w:rsidRDefault="00710234" w:rsidP="00497526">
            <w:pPr>
              <w:spacing w:after="0" w:line="240" w:lineRule="auto"/>
              <w:rPr>
                <w:rFonts w:eastAsia="Times New Roman" w:cs="Arial"/>
                <w:b/>
                <w:lang w:val="en-GB" w:eastAsia="en-GB"/>
              </w:rPr>
            </w:pPr>
            <w:r>
              <w:rPr>
                <w:rFonts w:eastAsia="Times New Roman" w:cs="Arial"/>
                <w:b/>
                <w:lang w:val="en-GB" w:eastAsia="en-GB"/>
              </w:rPr>
              <w:t xml:space="preserve">ARC-PHP/ CEDARA/ </w:t>
            </w:r>
            <w:r w:rsidR="00497526">
              <w:rPr>
                <w:rFonts w:eastAsia="Times New Roman" w:cs="Arial"/>
                <w:b/>
                <w:lang w:val="en-GB" w:eastAsia="en-GB"/>
              </w:rPr>
              <w:t xml:space="preserve">Research 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CLOSING DATE:</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3D6127" w:rsidP="00821F5D">
            <w:pPr>
              <w:spacing w:after="0" w:line="240" w:lineRule="auto"/>
              <w:rPr>
                <w:rFonts w:eastAsia="Times New Roman" w:cs="Arial"/>
                <w:lang w:val="en-GB" w:eastAsia="en-GB"/>
              </w:rPr>
            </w:pPr>
            <w:r>
              <w:rPr>
                <w:rFonts w:eastAsia="Times New Roman" w:cs="Arial"/>
                <w:lang w:val="en-GB" w:eastAsia="en-GB"/>
              </w:rPr>
              <w:t>25</w:t>
            </w:r>
            <w:bookmarkStart w:id="0" w:name="_GoBack"/>
            <w:bookmarkEnd w:id="0"/>
            <w:r w:rsidR="008E2BB1">
              <w:rPr>
                <w:rFonts w:eastAsia="Times New Roman" w:cs="Arial"/>
                <w:lang w:val="en-GB" w:eastAsia="en-GB"/>
              </w:rPr>
              <w:t>-08</w:t>
            </w:r>
            <w:r w:rsidR="00710234">
              <w:rPr>
                <w:rFonts w:eastAsia="Times New Roman" w:cs="Arial"/>
                <w:lang w:val="en-GB" w:eastAsia="en-GB"/>
              </w:rPr>
              <w:t>-2023</w:t>
            </w:r>
          </w:p>
        </w:tc>
      </w:tr>
      <w:tr w:rsidR="00821F5D" w:rsidRPr="00821F5D" w:rsidTr="00821F5D">
        <w:trPr>
          <w:trHeight w:val="418"/>
        </w:trPr>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rPr>
          <w:trHeight w:val="130"/>
        </w:trPr>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497526" w:rsidP="00714EDE">
            <w:pPr>
              <w:spacing w:after="0" w:line="240" w:lineRule="auto"/>
              <w:rPr>
                <w:rFonts w:eastAsia="Times New Roman" w:cs="Arial"/>
                <w:lang w:val="en-GB" w:eastAsia="en-GB"/>
              </w:rPr>
            </w:pPr>
            <w:r>
              <w:rPr>
                <w:rFonts w:eastAsia="Times New Roman" w:cs="Arial"/>
                <w:lang w:val="en-GB" w:eastAsia="en-GB"/>
              </w:rPr>
              <w:t xml:space="preserve">Research Consumables </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ADDRESS</w:t>
            </w:r>
          </w:p>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ARC-PHP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 xml:space="preserve">Cedara College Road </w:t>
            </w:r>
          </w:p>
          <w:p w:rsidR="00774B5D" w:rsidRPr="00774B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Cedara</w:t>
            </w:r>
          </w:p>
          <w:p w:rsidR="00821F5D" w:rsidRPr="00821F5D" w:rsidRDefault="00774B5D" w:rsidP="00774B5D">
            <w:pPr>
              <w:spacing w:after="0" w:line="240" w:lineRule="auto"/>
              <w:rPr>
                <w:rFonts w:eastAsia="Times New Roman" w:cs="Arial"/>
                <w:color w:val="202124"/>
                <w:sz w:val="21"/>
                <w:szCs w:val="21"/>
                <w:shd w:val="clear" w:color="auto" w:fill="FFFFFF"/>
                <w:lang w:val="en-GB" w:eastAsia="en-GB"/>
              </w:rPr>
            </w:pPr>
            <w:r w:rsidRPr="00774B5D">
              <w:rPr>
                <w:rFonts w:eastAsia="Times New Roman" w:cs="Arial"/>
                <w:color w:val="202124"/>
                <w:sz w:val="21"/>
                <w:szCs w:val="21"/>
                <w:shd w:val="clear" w:color="auto" w:fill="FFFFFF"/>
                <w:lang w:val="en-GB" w:eastAsia="en-GB"/>
              </w:rPr>
              <w:t>KZN</w:t>
            </w:r>
          </w:p>
        </w:tc>
      </w:tr>
      <w:tr w:rsidR="00821F5D" w:rsidRPr="00821F5D" w:rsidTr="00821F5D">
        <w:tc>
          <w:tcPr>
            <w:tcW w:w="3652" w:type="dxa"/>
            <w:shd w:val="clear" w:color="auto" w:fill="auto"/>
          </w:tcPr>
          <w:p w:rsidR="00821F5D" w:rsidRPr="00821F5D" w:rsidRDefault="00821F5D" w:rsidP="00821F5D">
            <w:pPr>
              <w:spacing w:after="0" w:line="240" w:lineRule="auto"/>
              <w:rPr>
                <w:rFonts w:eastAsia="Times New Roman" w:cs="Arial"/>
                <w:lang w:val="en-GB" w:eastAsia="en-GB"/>
              </w:rPr>
            </w:pP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p>
        </w:tc>
      </w:tr>
      <w:tr w:rsidR="00821F5D" w:rsidRPr="00821F5D" w:rsidTr="00821F5D">
        <w:tc>
          <w:tcPr>
            <w:tcW w:w="3652" w:type="dxa"/>
            <w:shd w:val="clear" w:color="auto" w:fill="C9C9C9"/>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528" w:type="dxa"/>
            <w:shd w:val="clear" w:color="auto" w:fill="auto"/>
          </w:tcPr>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 xml:space="preserve">Name: </w:t>
            </w:r>
            <w:r w:rsidR="00A07AB2">
              <w:rPr>
                <w:rFonts w:eastAsia="Times New Roman" w:cs="Arial"/>
                <w:lang w:val="en-GB" w:eastAsia="en-GB"/>
              </w:rPr>
              <w:t>Rirhandzu Hlatshwayo</w:t>
            </w:r>
            <w:r w:rsidRPr="00821F5D">
              <w:rPr>
                <w:rFonts w:eastAsia="Times New Roman" w:cs="Arial"/>
                <w:lang w:val="en-GB" w:eastAsia="en-GB"/>
              </w:rPr>
              <w:t xml:space="preserve"> </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SCM</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821F5D" w:rsidRPr="00821F5D" w:rsidRDefault="00821F5D" w:rsidP="00821F5D">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4"/>
        <w:gridCol w:w="1923"/>
        <w:gridCol w:w="1809"/>
      </w:tblGrid>
      <w:tr w:rsidR="00821F5D" w:rsidRPr="00821F5D" w:rsidTr="00A61BD2">
        <w:tc>
          <w:tcPr>
            <w:tcW w:w="5284"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923"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809"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710234" w:rsidRPr="00821F5D" w:rsidTr="00710234">
        <w:trPr>
          <w:trHeight w:val="58"/>
        </w:trPr>
        <w:tc>
          <w:tcPr>
            <w:tcW w:w="5284" w:type="dxa"/>
            <w:shd w:val="clear" w:color="auto" w:fill="auto"/>
            <w:vAlign w:val="bottom"/>
          </w:tcPr>
          <w:p w:rsidR="00710234" w:rsidRPr="006A237B" w:rsidRDefault="00497526" w:rsidP="005D1586">
            <w:pPr>
              <w:rPr>
                <w:rFonts w:asciiTheme="minorHAnsi" w:hAnsiTheme="minorHAnsi" w:cstheme="minorHAnsi"/>
                <w:b/>
                <w:color w:val="000000"/>
                <w:sz w:val="24"/>
                <w:szCs w:val="24"/>
              </w:rPr>
            </w:pPr>
            <w:dir w:val="ltr">
              <w:dir w:val="ltr">
                <w:dir w:val="ltr">
                  <w:r w:rsidR="005D1586">
                    <w:t xml:space="preserve"> </w:t>
                  </w:r>
                  <w:dir w:val="ltr">
                    <w:dir w:val="ltr">
                      <w:dir w:val="ltr">
                        <w:r w:rsidR="005D1586" w:rsidRPr="005D1586">
                          <w:rPr>
                            <w:rFonts w:asciiTheme="minorHAnsi" w:hAnsiTheme="minorHAnsi" w:cstheme="minorHAnsi"/>
                            <w:color w:val="000000"/>
                            <w:sz w:val="24"/>
                            <w:szCs w:val="24"/>
                          </w:rPr>
                          <w:t>REQ-077402</w:t>
                        </w:r>
                        <w:r w:rsidR="005D1586" w:rsidRPr="005D1586">
                          <w:rPr>
                            <w:rFonts w:asciiTheme="minorHAnsi" w:hAnsiTheme="minorHAnsi" w:cstheme="minorHAnsi"/>
                            <w:color w:val="000000"/>
                            <w:sz w:val="24"/>
                            <w:szCs w:val="24"/>
                          </w:rPr>
                          <w:t>‬</w:t>
                        </w:r>
                        <w:r w:rsidR="005D1586" w:rsidRPr="005D1586">
                          <w:rPr>
                            <w:rFonts w:asciiTheme="minorHAnsi" w:hAnsiTheme="minorHAnsi" w:cstheme="minorHAnsi"/>
                            <w:color w:val="000000"/>
                            <w:sz w:val="24"/>
                            <w:szCs w:val="24"/>
                          </w:rPr>
                          <w:t>‬ : ‎</w:t>
                        </w:r>
                        <w:dir w:val="ltr">
                          <w:dir w:val="ltr">
                            <w:r w:rsidR="005D1586" w:rsidRPr="005D1586">
                              <w:rPr>
                                <w:rFonts w:asciiTheme="minorHAnsi" w:hAnsiTheme="minorHAnsi" w:cstheme="minorHAnsi"/>
                                <w:color w:val="000000"/>
                                <w:sz w:val="24"/>
                                <w:szCs w:val="24"/>
                              </w:rPr>
                              <w:t>Plant fertiliser</w:t>
                            </w:r>
                          </w:dir>
                        </w:dir>
                      </w:dir>
                    </w:dir>
                  </w:dir>
                </w:dir>
              </w:dir>
            </w:dir>
          </w:p>
        </w:tc>
        <w:tc>
          <w:tcPr>
            <w:tcW w:w="1923" w:type="dxa"/>
            <w:shd w:val="clear" w:color="auto" w:fill="auto"/>
            <w:vAlign w:val="center"/>
          </w:tcPr>
          <w:p w:rsidR="00710234" w:rsidRPr="006A237B" w:rsidRDefault="00710234" w:rsidP="00710234">
            <w:pPr>
              <w:spacing w:after="0" w:line="240" w:lineRule="auto"/>
              <w:rPr>
                <w:rFonts w:asciiTheme="minorHAnsi" w:eastAsia="Times New Roman" w:hAnsiTheme="minorHAnsi" w:cstheme="minorHAnsi"/>
                <w:sz w:val="24"/>
                <w:szCs w:val="24"/>
                <w:lang w:val="en-GB" w:eastAsia="en-GB"/>
              </w:rPr>
            </w:pPr>
          </w:p>
        </w:tc>
        <w:tc>
          <w:tcPr>
            <w:tcW w:w="1809" w:type="dxa"/>
            <w:shd w:val="clear" w:color="auto" w:fill="auto"/>
          </w:tcPr>
          <w:p w:rsidR="00710234" w:rsidRPr="006A237B" w:rsidRDefault="00710234" w:rsidP="00710234">
            <w:pPr>
              <w:spacing w:after="0" w:line="240" w:lineRule="auto"/>
              <w:rPr>
                <w:rFonts w:asciiTheme="minorHAnsi" w:eastAsia="Times New Roman" w:hAnsiTheme="minorHAnsi" w:cstheme="minorHAnsi"/>
                <w:sz w:val="24"/>
                <w:szCs w:val="24"/>
                <w:lang w:val="en-GB" w:eastAsia="en-GB"/>
              </w:rPr>
            </w:pPr>
          </w:p>
        </w:tc>
      </w:tr>
      <w:tr w:rsidR="00710234" w:rsidRPr="00821F5D" w:rsidTr="00710234">
        <w:trPr>
          <w:trHeight w:val="58"/>
        </w:trPr>
        <w:tc>
          <w:tcPr>
            <w:tcW w:w="5284" w:type="dxa"/>
            <w:shd w:val="clear" w:color="auto" w:fill="auto"/>
            <w:vAlign w:val="bottom"/>
          </w:tcPr>
          <w:p w:rsidR="00710234" w:rsidRPr="006A237B" w:rsidRDefault="005D1586" w:rsidP="00497526">
            <w:pPr>
              <w:rPr>
                <w:rFonts w:asciiTheme="minorHAnsi" w:hAnsiTheme="minorHAnsi" w:cstheme="minorHAnsi"/>
                <w:color w:val="000000"/>
                <w:sz w:val="24"/>
                <w:szCs w:val="24"/>
              </w:rPr>
            </w:pPr>
            <w:r w:rsidRPr="005D1586">
              <w:rPr>
                <w:rFonts w:asciiTheme="minorHAnsi" w:hAnsiTheme="minorHAnsi" w:cstheme="minorHAnsi"/>
                <w:color w:val="000000"/>
                <w:sz w:val="24"/>
                <w:szCs w:val="24"/>
              </w:rPr>
              <w:t>Gromor 3:1:3 (37) w.s. complete 20 kg bag</w:t>
            </w:r>
          </w:p>
        </w:tc>
        <w:tc>
          <w:tcPr>
            <w:tcW w:w="1923" w:type="dxa"/>
            <w:shd w:val="clear" w:color="auto" w:fill="auto"/>
            <w:vAlign w:val="center"/>
          </w:tcPr>
          <w:p w:rsidR="00710234" w:rsidRPr="006A237B" w:rsidRDefault="00497526" w:rsidP="00710234">
            <w:pPr>
              <w:spacing w:after="0" w:line="240" w:lineRule="auto"/>
              <w:jc w:val="center"/>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15</w:t>
            </w:r>
          </w:p>
        </w:tc>
        <w:tc>
          <w:tcPr>
            <w:tcW w:w="1809" w:type="dxa"/>
            <w:shd w:val="clear" w:color="auto" w:fill="auto"/>
          </w:tcPr>
          <w:p w:rsidR="00710234" w:rsidRPr="006A237B" w:rsidRDefault="00497526" w:rsidP="00710234">
            <w:pPr>
              <w:spacing w:after="0" w:line="240" w:lineRule="auto"/>
              <w:jc w:val="center"/>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497526" w:rsidRPr="00821F5D" w:rsidTr="00710234">
        <w:trPr>
          <w:trHeight w:val="58"/>
        </w:trPr>
        <w:tc>
          <w:tcPr>
            <w:tcW w:w="5284" w:type="dxa"/>
            <w:shd w:val="clear" w:color="auto" w:fill="auto"/>
            <w:vAlign w:val="bottom"/>
          </w:tcPr>
          <w:p w:rsidR="005D1586" w:rsidRDefault="005D1586" w:rsidP="00497526">
            <w:pPr>
              <w:rPr>
                <w:rFonts w:asciiTheme="minorHAnsi" w:hAnsiTheme="minorHAnsi" w:cstheme="minorHAnsi"/>
                <w:color w:val="000000"/>
                <w:sz w:val="24"/>
                <w:szCs w:val="24"/>
              </w:rPr>
            </w:pPr>
            <w:r w:rsidRPr="005D1586">
              <w:rPr>
                <w:rFonts w:asciiTheme="minorHAnsi" w:hAnsiTheme="minorHAnsi" w:cstheme="minorHAnsi"/>
                <w:color w:val="000000"/>
                <w:sz w:val="24"/>
                <w:szCs w:val="24"/>
              </w:rPr>
              <w:t>Gromor Calmag N + Micronutrients 20 kg bag</w:t>
            </w:r>
          </w:p>
          <w:p w:rsidR="00497526" w:rsidRPr="00497526" w:rsidRDefault="00497526" w:rsidP="00497526">
            <w:pPr>
              <w:rPr>
                <w:rFonts w:asciiTheme="minorHAnsi" w:hAnsiTheme="minorHAnsi" w:cstheme="minorHAnsi"/>
                <w:color w:val="000000"/>
                <w:sz w:val="24"/>
                <w:szCs w:val="24"/>
              </w:rPr>
            </w:pPr>
            <w:r w:rsidRPr="00497526">
              <w:rPr>
                <w:rFonts w:asciiTheme="minorHAnsi" w:hAnsiTheme="minorHAnsi" w:cstheme="minorHAnsi"/>
                <w:color w:val="000000"/>
                <w:sz w:val="24"/>
                <w:szCs w:val="24"/>
              </w:rPr>
              <w:t>It needs to be these specific fertilisers please.</w:t>
            </w:r>
          </w:p>
        </w:tc>
        <w:tc>
          <w:tcPr>
            <w:tcW w:w="1923" w:type="dxa"/>
            <w:shd w:val="clear" w:color="auto" w:fill="auto"/>
            <w:vAlign w:val="center"/>
          </w:tcPr>
          <w:p w:rsidR="00497526" w:rsidRPr="006A237B" w:rsidRDefault="00497526" w:rsidP="00710234">
            <w:pPr>
              <w:spacing w:after="0" w:line="240" w:lineRule="auto"/>
              <w:jc w:val="center"/>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10</w:t>
            </w:r>
          </w:p>
        </w:tc>
        <w:tc>
          <w:tcPr>
            <w:tcW w:w="1809" w:type="dxa"/>
            <w:shd w:val="clear" w:color="auto" w:fill="auto"/>
          </w:tcPr>
          <w:p w:rsidR="00497526" w:rsidRPr="006A237B" w:rsidRDefault="00497526" w:rsidP="00710234">
            <w:pPr>
              <w:spacing w:after="0" w:line="240" w:lineRule="auto"/>
              <w:jc w:val="center"/>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710234" w:rsidRPr="00821F5D" w:rsidTr="00710234">
        <w:trPr>
          <w:trHeight w:val="58"/>
        </w:trPr>
        <w:tc>
          <w:tcPr>
            <w:tcW w:w="5284" w:type="dxa"/>
            <w:shd w:val="clear" w:color="auto" w:fill="BFBFBF" w:themeFill="background1" w:themeFillShade="BF"/>
            <w:vAlign w:val="bottom"/>
          </w:tcPr>
          <w:p w:rsidR="00710234" w:rsidRPr="006A237B" w:rsidRDefault="00710234" w:rsidP="00710234">
            <w:pPr>
              <w:rPr>
                <w:rFonts w:asciiTheme="minorHAnsi" w:hAnsiTheme="minorHAnsi" w:cstheme="minorHAnsi"/>
                <w:color w:val="000000"/>
                <w:sz w:val="24"/>
                <w:szCs w:val="24"/>
              </w:rPr>
            </w:pPr>
          </w:p>
        </w:tc>
        <w:tc>
          <w:tcPr>
            <w:tcW w:w="1923" w:type="dxa"/>
            <w:shd w:val="clear" w:color="auto" w:fill="BFBFBF" w:themeFill="background1" w:themeFillShade="BF"/>
            <w:vAlign w:val="center"/>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BFBFBF" w:themeFill="background1" w:themeFillShade="BF"/>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r>
      <w:tr w:rsidR="006A237B" w:rsidRPr="00821F5D" w:rsidTr="006A237B">
        <w:trPr>
          <w:trHeight w:val="58"/>
        </w:trPr>
        <w:tc>
          <w:tcPr>
            <w:tcW w:w="5284" w:type="dxa"/>
            <w:shd w:val="clear" w:color="auto" w:fill="FFFFFF" w:themeFill="background1"/>
            <w:vAlign w:val="bottom"/>
          </w:tcPr>
          <w:p w:rsidR="006A237B" w:rsidRPr="006A237B" w:rsidRDefault="005D1586" w:rsidP="005D1586">
            <w:pPr>
              <w:rPr>
                <w:rFonts w:asciiTheme="minorHAnsi" w:hAnsiTheme="minorHAnsi" w:cstheme="minorHAnsi"/>
                <w:color w:val="000000"/>
                <w:sz w:val="24"/>
                <w:szCs w:val="24"/>
              </w:rPr>
            </w:pPr>
            <w:dir w:val="ltr">
              <w:dir w:val="ltr">
                <w:dir w:val="ltr">
                  <w:r w:rsidRPr="005D1586">
                    <w:rPr>
                      <w:rFonts w:asciiTheme="minorHAnsi" w:hAnsiTheme="minorHAnsi" w:cstheme="minorHAnsi"/>
                      <w:color w:val="000000"/>
                      <w:sz w:val="24"/>
                      <w:szCs w:val="24"/>
                    </w:rPr>
                    <w:t>REQ-077392</w:t>
                  </w:r>
                  <w:r w:rsidRPr="005D1586">
                    <w:rPr>
                      <w:rFonts w:asciiTheme="minorHAnsi" w:hAnsiTheme="minorHAnsi" w:cstheme="minorHAnsi"/>
                      <w:color w:val="000000"/>
                      <w:sz w:val="24"/>
                      <w:szCs w:val="24"/>
                    </w:rPr>
                    <w:t>‬</w:t>
                  </w:r>
                  <w:r w:rsidRPr="005D1586">
                    <w:rPr>
                      <w:rFonts w:asciiTheme="minorHAnsi" w:hAnsiTheme="minorHAnsi" w:cstheme="minorHAnsi"/>
                      <w:color w:val="000000"/>
                      <w:sz w:val="24"/>
                      <w:szCs w:val="24"/>
                    </w:rPr>
                    <w:t xml:space="preserve">‬ : </w:t>
                  </w:r>
                </w:dir>
              </w:dir>
            </w:dir>
          </w:p>
        </w:tc>
        <w:tc>
          <w:tcPr>
            <w:tcW w:w="1923" w:type="dxa"/>
            <w:shd w:val="clear" w:color="auto" w:fill="FFFFFF" w:themeFill="background1"/>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FFFFFF" w:themeFill="background1"/>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r>
      <w:tr w:rsidR="006A237B" w:rsidRPr="00821F5D" w:rsidTr="006A237B">
        <w:trPr>
          <w:trHeight w:val="58"/>
        </w:trPr>
        <w:tc>
          <w:tcPr>
            <w:tcW w:w="5284" w:type="dxa"/>
            <w:shd w:val="clear" w:color="auto" w:fill="FFFFFF" w:themeFill="background1"/>
            <w:vAlign w:val="bottom"/>
          </w:tcPr>
          <w:p w:rsidR="006A237B" w:rsidRDefault="005D1586" w:rsidP="005D1586">
            <w:pPr>
              <w:rPr>
                <w:rFonts w:asciiTheme="minorHAnsi" w:hAnsiTheme="minorHAnsi" w:cstheme="minorHAnsi"/>
                <w:color w:val="000000"/>
                <w:sz w:val="24"/>
                <w:szCs w:val="24"/>
              </w:rPr>
            </w:pPr>
            <w:r>
              <w:rPr>
                <w:rFonts w:asciiTheme="minorHAnsi" w:hAnsiTheme="minorHAnsi" w:cstheme="minorHAnsi"/>
                <w:color w:val="000000"/>
                <w:sz w:val="24"/>
                <w:szCs w:val="24"/>
              </w:rPr>
              <w:t>Cold</w:t>
            </w:r>
            <w:r w:rsidRPr="005D1586">
              <w:rPr>
                <w:rFonts w:asciiTheme="minorHAnsi" w:hAnsiTheme="minorHAnsi" w:cstheme="minorHAnsi"/>
                <w:color w:val="000000"/>
                <w:sz w:val="24"/>
                <w:szCs w:val="24"/>
              </w:rPr>
              <w:t xml:space="preserve"> cut</w:t>
            </w:r>
            <w:r>
              <w:rPr>
                <w:rFonts w:asciiTheme="minorHAnsi" w:hAnsiTheme="minorHAnsi" w:cstheme="minorHAnsi"/>
                <w:color w:val="000000"/>
                <w:sz w:val="24"/>
                <w:szCs w:val="24"/>
              </w:rPr>
              <w:t xml:space="preserve"> saver</w:t>
            </w:r>
            <w:r w:rsidRPr="005D1586">
              <w:rPr>
                <w:rFonts w:asciiTheme="minorHAnsi" w:hAnsiTheme="minorHAnsi" w:cstheme="minorHAnsi"/>
                <w:color w:val="000000"/>
                <w:sz w:val="24"/>
                <w:szCs w:val="24"/>
              </w:rPr>
              <w:t xml:space="preserve"> 4.5 litre</w:t>
            </w:r>
          </w:p>
          <w:p w:rsidR="005D1586" w:rsidRPr="005D1586" w:rsidRDefault="005D1586" w:rsidP="005D1586">
            <w:pPr>
              <w:rPr>
                <w:rFonts w:asciiTheme="minorHAnsi" w:hAnsiTheme="minorHAnsi" w:cstheme="minorHAnsi"/>
                <w:color w:val="000000"/>
                <w:sz w:val="24"/>
                <w:szCs w:val="24"/>
              </w:rPr>
            </w:pPr>
            <w:r w:rsidRPr="005D1586">
              <w:rPr>
                <w:rFonts w:asciiTheme="minorHAnsi" w:hAnsiTheme="minorHAnsi" w:cstheme="minorHAnsi"/>
                <w:color w:val="000000"/>
                <w:sz w:val="24"/>
                <w:szCs w:val="24"/>
              </w:rPr>
              <w:lastRenderedPageBreak/>
              <w:t>Specifically this make of plastic ware (not cheaper versions) and this specific item as it seals tightly for tiny insects, durable and is the correct dimensions for Smicronyx insect rearing</w:t>
            </w:r>
          </w:p>
          <w:p w:rsidR="005D1586" w:rsidRPr="005D1586" w:rsidRDefault="005D1586" w:rsidP="005D1586">
            <w:pPr>
              <w:rPr>
                <w:rFonts w:asciiTheme="minorHAnsi" w:hAnsiTheme="minorHAnsi" w:cstheme="minorHAnsi"/>
                <w:color w:val="000000"/>
                <w:sz w:val="24"/>
                <w:szCs w:val="24"/>
              </w:rPr>
            </w:pPr>
            <w:r w:rsidRPr="005D1586">
              <w:rPr>
                <w:rFonts w:asciiTheme="minorHAnsi" w:hAnsiTheme="minorHAnsi" w:cstheme="minorHAnsi"/>
                <w:color w:val="000000"/>
                <w:sz w:val="24"/>
                <w:szCs w:val="24"/>
              </w:rPr>
              <w:t>Barcode: 6001246058545</w:t>
            </w:r>
          </w:p>
          <w:p w:rsidR="005D1586" w:rsidRPr="005D1586" w:rsidRDefault="005D1586" w:rsidP="005D1586">
            <w:pPr>
              <w:rPr>
                <w:rFonts w:asciiTheme="minorHAnsi" w:hAnsiTheme="minorHAnsi" w:cstheme="minorHAnsi"/>
                <w:color w:val="000000"/>
                <w:sz w:val="24"/>
                <w:szCs w:val="24"/>
              </w:rPr>
            </w:pPr>
            <w:r w:rsidRPr="005D1586">
              <w:rPr>
                <w:rFonts w:asciiTheme="minorHAnsi" w:hAnsiTheme="minorHAnsi" w:cstheme="minorHAnsi"/>
                <w:color w:val="000000"/>
                <w:sz w:val="24"/>
                <w:szCs w:val="24"/>
              </w:rPr>
              <w:t>Dimensions</w:t>
            </w:r>
          </w:p>
          <w:p w:rsidR="005D1586" w:rsidRPr="005D1586" w:rsidRDefault="005D1586" w:rsidP="005D1586">
            <w:pPr>
              <w:rPr>
                <w:rFonts w:asciiTheme="minorHAnsi" w:hAnsiTheme="minorHAnsi" w:cstheme="minorHAnsi"/>
                <w:color w:val="000000"/>
                <w:sz w:val="24"/>
                <w:szCs w:val="24"/>
              </w:rPr>
            </w:pPr>
            <w:r w:rsidRPr="005D1586">
              <w:rPr>
                <w:rFonts w:asciiTheme="minorHAnsi" w:hAnsiTheme="minorHAnsi" w:cstheme="minorHAnsi"/>
                <w:color w:val="000000"/>
                <w:sz w:val="24"/>
                <w:szCs w:val="24"/>
              </w:rPr>
              <w:t>Length: 340mm</w:t>
            </w:r>
          </w:p>
          <w:p w:rsidR="005D1586" w:rsidRPr="005D1586" w:rsidRDefault="005D1586" w:rsidP="005D1586">
            <w:pPr>
              <w:rPr>
                <w:rFonts w:asciiTheme="minorHAnsi" w:hAnsiTheme="minorHAnsi" w:cstheme="minorHAnsi"/>
                <w:color w:val="000000"/>
                <w:sz w:val="24"/>
                <w:szCs w:val="24"/>
              </w:rPr>
            </w:pPr>
            <w:r w:rsidRPr="005D1586">
              <w:rPr>
                <w:rFonts w:asciiTheme="minorHAnsi" w:hAnsiTheme="minorHAnsi" w:cstheme="minorHAnsi"/>
                <w:color w:val="000000"/>
                <w:sz w:val="24"/>
                <w:szCs w:val="24"/>
              </w:rPr>
              <w:t>Width: 230mm</w:t>
            </w:r>
          </w:p>
          <w:p w:rsidR="005D1586" w:rsidRPr="006A237B" w:rsidRDefault="005D1586" w:rsidP="005D1586">
            <w:pPr>
              <w:rPr>
                <w:rFonts w:asciiTheme="minorHAnsi" w:hAnsiTheme="minorHAnsi" w:cstheme="minorHAnsi"/>
                <w:color w:val="000000"/>
                <w:sz w:val="24"/>
                <w:szCs w:val="24"/>
              </w:rPr>
            </w:pPr>
            <w:r w:rsidRPr="005D1586">
              <w:rPr>
                <w:rFonts w:asciiTheme="minorHAnsi" w:hAnsiTheme="minorHAnsi" w:cstheme="minorHAnsi"/>
                <w:color w:val="000000"/>
                <w:sz w:val="24"/>
                <w:szCs w:val="24"/>
              </w:rPr>
              <w:t>Height: 80mm</w:t>
            </w:r>
          </w:p>
        </w:tc>
        <w:tc>
          <w:tcPr>
            <w:tcW w:w="1923" w:type="dxa"/>
            <w:shd w:val="clear" w:color="auto" w:fill="FFFFFF" w:themeFill="background1"/>
            <w:vAlign w:val="center"/>
          </w:tcPr>
          <w:p w:rsidR="006A237B" w:rsidRPr="006A237B" w:rsidRDefault="005D1586" w:rsidP="00710234">
            <w:pPr>
              <w:spacing w:after="0" w:line="240" w:lineRule="auto"/>
              <w:jc w:val="center"/>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lastRenderedPageBreak/>
              <w:t>50</w:t>
            </w:r>
          </w:p>
        </w:tc>
        <w:tc>
          <w:tcPr>
            <w:tcW w:w="1809" w:type="dxa"/>
            <w:shd w:val="clear" w:color="auto" w:fill="FFFFFF" w:themeFill="background1"/>
          </w:tcPr>
          <w:p w:rsidR="006A237B" w:rsidRPr="006A237B" w:rsidRDefault="005D1586" w:rsidP="00710234">
            <w:pPr>
              <w:spacing w:after="0" w:line="240" w:lineRule="auto"/>
              <w:jc w:val="center"/>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EA</w:t>
            </w:r>
          </w:p>
        </w:tc>
      </w:tr>
      <w:tr w:rsidR="006A237B" w:rsidRPr="00821F5D" w:rsidTr="00710234">
        <w:trPr>
          <w:trHeight w:val="58"/>
        </w:trPr>
        <w:tc>
          <w:tcPr>
            <w:tcW w:w="5284" w:type="dxa"/>
            <w:shd w:val="clear" w:color="auto" w:fill="BFBFBF" w:themeFill="background1" w:themeFillShade="BF"/>
            <w:vAlign w:val="bottom"/>
          </w:tcPr>
          <w:p w:rsidR="006A237B" w:rsidRPr="006A237B" w:rsidRDefault="006A237B" w:rsidP="00710234">
            <w:pPr>
              <w:rPr>
                <w:rFonts w:asciiTheme="minorHAnsi" w:hAnsiTheme="minorHAnsi" w:cstheme="minorHAnsi"/>
                <w:color w:val="000000"/>
                <w:sz w:val="24"/>
                <w:szCs w:val="24"/>
              </w:rPr>
            </w:pPr>
          </w:p>
        </w:tc>
        <w:tc>
          <w:tcPr>
            <w:tcW w:w="1923" w:type="dxa"/>
            <w:shd w:val="clear" w:color="auto" w:fill="BFBFBF" w:themeFill="background1" w:themeFillShade="BF"/>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BFBFBF" w:themeFill="background1" w:themeFillShade="BF"/>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r>
      <w:tr w:rsidR="00710234" w:rsidRPr="00821F5D" w:rsidTr="00710234">
        <w:trPr>
          <w:trHeight w:val="58"/>
        </w:trPr>
        <w:tc>
          <w:tcPr>
            <w:tcW w:w="5284" w:type="dxa"/>
            <w:shd w:val="clear" w:color="auto" w:fill="auto"/>
            <w:vAlign w:val="bottom"/>
          </w:tcPr>
          <w:p w:rsidR="00710234" w:rsidRPr="006A237B" w:rsidRDefault="005D1586" w:rsidP="005D1586">
            <w:pPr>
              <w:rPr>
                <w:rFonts w:asciiTheme="minorHAnsi" w:hAnsiTheme="minorHAnsi" w:cstheme="minorHAnsi"/>
                <w:b/>
                <w:color w:val="000000"/>
                <w:sz w:val="24"/>
                <w:szCs w:val="24"/>
              </w:rPr>
            </w:pPr>
            <w:dir w:val="ltr">
              <w:dir w:val="ltr">
                <w:dir w:val="ltr">
                  <w:r w:rsidRPr="005D1586">
                    <w:rPr>
                      <w:rFonts w:asciiTheme="minorHAnsi" w:hAnsiTheme="minorHAnsi" w:cstheme="minorHAnsi"/>
                      <w:b/>
                      <w:color w:val="000000"/>
                      <w:sz w:val="24"/>
                      <w:szCs w:val="24"/>
                    </w:rPr>
                    <w:t>REQ-077395</w:t>
                  </w:r>
                  <w:r w:rsidRPr="005D1586">
                    <w:rPr>
                      <w:rFonts w:asciiTheme="minorHAnsi" w:hAnsiTheme="minorHAnsi" w:cstheme="minorHAnsi"/>
                      <w:b/>
                      <w:color w:val="000000"/>
                      <w:sz w:val="24"/>
                      <w:szCs w:val="24"/>
                    </w:rPr>
                    <w:t>‬</w:t>
                  </w:r>
                  <w:r w:rsidRPr="005D1586">
                    <w:rPr>
                      <w:rFonts w:asciiTheme="minorHAnsi" w:hAnsiTheme="minorHAnsi" w:cstheme="minorHAnsi"/>
                      <w:b/>
                      <w:color w:val="000000"/>
                      <w:sz w:val="24"/>
                      <w:szCs w:val="24"/>
                    </w:rPr>
                    <w:t>‬ : ‎</w:t>
                  </w:r>
                  <w:dir w:val="ltr">
                    <w:dir w:val="ltr">
                      <w:r w:rsidRPr="005D1586">
                        <w:rPr>
                          <w:rFonts w:asciiTheme="minorHAnsi" w:hAnsiTheme="minorHAnsi" w:cstheme="minorHAnsi"/>
                          <w:b/>
                          <w:color w:val="000000"/>
                          <w:sz w:val="24"/>
                          <w:szCs w:val="24"/>
                        </w:rPr>
                        <w:t xml:space="preserve"> </w:t>
                      </w:r>
                    </w:dir>
                  </w:dir>
                </w:dir>
              </w:dir>
            </w:dir>
          </w:p>
        </w:tc>
        <w:tc>
          <w:tcPr>
            <w:tcW w:w="1923" w:type="dxa"/>
            <w:shd w:val="clear" w:color="auto" w:fill="auto"/>
            <w:vAlign w:val="center"/>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auto"/>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r>
      <w:tr w:rsidR="005D1586" w:rsidRPr="00821F5D" w:rsidTr="006119D1">
        <w:trPr>
          <w:trHeight w:val="58"/>
        </w:trPr>
        <w:tc>
          <w:tcPr>
            <w:tcW w:w="5284" w:type="dxa"/>
            <w:shd w:val="clear" w:color="auto" w:fill="auto"/>
            <w:vAlign w:val="bottom"/>
          </w:tcPr>
          <w:p w:rsidR="005D1586" w:rsidRDefault="005D1586" w:rsidP="005D1586">
            <w:pPr>
              <w:rPr>
                <w:rFonts w:ascii="Calibri" w:hAnsi="Calibri" w:cs="Calibri"/>
                <w:color w:val="000000"/>
              </w:rPr>
            </w:pPr>
            <w:r>
              <w:rPr>
                <w:rFonts w:ascii="Calibri" w:hAnsi="Calibri" w:cs="Calibri"/>
                <w:color w:val="000000"/>
              </w:rPr>
              <w:t>Spear 240 AL 5 litre - Adama</w:t>
            </w:r>
          </w:p>
        </w:tc>
        <w:tc>
          <w:tcPr>
            <w:tcW w:w="1923" w:type="dxa"/>
            <w:shd w:val="clear" w:color="auto" w:fill="auto"/>
            <w:vAlign w:val="bottom"/>
          </w:tcPr>
          <w:p w:rsidR="005D1586" w:rsidRDefault="005D1586" w:rsidP="005D1586">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5D1586" w:rsidRDefault="005D1586" w:rsidP="005D1586">
            <w:pPr>
              <w:rPr>
                <w:rFonts w:ascii="Calibri" w:hAnsi="Calibri" w:cs="Calibri"/>
                <w:color w:val="000000"/>
              </w:rPr>
            </w:pPr>
            <w:r>
              <w:rPr>
                <w:rFonts w:ascii="Calibri" w:hAnsi="Calibri" w:cs="Calibri"/>
                <w:color w:val="000000"/>
              </w:rPr>
              <w:t>EA</w:t>
            </w:r>
          </w:p>
        </w:tc>
      </w:tr>
      <w:tr w:rsidR="005D1586" w:rsidRPr="00821F5D" w:rsidTr="006119D1">
        <w:trPr>
          <w:trHeight w:val="58"/>
        </w:trPr>
        <w:tc>
          <w:tcPr>
            <w:tcW w:w="5284" w:type="dxa"/>
            <w:shd w:val="clear" w:color="auto" w:fill="auto"/>
            <w:vAlign w:val="bottom"/>
          </w:tcPr>
          <w:p w:rsidR="005D1586" w:rsidRDefault="005D1586" w:rsidP="005D1586">
            <w:pPr>
              <w:rPr>
                <w:rFonts w:ascii="Calibri" w:hAnsi="Calibri" w:cs="Calibri"/>
                <w:color w:val="000000"/>
              </w:rPr>
            </w:pPr>
            <w:r>
              <w:rPr>
                <w:rFonts w:ascii="Calibri" w:hAnsi="Calibri" w:cs="Calibri"/>
                <w:color w:val="000000"/>
              </w:rPr>
              <w:t>Garlon 480 EC 5 litre - Ecoguard</w:t>
            </w:r>
          </w:p>
        </w:tc>
        <w:tc>
          <w:tcPr>
            <w:tcW w:w="1923" w:type="dxa"/>
            <w:shd w:val="clear" w:color="auto" w:fill="auto"/>
            <w:vAlign w:val="bottom"/>
          </w:tcPr>
          <w:p w:rsidR="005D1586" w:rsidRDefault="005D1586" w:rsidP="005D1586">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5D1586" w:rsidRDefault="005D1586" w:rsidP="005D1586">
            <w:pPr>
              <w:rPr>
                <w:rFonts w:ascii="Calibri" w:hAnsi="Calibri" w:cs="Calibri"/>
                <w:color w:val="000000"/>
              </w:rPr>
            </w:pPr>
            <w:r>
              <w:rPr>
                <w:rFonts w:ascii="Calibri" w:hAnsi="Calibri" w:cs="Calibri"/>
                <w:color w:val="000000"/>
              </w:rPr>
              <w:t>EA</w:t>
            </w:r>
          </w:p>
        </w:tc>
      </w:tr>
      <w:tr w:rsidR="005D1586" w:rsidRPr="00821F5D" w:rsidTr="006119D1">
        <w:trPr>
          <w:trHeight w:val="58"/>
        </w:trPr>
        <w:tc>
          <w:tcPr>
            <w:tcW w:w="5284" w:type="dxa"/>
            <w:shd w:val="clear" w:color="auto" w:fill="auto"/>
            <w:vAlign w:val="bottom"/>
          </w:tcPr>
          <w:p w:rsidR="005D1586" w:rsidRDefault="005D1586" w:rsidP="005D1586">
            <w:pPr>
              <w:rPr>
                <w:rFonts w:ascii="Calibri" w:hAnsi="Calibri" w:cs="Calibri"/>
                <w:color w:val="000000"/>
              </w:rPr>
            </w:pPr>
            <w:r>
              <w:rPr>
                <w:rFonts w:ascii="Calibri" w:hAnsi="Calibri" w:cs="Calibri"/>
                <w:color w:val="000000"/>
              </w:rPr>
              <w:t>Starkem 600 WG 1 kg - Ecoguard</w:t>
            </w:r>
          </w:p>
        </w:tc>
        <w:tc>
          <w:tcPr>
            <w:tcW w:w="1923" w:type="dxa"/>
            <w:shd w:val="clear" w:color="auto" w:fill="auto"/>
            <w:vAlign w:val="bottom"/>
          </w:tcPr>
          <w:p w:rsidR="005D1586" w:rsidRDefault="005D1586" w:rsidP="005D1586">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5D1586" w:rsidRDefault="005D1586" w:rsidP="005D1586">
            <w:pPr>
              <w:rPr>
                <w:rFonts w:ascii="Calibri" w:hAnsi="Calibri" w:cs="Calibri"/>
                <w:color w:val="000000"/>
              </w:rPr>
            </w:pPr>
            <w:r>
              <w:rPr>
                <w:rFonts w:ascii="Calibri" w:hAnsi="Calibri" w:cs="Calibri"/>
                <w:color w:val="000000"/>
              </w:rPr>
              <w:t>EA</w:t>
            </w:r>
          </w:p>
        </w:tc>
      </w:tr>
      <w:tr w:rsidR="005D1586" w:rsidRPr="00821F5D" w:rsidTr="006119D1">
        <w:trPr>
          <w:trHeight w:val="58"/>
        </w:trPr>
        <w:tc>
          <w:tcPr>
            <w:tcW w:w="5284" w:type="dxa"/>
            <w:shd w:val="clear" w:color="auto" w:fill="auto"/>
            <w:vAlign w:val="bottom"/>
          </w:tcPr>
          <w:p w:rsidR="005D1586" w:rsidRDefault="005D1586" w:rsidP="005D1586">
            <w:pPr>
              <w:rPr>
                <w:rFonts w:ascii="Calibri" w:hAnsi="Calibri" w:cs="Calibri"/>
                <w:color w:val="000000"/>
              </w:rPr>
            </w:pPr>
            <w:r>
              <w:rPr>
                <w:rFonts w:ascii="Calibri" w:hAnsi="Calibri" w:cs="Calibri"/>
                <w:color w:val="000000"/>
              </w:rPr>
              <w:t>Hatchet 100 5 litre - Aryst Life Science</w:t>
            </w:r>
          </w:p>
        </w:tc>
        <w:tc>
          <w:tcPr>
            <w:tcW w:w="1923" w:type="dxa"/>
            <w:shd w:val="clear" w:color="auto" w:fill="auto"/>
            <w:vAlign w:val="bottom"/>
          </w:tcPr>
          <w:p w:rsidR="005D1586" w:rsidRDefault="005D1586" w:rsidP="005D1586">
            <w:pPr>
              <w:jc w:val="right"/>
              <w:rPr>
                <w:rFonts w:ascii="Calibri" w:hAnsi="Calibri" w:cs="Calibri"/>
                <w:color w:val="000000"/>
              </w:rPr>
            </w:pPr>
            <w:r>
              <w:rPr>
                <w:rFonts w:ascii="Calibri" w:hAnsi="Calibri" w:cs="Calibri"/>
                <w:color w:val="000000"/>
              </w:rPr>
              <w:t>1.00</w:t>
            </w:r>
          </w:p>
        </w:tc>
        <w:tc>
          <w:tcPr>
            <w:tcW w:w="1809" w:type="dxa"/>
            <w:shd w:val="clear" w:color="auto" w:fill="auto"/>
            <w:vAlign w:val="bottom"/>
          </w:tcPr>
          <w:p w:rsidR="005D1586" w:rsidRDefault="005D1586" w:rsidP="005D1586">
            <w:pPr>
              <w:rPr>
                <w:rFonts w:ascii="Calibri" w:hAnsi="Calibri" w:cs="Calibri"/>
                <w:color w:val="000000"/>
              </w:rPr>
            </w:pPr>
            <w:r>
              <w:rPr>
                <w:rFonts w:ascii="Calibri" w:hAnsi="Calibri" w:cs="Calibri"/>
                <w:color w:val="000000"/>
              </w:rPr>
              <w:t>EA</w:t>
            </w:r>
          </w:p>
        </w:tc>
      </w:tr>
      <w:tr w:rsidR="005D1586" w:rsidRPr="00821F5D" w:rsidTr="006119D1">
        <w:trPr>
          <w:trHeight w:val="58"/>
        </w:trPr>
        <w:tc>
          <w:tcPr>
            <w:tcW w:w="5284" w:type="dxa"/>
            <w:shd w:val="clear" w:color="auto" w:fill="auto"/>
            <w:vAlign w:val="bottom"/>
          </w:tcPr>
          <w:p w:rsidR="005D1586" w:rsidRDefault="005D1586" w:rsidP="005D1586">
            <w:pPr>
              <w:rPr>
                <w:rFonts w:ascii="Calibri" w:hAnsi="Calibri" w:cs="Calibri"/>
                <w:color w:val="000000"/>
              </w:rPr>
            </w:pPr>
            <w:r>
              <w:rPr>
                <w:rFonts w:ascii="Calibri" w:hAnsi="Calibri" w:cs="Calibri"/>
                <w:color w:val="000000"/>
              </w:rPr>
              <w:t>Sporekill 1 litre - ICA International Chemicals</w:t>
            </w:r>
          </w:p>
        </w:tc>
        <w:tc>
          <w:tcPr>
            <w:tcW w:w="1923" w:type="dxa"/>
            <w:shd w:val="clear" w:color="auto" w:fill="auto"/>
            <w:vAlign w:val="bottom"/>
          </w:tcPr>
          <w:p w:rsidR="005D1586" w:rsidRDefault="005D1586" w:rsidP="005D1586">
            <w:pPr>
              <w:jc w:val="right"/>
              <w:rPr>
                <w:rFonts w:ascii="Calibri" w:hAnsi="Calibri" w:cs="Calibri"/>
                <w:color w:val="000000"/>
              </w:rPr>
            </w:pPr>
            <w:r>
              <w:rPr>
                <w:rFonts w:ascii="Calibri" w:hAnsi="Calibri" w:cs="Calibri"/>
                <w:color w:val="000000"/>
              </w:rPr>
              <w:t>2.00</w:t>
            </w:r>
          </w:p>
        </w:tc>
        <w:tc>
          <w:tcPr>
            <w:tcW w:w="1809" w:type="dxa"/>
            <w:shd w:val="clear" w:color="auto" w:fill="auto"/>
            <w:vAlign w:val="bottom"/>
          </w:tcPr>
          <w:p w:rsidR="005D1586" w:rsidRDefault="005D1586" w:rsidP="005D1586">
            <w:pPr>
              <w:rPr>
                <w:rFonts w:ascii="Calibri" w:hAnsi="Calibri" w:cs="Calibri"/>
                <w:color w:val="000000"/>
              </w:rPr>
            </w:pPr>
            <w:r>
              <w:rPr>
                <w:rFonts w:ascii="Calibri" w:hAnsi="Calibri" w:cs="Calibri"/>
                <w:color w:val="000000"/>
              </w:rPr>
              <w:t>EA</w:t>
            </w:r>
          </w:p>
        </w:tc>
      </w:tr>
      <w:tr w:rsidR="00710234" w:rsidRPr="00821F5D" w:rsidTr="00710234">
        <w:trPr>
          <w:trHeight w:val="58"/>
        </w:trPr>
        <w:tc>
          <w:tcPr>
            <w:tcW w:w="5284" w:type="dxa"/>
            <w:shd w:val="clear" w:color="auto" w:fill="BFBFBF" w:themeFill="background1" w:themeFillShade="BF"/>
            <w:vAlign w:val="bottom"/>
          </w:tcPr>
          <w:p w:rsidR="00710234" w:rsidRPr="006A237B" w:rsidRDefault="00710234" w:rsidP="00710234">
            <w:pPr>
              <w:rPr>
                <w:rFonts w:asciiTheme="minorHAnsi" w:hAnsiTheme="minorHAnsi" w:cstheme="minorHAnsi"/>
                <w:color w:val="000000"/>
                <w:sz w:val="24"/>
                <w:szCs w:val="24"/>
              </w:rPr>
            </w:pPr>
          </w:p>
        </w:tc>
        <w:tc>
          <w:tcPr>
            <w:tcW w:w="1923" w:type="dxa"/>
            <w:shd w:val="clear" w:color="auto" w:fill="BFBFBF" w:themeFill="background1" w:themeFillShade="BF"/>
            <w:vAlign w:val="center"/>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BFBFBF" w:themeFill="background1" w:themeFillShade="BF"/>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r>
      <w:tr w:rsidR="00710234" w:rsidRPr="00821F5D" w:rsidTr="00710234">
        <w:trPr>
          <w:trHeight w:val="58"/>
        </w:trPr>
        <w:tc>
          <w:tcPr>
            <w:tcW w:w="5284" w:type="dxa"/>
            <w:shd w:val="clear" w:color="auto" w:fill="auto"/>
            <w:vAlign w:val="bottom"/>
          </w:tcPr>
          <w:p w:rsidR="00710234" w:rsidRPr="006A237B" w:rsidRDefault="00710234" w:rsidP="00710234">
            <w:pPr>
              <w:rPr>
                <w:rFonts w:asciiTheme="minorHAnsi" w:hAnsiTheme="minorHAnsi" w:cstheme="minorHAnsi"/>
                <w:b/>
                <w:color w:val="000000"/>
                <w:sz w:val="24"/>
                <w:szCs w:val="24"/>
              </w:rPr>
            </w:pPr>
          </w:p>
        </w:tc>
        <w:tc>
          <w:tcPr>
            <w:tcW w:w="1923" w:type="dxa"/>
            <w:shd w:val="clear" w:color="auto" w:fill="auto"/>
            <w:vAlign w:val="center"/>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auto"/>
          </w:tcPr>
          <w:p w:rsidR="00710234" w:rsidRPr="006A237B" w:rsidRDefault="00710234" w:rsidP="00710234">
            <w:pPr>
              <w:spacing w:after="0" w:line="240" w:lineRule="auto"/>
              <w:jc w:val="center"/>
              <w:rPr>
                <w:rFonts w:asciiTheme="minorHAnsi" w:eastAsia="Times New Roman" w:hAnsiTheme="minorHAnsi" w:cstheme="minorHAnsi"/>
                <w:sz w:val="24"/>
                <w:szCs w:val="24"/>
                <w:lang w:val="en-GB" w:eastAsia="en-GB"/>
              </w:rPr>
            </w:pPr>
          </w:p>
        </w:tc>
      </w:tr>
      <w:tr w:rsidR="006A237B" w:rsidRPr="00821F5D" w:rsidTr="00710234">
        <w:trPr>
          <w:trHeight w:val="58"/>
        </w:trPr>
        <w:tc>
          <w:tcPr>
            <w:tcW w:w="5284" w:type="dxa"/>
            <w:shd w:val="clear" w:color="auto" w:fill="auto"/>
            <w:vAlign w:val="bottom"/>
          </w:tcPr>
          <w:p w:rsidR="006A237B" w:rsidRPr="006A237B" w:rsidRDefault="006A237B" w:rsidP="006A237B">
            <w:pPr>
              <w:rPr>
                <w:rFonts w:asciiTheme="minorHAnsi" w:hAnsiTheme="minorHAnsi" w:cstheme="minorHAnsi"/>
                <w:color w:val="000000"/>
                <w:sz w:val="24"/>
                <w:szCs w:val="24"/>
              </w:rPr>
            </w:pPr>
          </w:p>
        </w:tc>
        <w:tc>
          <w:tcPr>
            <w:tcW w:w="1923" w:type="dxa"/>
            <w:shd w:val="clear" w:color="auto" w:fill="auto"/>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auto"/>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r>
      <w:tr w:rsidR="006A237B" w:rsidRPr="00821F5D" w:rsidTr="00710234">
        <w:trPr>
          <w:trHeight w:val="58"/>
        </w:trPr>
        <w:tc>
          <w:tcPr>
            <w:tcW w:w="5284" w:type="dxa"/>
            <w:shd w:val="clear" w:color="auto" w:fill="auto"/>
            <w:vAlign w:val="bottom"/>
          </w:tcPr>
          <w:p w:rsidR="006A237B" w:rsidRPr="006A237B" w:rsidRDefault="006A237B" w:rsidP="00710234">
            <w:pPr>
              <w:rPr>
                <w:rFonts w:asciiTheme="minorHAnsi" w:hAnsiTheme="minorHAnsi" w:cstheme="minorHAnsi"/>
                <w:color w:val="000000"/>
                <w:sz w:val="24"/>
                <w:szCs w:val="24"/>
              </w:rPr>
            </w:pPr>
          </w:p>
        </w:tc>
        <w:tc>
          <w:tcPr>
            <w:tcW w:w="1923" w:type="dxa"/>
            <w:shd w:val="clear" w:color="auto" w:fill="auto"/>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auto"/>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r>
      <w:tr w:rsidR="006A237B" w:rsidRPr="00821F5D" w:rsidTr="00710234">
        <w:trPr>
          <w:trHeight w:val="58"/>
        </w:trPr>
        <w:tc>
          <w:tcPr>
            <w:tcW w:w="5284" w:type="dxa"/>
            <w:shd w:val="clear" w:color="auto" w:fill="auto"/>
            <w:vAlign w:val="bottom"/>
          </w:tcPr>
          <w:p w:rsidR="006A237B" w:rsidRPr="006A237B" w:rsidRDefault="006A237B" w:rsidP="00710234">
            <w:pPr>
              <w:rPr>
                <w:rFonts w:asciiTheme="minorHAnsi" w:hAnsiTheme="minorHAnsi" w:cstheme="minorHAnsi"/>
                <w:color w:val="000000"/>
                <w:sz w:val="24"/>
                <w:szCs w:val="24"/>
              </w:rPr>
            </w:pPr>
          </w:p>
        </w:tc>
        <w:tc>
          <w:tcPr>
            <w:tcW w:w="1923" w:type="dxa"/>
            <w:shd w:val="clear" w:color="auto" w:fill="auto"/>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auto"/>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r>
      <w:tr w:rsidR="006A237B" w:rsidRPr="00821F5D" w:rsidTr="006A237B">
        <w:trPr>
          <w:trHeight w:val="58"/>
        </w:trPr>
        <w:tc>
          <w:tcPr>
            <w:tcW w:w="5284" w:type="dxa"/>
            <w:shd w:val="clear" w:color="auto" w:fill="A6A6A6" w:themeFill="background1" w:themeFillShade="A6"/>
            <w:vAlign w:val="bottom"/>
          </w:tcPr>
          <w:p w:rsidR="006A237B" w:rsidRPr="006A237B" w:rsidRDefault="006A237B" w:rsidP="00710234">
            <w:pPr>
              <w:rPr>
                <w:rFonts w:asciiTheme="minorHAnsi" w:hAnsiTheme="minorHAnsi" w:cstheme="minorHAnsi"/>
                <w:color w:val="000000"/>
                <w:sz w:val="24"/>
                <w:szCs w:val="24"/>
              </w:rPr>
            </w:pPr>
          </w:p>
        </w:tc>
        <w:tc>
          <w:tcPr>
            <w:tcW w:w="1923" w:type="dxa"/>
            <w:shd w:val="clear" w:color="auto" w:fill="A6A6A6" w:themeFill="background1" w:themeFillShade="A6"/>
            <w:vAlign w:val="center"/>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c>
          <w:tcPr>
            <w:tcW w:w="1809" w:type="dxa"/>
            <w:shd w:val="clear" w:color="auto" w:fill="A6A6A6" w:themeFill="background1" w:themeFillShade="A6"/>
          </w:tcPr>
          <w:p w:rsidR="006A237B" w:rsidRPr="006A237B" w:rsidRDefault="006A237B" w:rsidP="00710234">
            <w:pPr>
              <w:spacing w:after="0" w:line="240" w:lineRule="auto"/>
              <w:jc w:val="center"/>
              <w:rPr>
                <w:rFonts w:asciiTheme="minorHAnsi" w:eastAsia="Times New Roman" w:hAnsiTheme="minorHAnsi" w:cstheme="minorHAnsi"/>
                <w:sz w:val="24"/>
                <w:szCs w:val="24"/>
                <w:lang w:val="en-GB" w:eastAsia="en-GB"/>
              </w:rPr>
            </w:pPr>
          </w:p>
        </w:tc>
      </w:tr>
    </w:tbl>
    <w:p w:rsidR="005168F2" w:rsidRDefault="005168F2" w:rsidP="00AA4801">
      <w:pPr>
        <w:spacing w:after="0"/>
        <w:ind w:left="4536"/>
        <w:rPr>
          <w:rFonts w:cs="Arial"/>
        </w:rPr>
      </w:pPr>
    </w:p>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lastRenderedPageBreak/>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lastRenderedPageBreak/>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w:t>
      </w:r>
      <w:r w:rsidRPr="001A7082">
        <w:rPr>
          <w:rFonts w:eastAsia="Times New Roman" w:cs="Arial"/>
          <w:b/>
          <w:snapToGrid w:val="0"/>
          <w:lang w:val="en-GB"/>
        </w:rPr>
        <w:lastRenderedPageBreak/>
        <w:t xml:space="preserve">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w:t>
      </w:r>
      <w:r w:rsidRPr="001A7082">
        <w:rPr>
          <w:rFonts w:eastAsia="Times New Roman" w:cs="Arial"/>
          <w:snapToGrid w:val="0"/>
          <w:lang w:val="en-US"/>
        </w:rPr>
        <w:lastRenderedPageBreak/>
        <w:t xml:space="preserve">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lastRenderedPageBreak/>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8E2BB1" w:rsidRDefault="008E2BB1" w:rsidP="00A87123">
                            <w:pPr>
                              <w:jc w:val="center"/>
                              <w:rPr>
                                <w:rFonts w:cs="Arial"/>
                                <w:sz w:val="18"/>
                                <w:szCs w:val="18"/>
                              </w:rPr>
                            </w:pPr>
                          </w:p>
                          <w:p w:rsidR="008E2BB1" w:rsidRPr="00585866" w:rsidRDefault="008E2BB1" w:rsidP="00A87123">
                            <w:pPr>
                              <w:jc w:val="center"/>
                              <w:rPr>
                                <w:rFonts w:cs="Arial"/>
                                <w:sz w:val="18"/>
                                <w:szCs w:val="18"/>
                              </w:rPr>
                            </w:pPr>
                            <w:r w:rsidRPr="00585866">
                              <w:rPr>
                                <w:rFonts w:cs="Arial"/>
                                <w:sz w:val="18"/>
                                <w:szCs w:val="18"/>
                              </w:rPr>
                              <w:t>……………………………………….</w:t>
                            </w:r>
                          </w:p>
                          <w:p w:rsidR="008E2BB1" w:rsidRPr="00B715D9" w:rsidRDefault="008E2BB1" w:rsidP="00A87123">
                            <w:pPr>
                              <w:jc w:val="center"/>
                              <w:rPr>
                                <w:rFonts w:cs="Arial"/>
                                <w:b/>
                                <w:sz w:val="18"/>
                                <w:szCs w:val="18"/>
                              </w:rPr>
                            </w:pPr>
                            <w:r w:rsidRPr="00B715D9">
                              <w:rPr>
                                <w:rFonts w:cs="Arial"/>
                                <w:b/>
                                <w:sz w:val="18"/>
                                <w:szCs w:val="18"/>
                              </w:rPr>
                              <w:t>SIGNATURE(S) OF TENDERER(S)</w:t>
                            </w:r>
                          </w:p>
                          <w:p w:rsidR="008E2BB1" w:rsidRDefault="008E2BB1" w:rsidP="00A87123">
                            <w:pPr>
                              <w:rPr>
                                <w:rFonts w:cs="Arial"/>
                                <w:sz w:val="18"/>
                                <w:szCs w:val="18"/>
                              </w:rPr>
                            </w:pPr>
                          </w:p>
                          <w:p w:rsidR="008E2BB1" w:rsidRPr="00585866" w:rsidRDefault="008E2BB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E2BB1" w:rsidRPr="00585866" w:rsidRDefault="008E2BB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Default="008E2BB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tabs>
                                <w:tab w:val="left" w:pos="1080"/>
                              </w:tabs>
                              <w:ind w:left="1080"/>
                              <w:rPr>
                                <w:rFonts w:cs="Arial"/>
                                <w:sz w:val="18"/>
                                <w:szCs w:val="18"/>
                              </w:rPr>
                            </w:pPr>
                            <w:r>
                              <w:rPr>
                                <w:rFonts w:cs="Arial"/>
                                <w:sz w:val="18"/>
                                <w:szCs w:val="18"/>
                              </w:rPr>
                              <w:tab/>
                            </w:r>
                            <w:r>
                              <w:rPr>
                                <w:rFonts w:cs="Arial"/>
                                <w:sz w:val="18"/>
                                <w:szCs w:val="18"/>
                              </w:rPr>
                              <w:tab/>
                              <w:t>………………………………………………………</w:t>
                            </w:r>
                          </w:p>
                          <w:p w:rsidR="008E2BB1" w:rsidRDefault="008E2BB1"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8E2BB1" w:rsidRDefault="008E2BB1" w:rsidP="00A87123">
                      <w:pPr>
                        <w:jc w:val="center"/>
                        <w:rPr>
                          <w:rFonts w:cs="Arial"/>
                          <w:sz w:val="18"/>
                          <w:szCs w:val="18"/>
                        </w:rPr>
                      </w:pPr>
                    </w:p>
                    <w:p w:rsidR="008E2BB1" w:rsidRPr="00585866" w:rsidRDefault="008E2BB1" w:rsidP="00A87123">
                      <w:pPr>
                        <w:jc w:val="center"/>
                        <w:rPr>
                          <w:rFonts w:cs="Arial"/>
                          <w:sz w:val="18"/>
                          <w:szCs w:val="18"/>
                        </w:rPr>
                      </w:pPr>
                      <w:r w:rsidRPr="00585866">
                        <w:rPr>
                          <w:rFonts w:cs="Arial"/>
                          <w:sz w:val="18"/>
                          <w:szCs w:val="18"/>
                        </w:rPr>
                        <w:t>……………………………………….</w:t>
                      </w:r>
                    </w:p>
                    <w:p w:rsidR="008E2BB1" w:rsidRPr="00B715D9" w:rsidRDefault="008E2BB1" w:rsidP="00A87123">
                      <w:pPr>
                        <w:jc w:val="center"/>
                        <w:rPr>
                          <w:rFonts w:cs="Arial"/>
                          <w:b/>
                          <w:sz w:val="18"/>
                          <w:szCs w:val="18"/>
                        </w:rPr>
                      </w:pPr>
                      <w:r w:rsidRPr="00B715D9">
                        <w:rPr>
                          <w:rFonts w:cs="Arial"/>
                          <w:b/>
                          <w:sz w:val="18"/>
                          <w:szCs w:val="18"/>
                        </w:rPr>
                        <w:t>SIGNATURE(S) OF TENDERER(S)</w:t>
                      </w:r>
                    </w:p>
                    <w:p w:rsidR="008E2BB1" w:rsidRDefault="008E2BB1" w:rsidP="00A87123">
                      <w:pPr>
                        <w:rPr>
                          <w:rFonts w:cs="Arial"/>
                          <w:sz w:val="18"/>
                          <w:szCs w:val="18"/>
                        </w:rPr>
                      </w:pPr>
                    </w:p>
                    <w:p w:rsidR="008E2BB1" w:rsidRPr="00585866" w:rsidRDefault="008E2BB1"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8E2BB1" w:rsidRPr="00585866" w:rsidRDefault="008E2BB1"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Default="008E2BB1"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8E2BB1" w:rsidRPr="00585866" w:rsidRDefault="008E2BB1" w:rsidP="00A87123">
                      <w:pPr>
                        <w:tabs>
                          <w:tab w:val="left" w:pos="1080"/>
                        </w:tabs>
                        <w:ind w:left="1080"/>
                        <w:rPr>
                          <w:rFonts w:cs="Arial"/>
                          <w:sz w:val="18"/>
                          <w:szCs w:val="18"/>
                        </w:rPr>
                      </w:pPr>
                      <w:r>
                        <w:rPr>
                          <w:rFonts w:cs="Arial"/>
                          <w:sz w:val="18"/>
                          <w:szCs w:val="18"/>
                        </w:rPr>
                        <w:tab/>
                      </w:r>
                      <w:r>
                        <w:rPr>
                          <w:rFonts w:cs="Arial"/>
                          <w:sz w:val="18"/>
                          <w:szCs w:val="18"/>
                        </w:rPr>
                        <w:tab/>
                        <w:t>………………………………………………………</w:t>
                      </w:r>
                    </w:p>
                    <w:p w:rsidR="008E2BB1" w:rsidRDefault="008E2BB1"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lastRenderedPageBreak/>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lastRenderedPageBreak/>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BB1" w:rsidRDefault="008E2BB1" w:rsidP="00C65D95">
      <w:pPr>
        <w:spacing w:after="0" w:line="240" w:lineRule="auto"/>
      </w:pPr>
      <w:r>
        <w:separator/>
      </w:r>
    </w:p>
  </w:endnote>
  <w:endnote w:type="continuationSeparator" w:id="0">
    <w:p w:rsidR="008E2BB1" w:rsidRDefault="008E2BB1"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Content>
      <w:sdt>
        <w:sdtPr>
          <w:id w:val="-969050027"/>
          <w:docPartObj>
            <w:docPartGallery w:val="Page Numbers (Top of Page)"/>
            <w:docPartUnique/>
          </w:docPartObj>
        </w:sdtPr>
        <w:sdtContent>
          <w:p w:rsidR="008E2BB1" w:rsidRDefault="008E2BB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3D612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6127">
              <w:rPr>
                <w:b/>
                <w:bCs/>
                <w:noProof/>
              </w:rPr>
              <w:t>14</w:t>
            </w:r>
            <w:r>
              <w:rPr>
                <w:b/>
                <w:bCs/>
                <w:sz w:val="24"/>
                <w:szCs w:val="24"/>
              </w:rPr>
              <w:fldChar w:fldCharType="end"/>
            </w:r>
          </w:p>
        </w:sdtContent>
      </w:sdt>
    </w:sdtContent>
  </w:sdt>
  <w:p w:rsidR="008E2BB1" w:rsidRDefault="008E2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BB1" w:rsidRDefault="008E2BB1" w:rsidP="00C65D95">
      <w:pPr>
        <w:spacing w:after="0" w:line="240" w:lineRule="auto"/>
      </w:pPr>
      <w:r>
        <w:separator/>
      </w:r>
    </w:p>
  </w:footnote>
  <w:footnote w:type="continuationSeparator" w:id="0">
    <w:p w:rsidR="008E2BB1" w:rsidRDefault="008E2BB1" w:rsidP="00C65D95">
      <w:pPr>
        <w:spacing w:after="0" w:line="240" w:lineRule="auto"/>
      </w:pPr>
      <w:r>
        <w:continuationSeparator/>
      </w:r>
    </w:p>
  </w:footnote>
  <w:footnote w:id="1">
    <w:p w:rsidR="008E2BB1" w:rsidRDefault="008E2BB1"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8E2BB1" w:rsidRDefault="008E2BB1" w:rsidP="00E07E73">
      <w:pPr>
        <w:pStyle w:val="FootnoteText"/>
      </w:pPr>
    </w:p>
    <w:p w:rsidR="008E2BB1" w:rsidRDefault="008E2BB1" w:rsidP="00E07E73">
      <w:pPr>
        <w:pStyle w:val="FootnoteText"/>
      </w:pPr>
    </w:p>
  </w:footnote>
  <w:footnote w:id="2">
    <w:p w:rsidR="008E2BB1" w:rsidRPr="00612AD4" w:rsidRDefault="008E2BB1"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BB1" w:rsidRPr="00E07E73" w:rsidRDefault="008E2BB1">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5"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7"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3"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7"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7"/>
  </w:num>
  <w:num w:numId="2">
    <w:abstractNumId w:val="17"/>
  </w:num>
  <w:num w:numId="3">
    <w:abstractNumId w:val="13"/>
  </w:num>
  <w:num w:numId="4">
    <w:abstractNumId w:val="12"/>
  </w:num>
  <w:num w:numId="5">
    <w:abstractNumId w:val="1"/>
  </w:num>
  <w:num w:numId="6">
    <w:abstractNumId w:val="0"/>
  </w:num>
  <w:num w:numId="7">
    <w:abstractNumId w:val="4"/>
  </w:num>
  <w:num w:numId="8">
    <w:abstractNumId w:val="16"/>
  </w:num>
  <w:num w:numId="9">
    <w:abstractNumId w:val="8"/>
  </w:num>
  <w:num w:numId="10">
    <w:abstractNumId w:val="9"/>
  </w:num>
  <w:num w:numId="11">
    <w:abstractNumId w:val="6"/>
  </w:num>
  <w:num w:numId="12">
    <w:abstractNumId w:val="11"/>
  </w:num>
  <w:num w:numId="13">
    <w:abstractNumId w:val="10"/>
  </w:num>
  <w:num w:numId="14">
    <w:abstractNumId w:val="3"/>
  </w:num>
  <w:num w:numId="15">
    <w:abstractNumId w:val="2"/>
  </w:num>
  <w:num w:numId="16">
    <w:abstractNumId w:val="14"/>
  </w:num>
  <w:num w:numId="17">
    <w:abstractNumId w:val="15"/>
  </w:num>
  <w:num w:numId="18">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E3F"/>
    <w:rsid w:val="00087BDC"/>
    <w:rsid w:val="0009185B"/>
    <w:rsid w:val="000947C7"/>
    <w:rsid w:val="000A0CAE"/>
    <w:rsid w:val="000A303E"/>
    <w:rsid w:val="000A76A2"/>
    <w:rsid w:val="000B202B"/>
    <w:rsid w:val="000B34ED"/>
    <w:rsid w:val="000C1184"/>
    <w:rsid w:val="000C69CF"/>
    <w:rsid w:val="000C71D3"/>
    <w:rsid w:val="000D6FA9"/>
    <w:rsid w:val="000E0296"/>
    <w:rsid w:val="000E4C5D"/>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D6127"/>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97526"/>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F0"/>
    <w:rsid w:val="005C5EA4"/>
    <w:rsid w:val="005D1586"/>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72E1C"/>
    <w:rsid w:val="00674FFA"/>
    <w:rsid w:val="006829F7"/>
    <w:rsid w:val="0069239C"/>
    <w:rsid w:val="006937CE"/>
    <w:rsid w:val="006A237B"/>
    <w:rsid w:val="006A2843"/>
    <w:rsid w:val="006A7941"/>
    <w:rsid w:val="006B1195"/>
    <w:rsid w:val="006C680B"/>
    <w:rsid w:val="006D386C"/>
    <w:rsid w:val="006D5F98"/>
    <w:rsid w:val="006D7E90"/>
    <w:rsid w:val="006E1949"/>
    <w:rsid w:val="006E279D"/>
    <w:rsid w:val="006E47DD"/>
    <w:rsid w:val="006E67F7"/>
    <w:rsid w:val="006F7E17"/>
    <w:rsid w:val="00710234"/>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74B5D"/>
    <w:rsid w:val="00793BE7"/>
    <w:rsid w:val="007A1A9F"/>
    <w:rsid w:val="007B5F68"/>
    <w:rsid w:val="007B6FCE"/>
    <w:rsid w:val="007C3E8A"/>
    <w:rsid w:val="007C6E4E"/>
    <w:rsid w:val="007D1F20"/>
    <w:rsid w:val="007D3871"/>
    <w:rsid w:val="007D7845"/>
    <w:rsid w:val="007E1156"/>
    <w:rsid w:val="007E5F6E"/>
    <w:rsid w:val="007E6365"/>
    <w:rsid w:val="007E65D5"/>
    <w:rsid w:val="007F30D4"/>
    <w:rsid w:val="007F6619"/>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4554"/>
    <w:rsid w:val="008B1D76"/>
    <w:rsid w:val="008B30CB"/>
    <w:rsid w:val="008B58EC"/>
    <w:rsid w:val="008C0C38"/>
    <w:rsid w:val="008C4441"/>
    <w:rsid w:val="008C61A6"/>
    <w:rsid w:val="008D0643"/>
    <w:rsid w:val="008D4E62"/>
    <w:rsid w:val="008E0585"/>
    <w:rsid w:val="008E1A55"/>
    <w:rsid w:val="008E1C42"/>
    <w:rsid w:val="008E2BB1"/>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07AB2"/>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5232"/>
    <w:rsid w:val="00BC6E75"/>
    <w:rsid w:val="00BC7B52"/>
    <w:rsid w:val="00BE0E38"/>
    <w:rsid w:val="00BE3454"/>
    <w:rsid w:val="00BE3473"/>
    <w:rsid w:val="00BE3986"/>
    <w:rsid w:val="00BE62C2"/>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B28EB"/>
    <w:rsid w:val="00DB646C"/>
    <w:rsid w:val="00DC3696"/>
    <w:rsid w:val="00DC56AF"/>
    <w:rsid w:val="00DC7DEC"/>
    <w:rsid w:val="00DD0DBC"/>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2A8B"/>
    <w:rsid w:val="00EE33C8"/>
    <w:rsid w:val="00F11517"/>
    <w:rsid w:val="00F160F9"/>
    <w:rsid w:val="00F16C28"/>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59335"/>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EE992-A01D-4386-B1B0-DD8A48BF4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3</cp:revision>
  <cp:lastPrinted>2023-02-06T08:59:00Z</cp:lastPrinted>
  <dcterms:created xsi:type="dcterms:W3CDTF">2023-08-21T10:31:00Z</dcterms:created>
  <dcterms:modified xsi:type="dcterms:W3CDTF">2023-08-21T10:33:00Z</dcterms:modified>
</cp:coreProperties>
</file>