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2FC0D047"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30301B9" w14:textId="77777777" w:rsidR="00FC146E" w:rsidRDefault="00A072B8" w:rsidP="00750165">
      <w:pPr>
        <w:rPr>
          <w:rFonts w:ascii="Verdana" w:hAnsi="Verdana"/>
          <w:b/>
          <w:sz w:val="28"/>
          <w:szCs w:val="20"/>
        </w:rPr>
      </w:pPr>
      <w:r>
        <w:rPr>
          <w:rFonts w:ascii="Verdana" w:hAnsi="Verdana"/>
          <w:sz w:val="20"/>
        </w:rPr>
        <w:tab/>
      </w:r>
    </w:p>
    <w:p w14:paraId="1599CD32" w14:textId="3D0F592E" w:rsidR="00382D5F" w:rsidRDefault="00382D5F" w:rsidP="00382D5F">
      <w:pPr>
        <w:spacing w:after="240"/>
        <w:jc w:val="center"/>
        <w:rPr>
          <w:rFonts w:ascii="Verdana" w:hAnsi="Verdana"/>
          <w:b/>
          <w:sz w:val="20"/>
        </w:rPr>
      </w:pPr>
      <w:r>
        <w:rPr>
          <w:rFonts w:ascii="Verdana" w:hAnsi="Verdana"/>
          <w:b/>
          <w:sz w:val="20"/>
        </w:rPr>
        <w:t xml:space="preserve">REQUEST FOR </w:t>
      </w:r>
      <w:r w:rsidR="000C00CC">
        <w:rPr>
          <w:rFonts w:ascii="Verdana" w:hAnsi="Verdana"/>
          <w:b/>
          <w:sz w:val="20"/>
        </w:rPr>
        <w:t>BIDS</w:t>
      </w:r>
    </w:p>
    <w:p w14:paraId="51BE2D92" w14:textId="77777777" w:rsidR="000C00CC" w:rsidRDefault="000C00CC" w:rsidP="00382D5F">
      <w:pPr>
        <w:spacing w:after="240"/>
        <w:jc w:val="center"/>
        <w:rPr>
          <w:rFonts w:ascii="Verdana" w:hAnsi="Verdana"/>
          <w:b/>
          <w:sz w:val="20"/>
        </w:rPr>
      </w:pPr>
    </w:p>
    <w:tbl>
      <w:tblPr>
        <w:tblStyle w:val="TableGrid"/>
        <w:tblW w:w="0" w:type="auto"/>
        <w:tblLook w:val="04A0" w:firstRow="1" w:lastRow="0" w:firstColumn="1" w:lastColumn="0" w:noHBand="0" w:noVBand="1"/>
      </w:tblPr>
      <w:tblGrid>
        <w:gridCol w:w="2929"/>
        <w:gridCol w:w="7114"/>
      </w:tblGrid>
      <w:tr w:rsidR="00196178" w:rsidRPr="00196178" w14:paraId="77AE9A06" w14:textId="77777777" w:rsidTr="000C00CC">
        <w:trPr>
          <w:trHeight w:val="567"/>
        </w:trPr>
        <w:tc>
          <w:tcPr>
            <w:tcW w:w="2929" w:type="dxa"/>
            <w:vAlign w:val="center"/>
          </w:tcPr>
          <w:p w14:paraId="5C6D1674" w14:textId="0C243B52" w:rsidR="00196178" w:rsidRPr="00BD3EA9" w:rsidRDefault="00FB17DB" w:rsidP="00BD3EA9">
            <w:pPr>
              <w:pStyle w:val="NoSpacing"/>
              <w:rPr>
                <w:b/>
              </w:rPr>
            </w:pPr>
            <w:r w:rsidRPr="00931551">
              <w:rPr>
                <w:b/>
              </w:rPr>
              <w:t>RF</w:t>
            </w:r>
            <w:r w:rsidR="000C00CC">
              <w:rPr>
                <w:b/>
              </w:rPr>
              <w:t>B</w:t>
            </w:r>
            <w:r w:rsidRPr="00931551">
              <w:rPr>
                <w:b/>
              </w:rPr>
              <w:t xml:space="preserve"> Ref. No:</w:t>
            </w:r>
          </w:p>
        </w:tc>
        <w:tc>
          <w:tcPr>
            <w:tcW w:w="7114" w:type="dxa"/>
            <w:vAlign w:val="center"/>
          </w:tcPr>
          <w:p w14:paraId="60033FAC" w14:textId="44F39FD3" w:rsidR="00196178" w:rsidRPr="00FB17DB" w:rsidRDefault="002A696A" w:rsidP="00BD3EA9">
            <w:pPr>
              <w:pStyle w:val="NoSpacing"/>
              <w:rPr>
                <w:rFonts w:cs="Calibri"/>
              </w:rPr>
            </w:pPr>
            <w:r w:rsidRPr="002A696A">
              <w:rPr>
                <w:rFonts w:cs="Calibri"/>
                <w:b/>
              </w:rPr>
              <w:t>RF</w:t>
            </w:r>
            <w:r w:rsidR="000C00CC">
              <w:rPr>
                <w:rFonts w:cs="Calibri"/>
                <w:b/>
              </w:rPr>
              <w:t>B 2548-2021</w:t>
            </w:r>
          </w:p>
        </w:tc>
      </w:tr>
      <w:tr w:rsidR="00196178" w:rsidRPr="00196178" w14:paraId="2F294B8B" w14:textId="77777777" w:rsidTr="000C00CC">
        <w:trPr>
          <w:trHeight w:val="567"/>
        </w:trPr>
        <w:tc>
          <w:tcPr>
            <w:tcW w:w="2929" w:type="dxa"/>
            <w:vAlign w:val="center"/>
          </w:tcPr>
          <w:p w14:paraId="0057D1A5" w14:textId="77777777" w:rsidR="00196178" w:rsidRPr="00BD3EA9" w:rsidRDefault="00196178" w:rsidP="00BD3EA9">
            <w:pPr>
              <w:pStyle w:val="NoSpacing"/>
              <w:rPr>
                <w:b/>
              </w:rPr>
            </w:pPr>
            <w:r w:rsidRPr="00BD3EA9">
              <w:rPr>
                <w:b/>
              </w:rPr>
              <w:t>Description</w:t>
            </w:r>
          </w:p>
        </w:tc>
        <w:tc>
          <w:tcPr>
            <w:tcW w:w="7114" w:type="dxa"/>
            <w:vAlign w:val="center"/>
          </w:tcPr>
          <w:p w14:paraId="0BED7189" w14:textId="094C6317" w:rsidR="00FC146E" w:rsidRPr="00C308BD" w:rsidRDefault="000C00CC" w:rsidP="00FB17DB">
            <w:pPr>
              <w:pStyle w:val="NoSpacing"/>
              <w:rPr>
                <w:rFonts w:cs="Calibri"/>
              </w:rPr>
            </w:pPr>
            <w:r w:rsidRPr="000C00CC">
              <w:rPr>
                <w:rFonts w:cs="Calibri"/>
                <w:b/>
                <w:bCs/>
                <w:lang w:val="en-ZA"/>
              </w:rPr>
              <w:t>INSTALLATIONS, CONFIGURATION, MAINTENANCE AND SUPPORT OF CALL MANAGER CISCO BUSINESS EDITION 6000M FOR LIMPOPO DEPARTMENT OF AGRICULTURE AND RURAL DEVELOPMENT (LDARD) FOR A PERIOD OF THREE YEARS</w:t>
            </w:r>
            <w:bookmarkStart w:id="0" w:name="_GoBack"/>
            <w:bookmarkEnd w:id="0"/>
            <w:r w:rsidR="002A696A" w:rsidRPr="00C308BD">
              <w:rPr>
                <w:rFonts w:cs="Calibri"/>
                <w:b/>
                <w:bCs/>
              </w:rPr>
              <w:t>.</w:t>
            </w:r>
          </w:p>
        </w:tc>
      </w:tr>
      <w:tr w:rsidR="00FC146E" w:rsidRPr="00196178" w14:paraId="35DA4D58" w14:textId="77777777" w:rsidTr="000C00CC">
        <w:trPr>
          <w:trHeight w:val="567"/>
        </w:trPr>
        <w:tc>
          <w:tcPr>
            <w:tcW w:w="2929" w:type="dxa"/>
            <w:vAlign w:val="center"/>
          </w:tcPr>
          <w:p w14:paraId="5E43E4DE" w14:textId="422CC481" w:rsidR="00FC146E" w:rsidRPr="00BD3EA9" w:rsidRDefault="00FB17DB" w:rsidP="00BD3EA9">
            <w:pPr>
              <w:pStyle w:val="NoSpacing"/>
              <w:rPr>
                <w:b/>
              </w:rPr>
            </w:pPr>
            <w:r w:rsidRPr="00931551">
              <w:rPr>
                <w:b/>
              </w:rPr>
              <w:t>Vendor Briefing Session</w:t>
            </w:r>
          </w:p>
        </w:tc>
        <w:tc>
          <w:tcPr>
            <w:tcW w:w="7114" w:type="dxa"/>
            <w:vAlign w:val="bottom"/>
          </w:tcPr>
          <w:p w14:paraId="63079B36" w14:textId="40D5F7EA" w:rsidR="00FC146E" w:rsidRPr="00FB17DB" w:rsidRDefault="00FB17DB" w:rsidP="00FB17DB">
            <w:pPr>
              <w:tabs>
                <w:tab w:val="left" w:pos="720"/>
                <w:tab w:val="left" w:pos="1944"/>
                <w:tab w:val="left" w:pos="3384"/>
                <w:tab w:val="left" w:pos="3744"/>
                <w:tab w:val="left" w:pos="4644"/>
                <w:tab w:val="left" w:pos="5760"/>
                <w:tab w:val="left" w:pos="7920"/>
              </w:tabs>
              <w:spacing w:after="240" w:line="276" w:lineRule="auto"/>
              <w:rPr>
                <w:rFonts w:ascii="Calibri" w:hAnsi="Calibri" w:cs="Calibri"/>
                <w:b/>
                <w:color w:val="FF0000"/>
              </w:rPr>
            </w:pPr>
            <w:r w:rsidRPr="00FB17DB">
              <w:rPr>
                <w:rFonts w:ascii="Calibri" w:hAnsi="Calibri" w:cs="Calibri"/>
                <w:b/>
                <w:color w:val="FF0000"/>
              </w:rPr>
              <w:t>No Compulsory Vendor Briefing Session will be held</w:t>
            </w:r>
          </w:p>
        </w:tc>
      </w:tr>
      <w:tr w:rsidR="00C40F55" w:rsidRPr="00196178" w14:paraId="3980C8C3" w14:textId="77777777" w:rsidTr="000C00CC">
        <w:trPr>
          <w:trHeight w:val="567"/>
        </w:trPr>
        <w:tc>
          <w:tcPr>
            <w:tcW w:w="2929" w:type="dxa"/>
            <w:vAlign w:val="center"/>
          </w:tcPr>
          <w:p w14:paraId="12D603EF" w14:textId="4365FA8D" w:rsidR="00C40F55" w:rsidRPr="00BD3EA9" w:rsidRDefault="00FB17DB" w:rsidP="00BD3EA9">
            <w:pPr>
              <w:pStyle w:val="NoSpacing"/>
              <w:rPr>
                <w:b/>
              </w:rPr>
            </w:pPr>
            <w:r w:rsidRPr="00931551">
              <w:rPr>
                <w:b/>
              </w:rPr>
              <w:t>Closing Date for questions / queries</w:t>
            </w:r>
          </w:p>
        </w:tc>
        <w:tc>
          <w:tcPr>
            <w:tcW w:w="7114" w:type="dxa"/>
            <w:vAlign w:val="center"/>
          </w:tcPr>
          <w:p w14:paraId="3761AEEF" w14:textId="331143D2" w:rsidR="00C40F55" w:rsidRPr="00FB17DB" w:rsidRDefault="000C00CC" w:rsidP="00BD3EA9">
            <w:pPr>
              <w:pStyle w:val="NoSpacing"/>
              <w:rPr>
                <w:rFonts w:cs="Calibri"/>
                <w:b/>
                <w:color w:val="FF0000"/>
              </w:rPr>
            </w:pPr>
            <w:r>
              <w:rPr>
                <w:rFonts w:cs="Calibri"/>
                <w:b/>
                <w:color w:val="FF0000"/>
              </w:rPr>
              <w:t>25</w:t>
            </w:r>
            <w:r w:rsidR="00FB17DB" w:rsidRPr="00FB17DB">
              <w:rPr>
                <w:rFonts w:cs="Calibri"/>
                <w:b/>
                <w:color w:val="FF0000"/>
              </w:rPr>
              <w:t xml:space="preserve"> </w:t>
            </w:r>
            <w:r>
              <w:rPr>
                <w:rFonts w:cs="Calibri"/>
                <w:b/>
                <w:color w:val="FF0000"/>
              </w:rPr>
              <w:t>February</w:t>
            </w:r>
            <w:r w:rsidR="00FB17DB" w:rsidRPr="00FB17DB">
              <w:rPr>
                <w:rFonts w:cs="Calibri"/>
                <w:b/>
                <w:color w:val="FF0000"/>
              </w:rPr>
              <w:t xml:space="preserve"> 202</w:t>
            </w:r>
            <w:r>
              <w:rPr>
                <w:rFonts w:cs="Calibri"/>
                <w:b/>
                <w:color w:val="FF0000"/>
              </w:rPr>
              <w:t>2</w:t>
            </w:r>
          </w:p>
        </w:tc>
      </w:tr>
      <w:tr w:rsidR="00196178" w:rsidRPr="00196178" w14:paraId="64C76B3B" w14:textId="77777777" w:rsidTr="000C00CC">
        <w:trPr>
          <w:trHeight w:val="567"/>
        </w:trPr>
        <w:tc>
          <w:tcPr>
            <w:tcW w:w="2929" w:type="dxa"/>
            <w:vAlign w:val="center"/>
          </w:tcPr>
          <w:p w14:paraId="1CA2B4B0" w14:textId="76B4531F" w:rsidR="00196178" w:rsidRPr="00BD3EA9" w:rsidRDefault="00FB62A7" w:rsidP="00BD3EA9">
            <w:pPr>
              <w:pStyle w:val="NoSpacing"/>
              <w:rPr>
                <w:b/>
              </w:rPr>
            </w:pPr>
            <w:r>
              <w:rPr>
                <w:b/>
              </w:rPr>
              <w:t>RF</w:t>
            </w:r>
            <w:r w:rsidR="000C00CC">
              <w:rPr>
                <w:b/>
              </w:rPr>
              <w:t>B</w:t>
            </w:r>
            <w:r w:rsidR="00FC146E" w:rsidRPr="00BD3EA9">
              <w:rPr>
                <w:b/>
              </w:rPr>
              <w:t xml:space="preserve"> </w:t>
            </w:r>
            <w:r w:rsidR="00196178" w:rsidRPr="00BD3EA9">
              <w:rPr>
                <w:b/>
              </w:rPr>
              <w:t xml:space="preserve">Closing </w:t>
            </w:r>
            <w:r w:rsidR="00FC146E" w:rsidRPr="00BD3EA9">
              <w:rPr>
                <w:b/>
              </w:rPr>
              <w:t>Details</w:t>
            </w:r>
          </w:p>
        </w:tc>
        <w:tc>
          <w:tcPr>
            <w:tcW w:w="7114" w:type="dxa"/>
            <w:vAlign w:val="center"/>
          </w:tcPr>
          <w:p w14:paraId="28FA813B" w14:textId="7540098E" w:rsidR="00FC146E" w:rsidRPr="00BD3EA9" w:rsidRDefault="00FC146E" w:rsidP="00BD3EA9">
            <w:pPr>
              <w:pStyle w:val="NoSpacing"/>
              <w:spacing w:line="360" w:lineRule="auto"/>
              <w:rPr>
                <w:b/>
              </w:rPr>
            </w:pPr>
            <w:r w:rsidRPr="00BD3EA9">
              <w:rPr>
                <w:b/>
              </w:rPr>
              <w:t>Date:</w:t>
            </w:r>
            <w:r w:rsidR="00FB17DB">
              <w:rPr>
                <w:b/>
              </w:rPr>
              <w:t xml:space="preserve"> </w:t>
            </w:r>
            <w:r w:rsidR="000C00CC">
              <w:rPr>
                <w:b/>
              </w:rPr>
              <w:t>04</w:t>
            </w:r>
            <w:r w:rsidR="00382D5F">
              <w:rPr>
                <w:b/>
              </w:rPr>
              <w:t xml:space="preserve"> </w:t>
            </w:r>
            <w:r w:rsidR="000C00CC">
              <w:rPr>
                <w:b/>
              </w:rPr>
              <w:t xml:space="preserve">March </w:t>
            </w:r>
            <w:r w:rsidR="00FB17DB">
              <w:rPr>
                <w:b/>
              </w:rPr>
              <w:t>202</w:t>
            </w:r>
            <w:r w:rsidR="000C00CC">
              <w:rPr>
                <w:b/>
              </w:rPr>
              <w:t>2</w:t>
            </w:r>
          </w:p>
          <w:p w14:paraId="2D3C7E3D" w14:textId="77777777" w:rsidR="00196178" w:rsidRPr="00BD3EA9" w:rsidRDefault="00FC146E" w:rsidP="00BD3EA9">
            <w:pPr>
              <w:pStyle w:val="NoSpacing"/>
              <w:spacing w:line="360" w:lineRule="auto"/>
              <w:rPr>
                <w:b/>
              </w:rPr>
            </w:pPr>
            <w:r w:rsidRPr="00BD3EA9">
              <w:rPr>
                <w:b/>
              </w:rPr>
              <w:t>Time:</w:t>
            </w:r>
            <w:r w:rsidR="00FB62A7">
              <w:rPr>
                <w:b/>
              </w:rPr>
              <w:t xml:space="preserve"> 11:00 (South African Time)</w:t>
            </w:r>
          </w:p>
          <w:p w14:paraId="04C3C0C8" w14:textId="6B878995" w:rsidR="00FC146E" w:rsidRPr="00BD3EA9" w:rsidRDefault="00280038" w:rsidP="00BD3EA9">
            <w:pPr>
              <w:pStyle w:val="NoSpacing"/>
              <w:spacing w:line="360" w:lineRule="auto"/>
              <w:rPr>
                <w:b/>
              </w:rPr>
            </w:pPr>
            <w:r w:rsidRPr="00280038">
              <w:rPr>
                <w:rFonts w:ascii="Verdana" w:hAnsi="Verdana"/>
                <w:b/>
                <w:sz w:val="20"/>
              </w:rPr>
              <w:t xml:space="preserve">Venue: Pongola in Apollo, SITA Head Office, 459 </w:t>
            </w:r>
            <w:proofErr w:type="spellStart"/>
            <w:r w:rsidRPr="00280038">
              <w:rPr>
                <w:rFonts w:ascii="Verdana" w:hAnsi="Verdana"/>
                <w:b/>
                <w:sz w:val="20"/>
              </w:rPr>
              <w:t>Tsitsa</w:t>
            </w:r>
            <w:proofErr w:type="spellEnd"/>
            <w:r w:rsidRPr="00280038">
              <w:rPr>
                <w:rFonts w:ascii="Verdana" w:hAnsi="Verdana"/>
                <w:b/>
                <w:sz w:val="20"/>
              </w:rPr>
              <w:t xml:space="preserve"> Street, </w:t>
            </w:r>
            <w:proofErr w:type="spellStart"/>
            <w:r w:rsidRPr="00280038">
              <w:rPr>
                <w:rFonts w:ascii="Verdana" w:hAnsi="Verdana"/>
                <w:b/>
                <w:sz w:val="20"/>
              </w:rPr>
              <w:t>Erasmuskloof</w:t>
            </w:r>
            <w:proofErr w:type="spellEnd"/>
            <w:r w:rsidRPr="00280038">
              <w:rPr>
                <w:rFonts w:ascii="Verdana" w:hAnsi="Verdana"/>
                <w:b/>
                <w:sz w:val="20"/>
              </w:rPr>
              <w:t>, Pretoria</w:t>
            </w:r>
          </w:p>
        </w:tc>
      </w:tr>
      <w:tr w:rsidR="000B5883" w:rsidRPr="00196178" w14:paraId="1B8796DA" w14:textId="77777777" w:rsidTr="000C00CC">
        <w:trPr>
          <w:trHeight w:val="567"/>
        </w:trPr>
        <w:tc>
          <w:tcPr>
            <w:tcW w:w="2929" w:type="dxa"/>
            <w:vAlign w:val="center"/>
          </w:tcPr>
          <w:p w14:paraId="006FFCEA" w14:textId="490D33EB" w:rsidR="000B5883" w:rsidRDefault="000B5883" w:rsidP="00BD3EA9">
            <w:pPr>
              <w:pStyle w:val="NoSpacing"/>
              <w:rPr>
                <w:b/>
              </w:rPr>
            </w:pPr>
            <w:r w:rsidRPr="00135880">
              <w:rPr>
                <w:b/>
              </w:rPr>
              <w:t>Enquiries</w:t>
            </w:r>
          </w:p>
        </w:tc>
        <w:tc>
          <w:tcPr>
            <w:tcW w:w="7114" w:type="dxa"/>
            <w:vAlign w:val="center"/>
          </w:tcPr>
          <w:p w14:paraId="63465068" w14:textId="36B3D2A7" w:rsidR="000B5883" w:rsidRPr="000B5883" w:rsidRDefault="00EA5D2D" w:rsidP="00BD3EA9">
            <w:pPr>
              <w:pStyle w:val="NoSpacing"/>
              <w:spacing w:line="360" w:lineRule="auto"/>
              <w:rPr>
                <w:rFonts w:cs="Calibri"/>
                <w:b/>
              </w:rPr>
            </w:pPr>
            <w:hyperlink r:id="rId9" w:history="1">
              <w:r w:rsidR="000B5883" w:rsidRPr="000B5883">
                <w:rPr>
                  <w:rStyle w:val="Hyperlink"/>
                  <w:rFonts w:cs="Calibri"/>
                  <w:b/>
                </w:rPr>
                <w:t>Mafiwa.Malebatja@sita.co.za</w:t>
              </w:r>
            </w:hyperlink>
          </w:p>
        </w:tc>
      </w:tr>
      <w:tr w:rsidR="000C067B" w:rsidRPr="00196178" w14:paraId="59B4E59A" w14:textId="77777777" w:rsidTr="000C00CC">
        <w:trPr>
          <w:trHeight w:val="567"/>
        </w:trPr>
        <w:tc>
          <w:tcPr>
            <w:tcW w:w="2929" w:type="dxa"/>
            <w:vAlign w:val="center"/>
          </w:tcPr>
          <w:p w14:paraId="5169A793" w14:textId="4ED3BA92" w:rsidR="000C067B" w:rsidRPr="00BD3EA9" w:rsidRDefault="000C067B" w:rsidP="00BD3EA9">
            <w:pPr>
              <w:pStyle w:val="NoSpacing"/>
              <w:rPr>
                <w:b/>
              </w:rPr>
            </w:pPr>
            <w:r w:rsidRPr="00BD3EA9">
              <w:rPr>
                <w:b/>
              </w:rPr>
              <w:t xml:space="preserve">Public Opening </w:t>
            </w:r>
            <w:r w:rsidR="00FB62A7">
              <w:rPr>
                <w:b/>
              </w:rPr>
              <w:t>of RF</w:t>
            </w:r>
            <w:r w:rsidR="000C00CC">
              <w:rPr>
                <w:b/>
              </w:rPr>
              <w:t>B</w:t>
            </w:r>
            <w:r w:rsidR="003E2536" w:rsidRPr="00BD3EA9">
              <w:rPr>
                <w:b/>
              </w:rPr>
              <w:t xml:space="preserve"> Responses</w:t>
            </w:r>
          </w:p>
        </w:tc>
        <w:tc>
          <w:tcPr>
            <w:tcW w:w="7114" w:type="dxa"/>
            <w:vAlign w:val="center"/>
          </w:tcPr>
          <w:p w14:paraId="195B2C08" w14:textId="6C65B2B4" w:rsidR="000C067B" w:rsidRPr="00BD3EA9" w:rsidRDefault="00FB17DB" w:rsidP="00BD3EA9">
            <w:pPr>
              <w:pStyle w:val="NoSpacing"/>
              <w:spacing w:line="360" w:lineRule="auto"/>
              <w:jc w:val="both"/>
              <w:rPr>
                <w:b/>
              </w:rPr>
            </w:pPr>
            <w:r>
              <w:rPr>
                <w:b/>
              </w:rPr>
              <w:t>N/A</w:t>
            </w:r>
          </w:p>
        </w:tc>
      </w:tr>
      <w:tr w:rsidR="00750165" w:rsidRPr="00196178" w14:paraId="2429B03C" w14:textId="77777777" w:rsidTr="000C00CC">
        <w:trPr>
          <w:trHeight w:val="567"/>
        </w:trPr>
        <w:tc>
          <w:tcPr>
            <w:tcW w:w="2929" w:type="dxa"/>
            <w:vAlign w:val="center"/>
          </w:tcPr>
          <w:p w14:paraId="0BD935B7" w14:textId="16F1BCB1" w:rsidR="00750165" w:rsidRPr="00BD3EA9" w:rsidRDefault="00FB62A7" w:rsidP="00BD3EA9">
            <w:pPr>
              <w:pStyle w:val="NoSpacing"/>
              <w:rPr>
                <w:b/>
              </w:rPr>
            </w:pPr>
            <w:r>
              <w:rPr>
                <w:b/>
              </w:rPr>
              <w:t>RF</w:t>
            </w:r>
            <w:r w:rsidR="000C00CC">
              <w:rPr>
                <w:b/>
              </w:rPr>
              <w:t>B</w:t>
            </w:r>
            <w:r w:rsidR="00382D5F">
              <w:rPr>
                <w:b/>
              </w:rPr>
              <w:t xml:space="preserve"> </w:t>
            </w:r>
            <w:r w:rsidR="00750165" w:rsidRPr="00BD3EA9">
              <w:rPr>
                <w:b/>
              </w:rPr>
              <w:t>Validity Period</w:t>
            </w:r>
          </w:p>
        </w:tc>
        <w:tc>
          <w:tcPr>
            <w:tcW w:w="7114" w:type="dxa"/>
            <w:vAlign w:val="center"/>
          </w:tcPr>
          <w:p w14:paraId="26EE6F1F" w14:textId="77777777" w:rsidR="00750165" w:rsidRPr="00BD3EA9" w:rsidRDefault="00750165" w:rsidP="00BD3EA9">
            <w:pPr>
              <w:pStyle w:val="NoSpacing"/>
              <w:rPr>
                <w:b/>
              </w:rPr>
            </w:pPr>
            <w:r w:rsidRPr="00BD3EA9">
              <w:rPr>
                <w:b/>
              </w:rPr>
              <w:t>120 Days from the Closing Date</w:t>
            </w:r>
          </w:p>
        </w:tc>
      </w:tr>
    </w:tbl>
    <w:p w14:paraId="3C632331" w14:textId="77777777" w:rsidR="00EA6B35" w:rsidRDefault="00EA6B3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6E5ABB92" w14:textId="75D6ACC7" w:rsidR="00196178"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14:paraId="47AF3492" w14:textId="27809CA2" w:rsidR="00A5231E" w:rsidRDefault="00A5231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0C05B34B" w14:textId="51BBFFD0" w:rsidR="00A5231E" w:rsidRDefault="00A5231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3451B7EA" w14:textId="3E094E52" w:rsidR="00A5231E" w:rsidRDefault="00A5231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060E701E" w14:textId="1A2FB965" w:rsidR="00A5231E" w:rsidRDefault="00A5231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33E81176" w14:textId="77777777" w:rsidR="00382D5F" w:rsidRDefault="00382D5F"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tbl>
      <w:tblPr>
        <w:tblW w:w="9923" w:type="dxa"/>
        <w:tblInd w:w="57" w:type="dxa"/>
        <w:tblLayout w:type="fixed"/>
        <w:tblLook w:val="0000" w:firstRow="0" w:lastRow="0" w:firstColumn="0" w:lastColumn="0" w:noHBand="0" w:noVBand="0"/>
      </w:tblPr>
      <w:tblGrid>
        <w:gridCol w:w="9923"/>
      </w:tblGrid>
      <w:tr w:rsidR="00A5231E" w:rsidRPr="00A03F2E" w14:paraId="404D78A4" w14:textId="77777777" w:rsidTr="0057684A">
        <w:trPr>
          <w:cantSplit/>
          <w:trHeight w:val="478"/>
          <w:tblHeader/>
        </w:trPr>
        <w:tc>
          <w:tcPr>
            <w:tcW w:w="9923" w:type="dxa"/>
            <w:tcBorders>
              <w:bottom w:val="single" w:sz="8" w:space="0" w:color="000080"/>
            </w:tcBorders>
          </w:tcPr>
          <w:p w14:paraId="77638760" w14:textId="6088F64F" w:rsidR="00A5231E" w:rsidRPr="00A03F2E" w:rsidRDefault="00A5231E" w:rsidP="00A5231E">
            <w:pPr>
              <w:pStyle w:val="Headline"/>
              <w:ind w:left="-57"/>
              <w:rPr>
                <w:rFonts w:cs="Arial"/>
                <w:b/>
                <w:color w:val="000080"/>
                <w:sz w:val="32"/>
                <w:szCs w:val="32"/>
                <w:highlight w:val="yellow"/>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A5231E" w:rsidRPr="004F738A" w14:paraId="28264DF2" w14:textId="77777777" w:rsidTr="0057684A">
        <w:tc>
          <w:tcPr>
            <w:tcW w:w="9923" w:type="dxa"/>
          </w:tcPr>
          <w:p w14:paraId="771A14B3" w14:textId="77777777" w:rsidR="00A5231E" w:rsidRDefault="00A5231E" w:rsidP="0057684A">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A: SBD1</w:t>
              </w:r>
              <w:r>
                <w:rPr>
                  <w:webHidden/>
                </w:rPr>
                <w:tab/>
                <w:t>.......................................................................................................</w:t>
              </w:r>
              <w:r>
                <w:rPr>
                  <w:webHidden/>
                </w:rPr>
                <w:fldChar w:fldCharType="begin"/>
              </w:r>
              <w:r>
                <w:rPr>
                  <w:webHidden/>
                </w:rPr>
                <w:instrText xml:space="preserve"> PAGEREF _Toc459824245 \h </w:instrText>
              </w:r>
              <w:r>
                <w:rPr>
                  <w:webHidden/>
                </w:rPr>
              </w:r>
              <w:r>
                <w:rPr>
                  <w:webHidden/>
                </w:rPr>
                <w:fldChar w:fldCharType="separate"/>
              </w:r>
              <w:r>
                <w:rPr>
                  <w:webHidden/>
                </w:rPr>
                <w:t>2</w:t>
              </w:r>
              <w:r>
                <w:rPr>
                  <w:webHidden/>
                </w:rPr>
                <w:fldChar w:fldCharType="end"/>
              </w:r>
            </w:hyperlink>
          </w:p>
          <w:p w14:paraId="3E991129" w14:textId="77777777" w:rsidR="00A5231E" w:rsidRPr="00931551" w:rsidRDefault="00A5231E" w:rsidP="0057684A">
            <w:pPr>
              <w:rPr>
                <w:rStyle w:val="Hyperlink"/>
                <w:rFonts w:ascii="Verdana" w:hAnsi="Verdana" w:cs="Arial"/>
                <w:b/>
                <w:bCs/>
                <w:noProof/>
                <w:color w:val="000000"/>
                <w:sz w:val="20"/>
                <w:szCs w:val="22"/>
                <w:u w:val="none"/>
              </w:rPr>
            </w:pPr>
            <w:r w:rsidRPr="00931551">
              <w:rPr>
                <w:rStyle w:val="Hyperlink"/>
                <w:rFonts w:ascii="Verdana" w:hAnsi="Verdana" w:cs="Arial"/>
                <w:b/>
                <w:bCs/>
                <w:noProof/>
                <w:color w:val="000000"/>
                <w:sz w:val="20"/>
                <w:szCs w:val="22"/>
                <w:u w:val="none"/>
              </w:rPr>
              <w:t xml:space="preserve">SECTION </w:t>
            </w:r>
            <w:r>
              <w:rPr>
                <w:rStyle w:val="Hyperlink"/>
                <w:rFonts w:ascii="Verdana" w:hAnsi="Verdana" w:cs="Arial"/>
                <w:b/>
                <w:bCs/>
                <w:noProof/>
                <w:color w:val="000000"/>
                <w:sz w:val="20"/>
                <w:szCs w:val="22"/>
                <w:u w:val="none"/>
              </w:rPr>
              <w:t>B</w:t>
            </w:r>
            <w:r w:rsidRPr="00931551">
              <w:rPr>
                <w:rStyle w:val="Hyperlink"/>
                <w:rFonts w:ascii="Verdana" w:hAnsi="Verdana" w:cs="Arial"/>
                <w:b/>
                <w:bCs/>
                <w:noProof/>
                <w:color w:val="000000"/>
                <w:sz w:val="20"/>
                <w:szCs w:val="22"/>
                <w:u w:val="none"/>
              </w:rPr>
              <w:t>: BIDDER'S DETAILS………………………………………………………………………</w:t>
            </w:r>
            <w:r>
              <w:rPr>
                <w:rStyle w:val="Hyperlink"/>
                <w:rFonts w:ascii="Verdana" w:hAnsi="Verdana" w:cs="Arial"/>
                <w:b/>
                <w:bCs/>
                <w:noProof/>
                <w:color w:val="000000"/>
                <w:sz w:val="20"/>
                <w:szCs w:val="22"/>
                <w:u w:val="none"/>
              </w:rPr>
              <w:t>….</w:t>
            </w:r>
            <w:r w:rsidRPr="00931551">
              <w:rPr>
                <w:rStyle w:val="Hyperlink"/>
                <w:rFonts w:ascii="Verdana" w:hAnsi="Verdana" w:cs="Arial"/>
                <w:b/>
                <w:bCs/>
                <w:noProof/>
                <w:color w:val="000000"/>
                <w:sz w:val="20"/>
                <w:szCs w:val="22"/>
                <w:u w:val="none"/>
              </w:rPr>
              <w:t>5</w:t>
            </w:r>
          </w:p>
          <w:p w14:paraId="11342EBC" w14:textId="77777777" w:rsidR="00A5231E" w:rsidRPr="00931551" w:rsidRDefault="00EA5D2D" w:rsidP="0057684A">
            <w:pPr>
              <w:pStyle w:val="TOC1"/>
              <w:rPr>
                <w:rFonts w:ascii="Calibri" w:hAnsi="Calibri" w:cs="Times New Roman"/>
                <w:b w:val="0"/>
                <w:bCs w:val="0"/>
                <w:sz w:val="22"/>
                <w:lang w:val="en-US"/>
              </w:rPr>
            </w:pPr>
            <w:hyperlink w:anchor="_Toc459824247" w:history="1">
              <w:r w:rsidR="00A5231E">
                <w:rPr>
                  <w:rStyle w:val="Hyperlink"/>
                </w:rPr>
                <w:t>SECTION C: BID TERMS OF REFERENCE………………………………………………………………</w:t>
              </w:r>
              <w:r w:rsidR="00A5231E">
                <w:rPr>
                  <w:webHidden/>
                </w:rPr>
                <w:tab/>
                <w:t>.7</w:t>
              </w:r>
            </w:hyperlink>
          </w:p>
          <w:p w14:paraId="19F197CC" w14:textId="77777777" w:rsidR="00A5231E" w:rsidRPr="00931551" w:rsidRDefault="00A5231E" w:rsidP="0057684A">
            <w:pPr>
              <w:pStyle w:val="TOC1"/>
              <w:rPr>
                <w:rFonts w:cs="Times New Roman"/>
                <w:bCs w:val="0"/>
                <w:szCs w:val="20"/>
                <w:lang w:val="en-US"/>
              </w:rPr>
            </w:pPr>
            <w:r w:rsidRPr="00931551">
              <w:rPr>
                <w:rFonts w:cs="Times New Roman"/>
                <w:bCs w:val="0"/>
                <w:szCs w:val="20"/>
                <w:lang w:val="en-US"/>
              </w:rPr>
              <w:t xml:space="preserve">SECTION </w:t>
            </w:r>
            <w:r>
              <w:rPr>
                <w:rFonts w:cs="Times New Roman"/>
                <w:bCs w:val="0"/>
                <w:szCs w:val="20"/>
                <w:lang w:val="en-US"/>
              </w:rPr>
              <w:t>D</w:t>
            </w:r>
            <w:r w:rsidRPr="00931551">
              <w:rPr>
                <w:rFonts w:cs="Times New Roman"/>
                <w:bCs w:val="0"/>
                <w:szCs w:val="20"/>
                <w:lang w:val="en-US"/>
              </w:rPr>
              <w:t>: STANDARD BID SOCUMENTS (SBDs) ……………………………………………</w:t>
            </w:r>
            <w:r>
              <w:rPr>
                <w:rFonts w:cs="Times New Roman"/>
                <w:bCs w:val="0"/>
                <w:szCs w:val="20"/>
                <w:lang w:val="en-US"/>
              </w:rPr>
              <w:t>…</w:t>
            </w:r>
            <w:r w:rsidRPr="00931551">
              <w:rPr>
                <w:rFonts w:cs="Times New Roman"/>
                <w:bCs w:val="0"/>
                <w:szCs w:val="20"/>
                <w:lang w:val="en-US"/>
              </w:rPr>
              <w:t>19</w:t>
            </w:r>
          </w:p>
          <w:p w14:paraId="64593B1C" w14:textId="77777777" w:rsidR="00A5231E" w:rsidRPr="00931551" w:rsidRDefault="00A5231E" w:rsidP="0057684A">
            <w:pPr>
              <w:rPr>
                <w:rFonts w:ascii="Verdana" w:hAnsi="Verdana"/>
                <w:b/>
                <w:noProof/>
                <w:sz w:val="20"/>
                <w:szCs w:val="20"/>
                <w:lang w:val="en-US"/>
              </w:rPr>
            </w:pPr>
            <w:r w:rsidRPr="00931551">
              <w:rPr>
                <w:rFonts w:ascii="Verdana" w:hAnsi="Verdana"/>
                <w:b/>
                <w:noProof/>
                <w:sz w:val="20"/>
                <w:szCs w:val="20"/>
                <w:lang w:val="en-US"/>
              </w:rPr>
              <w:t xml:space="preserve">SECTION </w:t>
            </w:r>
            <w:r>
              <w:rPr>
                <w:rFonts w:ascii="Verdana" w:hAnsi="Verdana"/>
                <w:b/>
                <w:noProof/>
                <w:sz w:val="20"/>
                <w:szCs w:val="20"/>
                <w:lang w:val="en-US"/>
              </w:rPr>
              <w:t>E</w:t>
            </w:r>
            <w:r w:rsidRPr="00931551">
              <w:rPr>
                <w:rFonts w:ascii="Verdana" w:hAnsi="Verdana"/>
                <w:b/>
                <w:noProof/>
                <w:sz w:val="20"/>
                <w:szCs w:val="20"/>
                <w:lang w:val="en-US"/>
              </w:rPr>
              <w:t>: GENERAL CONTRACT CONDITIONS ………………………………………………</w:t>
            </w:r>
            <w:r>
              <w:rPr>
                <w:rFonts w:ascii="Verdana" w:hAnsi="Verdana"/>
                <w:b/>
                <w:noProof/>
                <w:sz w:val="20"/>
                <w:szCs w:val="20"/>
                <w:lang w:val="en-US"/>
              </w:rPr>
              <w:t>..</w:t>
            </w:r>
            <w:r w:rsidRPr="00931551">
              <w:rPr>
                <w:rFonts w:ascii="Verdana" w:hAnsi="Verdana"/>
                <w:b/>
                <w:noProof/>
                <w:sz w:val="20"/>
                <w:szCs w:val="20"/>
                <w:lang w:val="en-US"/>
              </w:rPr>
              <w:t>.40</w:t>
            </w:r>
          </w:p>
          <w:p w14:paraId="4E3D7E62" w14:textId="77777777" w:rsidR="00A5231E" w:rsidRPr="004F738A" w:rsidRDefault="00A5231E" w:rsidP="0057684A">
            <w:pPr>
              <w:pStyle w:val="TableofFigures"/>
              <w:rPr>
                <w:rFonts w:ascii="Arial" w:hAnsi="Arial" w:cs="Arial"/>
              </w:rPr>
            </w:pPr>
            <w:r w:rsidRPr="00A03F2E">
              <w:rPr>
                <w:rFonts w:ascii="Arial" w:hAnsi="Arial" w:cs="Arial"/>
                <w:b/>
                <w:bCs/>
                <w:noProof/>
                <w:szCs w:val="22"/>
                <w:highlight w:val="yellow"/>
              </w:rPr>
              <w:fldChar w:fldCharType="end"/>
            </w:r>
          </w:p>
        </w:tc>
      </w:tr>
    </w:tbl>
    <w:p w14:paraId="4847EE92" w14:textId="77777777" w:rsidR="00A5231E" w:rsidRPr="00A5231E" w:rsidRDefault="00A5231E" w:rsidP="00A5231E">
      <w:pPr>
        <w:rPr>
          <w:lang w:val="en-GB"/>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36265492" w:rsidR="006F07E3" w:rsidRDefault="008A2553" w:rsidP="008A2553">
      <w:pPr>
        <w:pStyle w:val="Heading1"/>
        <w:tabs>
          <w:tab w:val="clear" w:pos="720"/>
          <w:tab w:val="clear" w:pos="1440"/>
          <w:tab w:val="clear" w:pos="2160"/>
          <w:tab w:val="clear" w:pos="2880"/>
          <w:tab w:val="left" w:pos="2556"/>
        </w:tabs>
        <w:spacing w:line="360" w:lineRule="auto"/>
        <w:ind w:left="851" w:right="408" w:hanging="851"/>
        <w:jc w:val="left"/>
        <w:rPr>
          <w:color w:val="000080"/>
          <w:sz w:val="28"/>
          <w:szCs w:val="28"/>
        </w:rPr>
      </w:pPr>
      <w:r>
        <w:rPr>
          <w:color w:val="000080"/>
          <w:sz w:val="28"/>
          <w:szCs w:val="28"/>
        </w:rPr>
        <w:tab/>
      </w: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5DFDDBB1" w:rsidR="00A40EA8" w:rsidRDefault="00A40EA8"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277E3D08" w14:textId="77777777" w:rsidR="008A2553" w:rsidRDefault="008A2553" w:rsidP="00A40EA8">
      <w:pPr>
        <w:pStyle w:val="Title"/>
        <w:rPr>
          <w:color w:val="000080"/>
          <w:szCs w:val="28"/>
        </w:rPr>
      </w:pPr>
    </w:p>
    <w:p w14:paraId="422BC30E" w14:textId="77777777" w:rsidR="000B5883" w:rsidRDefault="000B5883" w:rsidP="00A40EA8">
      <w:pPr>
        <w:pStyle w:val="Title"/>
        <w:rPr>
          <w:color w:val="000080"/>
          <w:szCs w:val="28"/>
        </w:rPr>
      </w:pPr>
    </w:p>
    <w:p w14:paraId="1129CCC1" w14:textId="77777777" w:rsidR="00A5231E" w:rsidRDefault="00A5231E" w:rsidP="00A40EA8">
      <w:pPr>
        <w:pStyle w:val="Title"/>
        <w:rPr>
          <w:rFonts w:ascii="Arial" w:hAnsi="Arial" w:cs="Arial"/>
          <w:color w:val="000080"/>
          <w:szCs w:val="28"/>
        </w:rPr>
      </w:pPr>
    </w:p>
    <w:p w14:paraId="32FB4DFE" w14:textId="77777777" w:rsidR="00A5231E" w:rsidRDefault="00A5231E" w:rsidP="00A40EA8">
      <w:pPr>
        <w:pStyle w:val="Title"/>
        <w:rPr>
          <w:rFonts w:ascii="Arial" w:hAnsi="Arial" w:cs="Arial"/>
          <w:color w:val="000080"/>
          <w:szCs w:val="28"/>
        </w:rPr>
      </w:pPr>
    </w:p>
    <w:p w14:paraId="0B178C6F" w14:textId="77777777" w:rsidR="00A5231E" w:rsidRDefault="00A5231E" w:rsidP="00A40EA8">
      <w:pPr>
        <w:pStyle w:val="Title"/>
        <w:rPr>
          <w:rFonts w:ascii="Arial" w:hAnsi="Arial" w:cs="Arial"/>
          <w:color w:val="000080"/>
          <w:szCs w:val="28"/>
        </w:rPr>
      </w:pPr>
    </w:p>
    <w:p w14:paraId="5BDFD06B" w14:textId="77777777" w:rsidR="00A5231E" w:rsidRDefault="00A5231E" w:rsidP="00A40EA8">
      <w:pPr>
        <w:pStyle w:val="Title"/>
        <w:rPr>
          <w:rFonts w:ascii="Arial" w:hAnsi="Arial" w:cs="Arial"/>
          <w:color w:val="000080"/>
          <w:szCs w:val="28"/>
        </w:rPr>
      </w:pPr>
    </w:p>
    <w:p w14:paraId="4FCCA726" w14:textId="77777777" w:rsidR="00A5231E" w:rsidRDefault="00A5231E" w:rsidP="00A40EA8">
      <w:pPr>
        <w:pStyle w:val="Title"/>
        <w:rPr>
          <w:rFonts w:ascii="Arial" w:hAnsi="Arial" w:cs="Arial"/>
          <w:color w:val="000080"/>
          <w:szCs w:val="28"/>
        </w:rPr>
      </w:pPr>
    </w:p>
    <w:p w14:paraId="08AF32EE" w14:textId="77777777" w:rsidR="00A5231E" w:rsidRDefault="00A5231E" w:rsidP="00A40EA8">
      <w:pPr>
        <w:pStyle w:val="Title"/>
        <w:rPr>
          <w:rFonts w:ascii="Arial" w:hAnsi="Arial" w:cs="Arial"/>
          <w:color w:val="000080"/>
          <w:szCs w:val="28"/>
        </w:rPr>
      </w:pPr>
    </w:p>
    <w:p w14:paraId="1F7665F8" w14:textId="77777777" w:rsidR="00A5231E" w:rsidRDefault="00A5231E" w:rsidP="00A40EA8">
      <w:pPr>
        <w:pStyle w:val="Title"/>
        <w:rPr>
          <w:rFonts w:ascii="Arial" w:hAnsi="Arial" w:cs="Arial"/>
          <w:color w:val="000080"/>
          <w:szCs w:val="28"/>
        </w:rPr>
      </w:pPr>
    </w:p>
    <w:p w14:paraId="5ABC86E6" w14:textId="77777777" w:rsidR="00A5231E" w:rsidRDefault="00A5231E" w:rsidP="00A40EA8">
      <w:pPr>
        <w:pStyle w:val="Title"/>
        <w:rPr>
          <w:rFonts w:ascii="Arial" w:hAnsi="Arial" w:cs="Arial"/>
          <w:color w:val="000080"/>
          <w:szCs w:val="28"/>
        </w:rPr>
      </w:pPr>
    </w:p>
    <w:p w14:paraId="6B0E774A" w14:textId="77777777" w:rsidR="00A5231E" w:rsidRDefault="00A5231E" w:rsidP="00A40EA8">
      <w:pPr>
        <w:pStyle w:val="Title"/>
        <w:rPr>
          <w:rFonts w:ascii="Arial" w:hAnsi="Arial" w:cs="Arial"/>
          <w:color w:val="000080"/>
          <w:szCs w:val="28"/>
        </w:rPr>
      </w:pPr>
    </w:p>
    <w:p w14:paraId="63B8AAD4" w14:textId="77777777" w:rsidR="00A5231E" w:rsidRDefault="00A5231E" w:rsidP="00B74AD4">
      <w:pPr>
        <w:pStyle w:val="Title"/>
        <w:ind w:left="0" w:firstLine="0"/>
        <w:jc w:val="left"/>
        <w:rPr>
          <w:rFonts w:ascii="Arial" w:hAnsi="Arial" w:cs="Arial"/>
          <w:color w:val="000080"/>
          <w:szCs w:val="28"/>
        </w:rPr>
      </w:pPr>
    </w:p>
    <w:p w14:paraId="36046862" w14:textId="77777777" w:rsidR="00382D5F" w:rsidRDefault="00382D5F" w:rsidP="00A40EA8">
      <w:pPr>
        <w:pStyle w:val="Title"/>
        <w:rPr>
          <w:rFonts w:ascii="Arial" w:hAnsi="Arial" w:cs="Arial"/>
          <w:color w:val="000080"/>
          <w:szCs w:val="28"/>
        </w:rPr>
      </w:pPr>
    </w:p>
    <w:p w14:paraId="4B873B2C" w14:textId="77777777" w:rsidR="00382D5F" w:rsidRDefault="00382D5F" w:rsidP="00A40EA8">
      <w:pPr>
        <w:pStyle w:val="Title"/>
        <w:rPr>
          <w:rFonts w:ascii="Arial" w:hAnsi="Arial" w:cs="Arial"/>
          <w:color w:val="000080"/>
          <w:szCs w:val="28"/>
        </w:rPr>
      </w:pPr>
    </w:p>
    <w:p w14:paraId="7DAA85B7" w14:textId="77777777" w:rsidR="00382D5F" w:rsidRDefault="00382D5F" w:rsidP="00A40EA8">
      <w:pPr>
        <w:pStyle w:val="Title"/>
        <w:rPr>
          <w:rFonts w:ascii="Arial" w:hAnsi="Arial" w:cs="Arial"/>
          <w:color w:val="000080"/>
          <w:szCs w:val="28"/>
        </w:rPr>
      </w:pPr>
    </w:p>
    <w:p w14:paraId="0BCD33D1" w14:textId="1DF5E6F8" w:rsidR="00EA6B35" w:rsidRPr="000B5883" w:rsidRDefault="00EA6B35" w:rsidP="00A40EA8">
      <w:pPr>
        <w:pStyle w:val="Title"/>
        <w:rPr>
          <w:rFonts w:ascii="Arial" w:hAnsi="Arial" w:cs="Arial"/>
          <w:color w:val="000080"/>
          <w:szCs w:val="28"/>
        </w:rPr>
      </w:pPr>
      <w:r w:rsidRPr="000B5883">
        <w:rPr>
          <w:rFonts w:ascii="Arial" w:hAnsi="Arial" w:cs="Arial"/>
          <w:color w:val="000080"/>
          <w:szCs w:val="28"/>
        </w:rPr>
        <w:t>SECTION 1</w:t>
      </w:r>
    </w:p>
    <w:p w14:paraId="77B1A6B1" w14:textId="77777777" w:rsidR="000B5883" w:rsidRPr="000B5883" w:rsidRDefault="000B5883" w:rsidP="000B5883">
      <w:pPr>
        <w:pStyle w:val="Title"/>
        <w:rPr>
          <w:rFonts w:ascii="Arial" w:hAnsi="Arial" w:cs="Arial"/>
          <w:color w:val="000080"/>
          <w:szCs w:val="28"/>
        </w:rPr>
      </w:pPr>
    </w:p>
    <w:p w14:paraId="71306B8D" w14:textId="2075D9CD" w:rsidR="000B5883" w:rsidRPr="000B5883" w:rsidRDefault="000B5883" w:rsidP="000B5883">
      <w:pPr>
        <w:pStyle w:val="Title"/>
        <w:rPr>
          <w:rFonts w:ascii="Arial" w:hAnsi="Arial" w:cs="Arial"/>
          <w:color w:val="000080"/>
          <w:szCs w:val="28"/>
        </w:rPr>
      </w:pPr>
      <w:r w:rsidRPr="000B5883">
        <w:rPr>
          <w:rFonts w:ascii="Arial" w:hAnsi="Arial" w:cs="Arial"/>
          <w:color w:val="000080"/>
          <w:szCs w:val="28"/>
        </w:rPr>
        <w:t>SBD 1</w:t>
      </w:r>
    </w:p>
    <w:p w14:paraId="7CDFB7FC" w14:textId="77777777" w:rsidR="00EA6B35" w:rsidRPr="001668D1" w:rsidRDefault="00EA6B35" w:rsidP="00A40EA8">
      <w:pPr>
        <w:pStyle w:val="Title"/>
      </w:pPr>
    </w:p>
    <w:p w14:paraId="37C38D57" w14:textId="77777777" w:rsidR="00A40EA8" w:rsidRPr="000B5883" w:rsidRDefault="00A40EA8" w:rsidP="000B5883">
      <w:pPr>
        <w:pStyle w:val="Title"/>
        <w:jc w:val="left"/>
        <w:rPr>
          <w:rFonts w:ascii="Arial" w:hAnsi="Arial" w:cs="Arial"/>
          <w:sz w:val="20"/>
        </w:rPr>
      </w:pPr>
      <w:r w:rsidRPr="000B5883">
        <w:rPr>
          <w:rFonts w:ascii="Arial" w:hAnsi="Arial" w:cs="Arial"/>
        </w:rPr>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EA5D2D">
              <w:rPr>
                <w:rFonts w:ascii="Arial Narrow" w:hAnsi="Arial Narrow"/>
                <w:sz w:val="20"/>
                <w:szCs w:val="20"/>
                <w:lang w:val="en-GB"/>
              </w:rPr>
            </w:r>
            <w:r w:rsidR="00EA5D2D">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EA5D2D">
              <w:rPr>
                <w:rFonts w:ascii="Arial Narrow" w:hAnsi="Arial Narrow"/>
                <w:sz w:val="20"/>
                <w:szCs w:val="20"/>
                <w:lang w:val="en-GB"/>
              </w:rPr>
            </w:r>
            <w:r w:rsidR="00EA5D2D">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EA5D2D">
              <w:rPr>
                <w:rFonts w:ascii="Arial Narrow" w:hAnsi="Arial Narrow"/>
                <w:sz w:val="20"/>
                <w:szCs w:val="20"/>
                <w:lang w:val="en-GB"/>
              </w:rPr>
            </w:r>
            <w:r w:rsidR="00EA5D2D">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EA5D2D">
              <w:rPr>
                <w:rFonts w:ascii="Arial Narrow" w:hAnsi="Arial Narrow"/>
                <w:sz w:val="20"/>
                <w:szCs w:val="20"/>
                <w:lang w:val="en-GB"/>
              </w:rPr>
            </w:r>
            <w:r w:rsidR="00EA5D2D">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2441F882"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r w:rsidR="000B5883" w:rsidRPr="00C27B56">
              <w:rPr>
                <w:rFonts w:ascii="Arial Narrow" w:hAnsi="Arial Narrow"/>
                <w:sz w:val="20"/>
                <w:szCs w:val="20"/>
              </w:rPr>
              <w:t>BELOW]</w:t>
            </w:r>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A5D2D">
              <w:rPr>
                <w:rFonts w:ascii="Arial Narrow" w:hAnsi="Arial Narrow"/>
                <w:sz w:val="20"/>
                <w:lang w:val="en-GB"/>
              </w:rPr>
            </w:r>
            <w:r w:rsidR="00EA5D2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lastRenderedPageBreak/>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70F1F4AA"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r w:rsidR="000B5883">
              <w:rPr>
                <w:rFonts w:ascii="Arial Narrow" w:hAnsi="Arial Narrow"/>
                <w:b/>
                <w:sz w:val="20"/>
                <w:lang w:val="en-GB"/>
              </w:rPr>
              <w:t>FORM.</w:t>
            </w:r>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5E53532C" w14:textId="3E7E711D" w:rsidR="00A5231E" w:rsidRDefault="00A5231E" w:rsidP="00D95120">
      <w:pPr>
        <w:pStyle w:val="Heading1"/>
        <w:tabs>
          <w:tab w:val="clear" w:pos="720"/>
          <w:tab w:val="clear" w:pos="1440"/>
          <w:tab w:val="clear" w:pos="2160"/>
          <w:tab w:val="clear" w:pos="2880"/>
        </w:tabs>
        <w:spacing w:line="360" w:lineRule="auto"/>
        <w:ind w:left="851" w:right="408" w:hanging="851"/>
        <w:jc w:val="center"/>
        <w:rPr>
          <w:rFonts w:ascii="Times New Roman" w:hAnsi="Times New Roman"/>
          <w:b w:val="0"/>
          <w:snapToGrid/>
          <w:sz w:val="24"/>
          <w:szCs w:val="24"/>
        </w:rPr>
      </w:pPr>
      <w:bookmarkStart w:id="1" w:name="_Toc199296467"/>
      <w:bookmarkStart w:id="2" w:name="_Ref308094857"/>
      <w:bookmarkStart w:id="3" w:name="_Ref308094860"/>
    </w:p>
    <w:p w14:paraId="13C6472B" w14:textId="77777777" w:rsidR="00A5231E" w:rsidRPr="00A5231E" w:rsidRDefault="00A5231E" w:rsidP="00A5231E">
      <w:pPr>
        <w:rPr>
          <w:lang w:val="en-GB"/>
        </w:rPr>
      </w:pPr>
    </w:p>
    <w:p w14:paraId="604CFB15" w14:textId="77777777" w:rsidR="00382D5F" w:rsidRDefault="00382D5F" w:rsidP="00382D5F">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B</w:t>
      </w:r>
    </w:p>
    <w:p w14:paraId="04494E8B" w14:textId="77777777" w:rsidR="00382D5F" w:rsidRDefault="00382D5F" w:rsidP="00382D5F">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BIDDER’S DETAILS</w:t>
      </w:r>
    </w:p>
    <w:p w14:paraId="0B56CBEB" w14:textId="77777777" w:rsidR="00382D5F" w:rsidRDefault="00382D5F" w:rsidP="00382D5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14:paraId="1BD9AA4D" w14:textId="77777777" w:rsidR="00382D5F" w:rsidRPr="003B7822" w:rsidRDefault="00382D5F" w:rsidP="00382D5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2.1</w:t>
      </w:r>
      <w:r w:rsidRPr="003B7822">
        <w:rPr>
          <w:rFonts w:ascii="Verdana" w:hAnsi="Verdana" w:cs="Arial"/>
          <w:b/>
          <w:sz w:val="22"/>
          <w:szCs w:val="22"/>
          <w:lang w:val="en-GB"/>
        </w:rPr>
        <w:tab/>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382D5F" w14:paraId="71AD9898"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866FABB"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 xml:space="preserve">Indicate the type of bidding structure by marking with an </w:t>
            </w:r>
            <w:r w:rsidRPr="00DB588E">
              <w:rPr>
                <w:rFonts w:cs="Arial"/>
                <w:b/>
                <w:bCs/>
              </w:rPr>
              <w:t>‘X’:</w:t>
            </w:r>
          </w:p>
        </w:tc>
      </w:tr>
      <w:tr w:rsidR="00382D5F" w14:paraId="3B82E014" w14:textId="77777777" w:rsidTr="005B5EDC">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BC3F60E"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Individual bidder</w:t>
            </w:r>
          </w:p>
        </w:tc>
        <w:tc>
          <w:tcPr>
            <w:tcW w:w="5201" w:type="dxa"/>
            <w:tcBorders>
              <w:top w:val="single" w:sz="4" w:space="0" w:color="auto"/>
              <w:left w:val="single" w:sz="4" w:space="0" w:color="auto"/>
              <w:bottom w:val="single" w:sz="4" w:space="0" w:color="auto"/>
              <w:right w:val="single" w:sz="4" w:space="0" w:color="auto"/>
            </w:tcBorders>
            <w:vAlign w:val="center"/>
          </w:tcPr>
          <w:p w14:paraId="17C35439" w14:textId="77777777" w:rsidR="00382D5F" w:rsidRDefault="00382D5F" w:rsidP="005B5EDC">
            <w:pPr>
              <w:pStyle w:val="Header"/>
              <w:tabs>
                <w:tab w:val="clear" w:pos="4153"/>
                <w:tab w:val="clear" w:pos="8306"/>
              </w:tabs>
              <w:spacing w:line="360" w:lineRule="auto"/>
              <w:jc w:val="left"/>
              <w:rPr>
                <w:rFonts w:cs="Arial"/>
              </w:rPr>
            </w:pPr>
          </w:p>
        </w:tc>
      </w:tr>
      <w:tr w:rsidR="00382D5F" w14:paraId="0C1DBF6D" w14:textId="77777777" w:rsidTr="005B5EDC">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6DB4326"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Joint Venture</w:t>
            </w:r>
          </w:p>
        </w:tc>
        <w:tc>
          <w:tcPr>
            <w:tcW w:w="5201" w:type="dxa"/>
            <w:tcBorders>
              <w:top w:val="single" w:sz="4" w:space="0" w:color="auto"/>
              <w:left w:val="single" w:sz="4" w:space="0" w:color="auto"/>
              <w:bottom w:val="single" w:sz="4" w:space="0" w:color="auto"/>
              <w:right w:val="single" w:sz="4" w:space="0" w:color="auto"/>
            </w:tcBorders>
            <w:vAlign w:val="center"/>
          </w:tcPr>
          <w:p w14:paraId="44ABC127" w14:textId="77777777" w:rsidR="00382D5F" w:rsidRDefault="00382D5F" w:rsidP="005B5EDC">
            <w:pPr>
              <w:pStyle w:val="Header"/>
              <w:tabs>
                <w:tab w:val="clear" w:pos="4153"/>
                <w:tab w:val="clear" w:pos="8306"/>
              </w:tabs>
              <w:spacing w:line="360" w:lineRule="auto"/>
              <w:jc w:val="left"/>
              <w:rPr>
                <w:rFonts w:cs="Arial"/>
              </w:rPr>
            </w:pPr>
          </w:p>
        </w:tc>
      </w:tr>
      <w:tr w:rsidR="00382D5F" w14:paraId="6520AC89" w14:textId="77777777" w:rsidTr="005B5EDC">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6C456C4C"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3E588630" w14:textId="77777777" w:rsidR="00382D5F" w:rsidRDefault="00382D5F" w:rsidP="005B5EDC">
            <w:pPr>
              <w:pStyle w:val="Header"/>
              <w:tabs>
                <w:tab w:val="clear" w:pos="4153"/>
                <w:tab w:val="clear" w:pos="8306"/>
              </w:tabs>
              <w:spacing w:line="360" w:lineRule="auto"/>
              <w:jc w:val="left"/>
              <w:rPr>
                <w:rFonts w:cs="Arial"/>
              </w:rPr>
            </w:pPr>
          </w:p>
        </w:tc>
      </w:tr>
      <w:tr w:rsidR="00382D5F" w14:paraId="39680F84" w14:textId="77777777" w:rsidTr="005B5EDC">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31880074"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Subcontractors</w:t>
            </w:r>
          </w:p>
        </w:tc>
        <w:tc>
          <w:tcPr>
            <w:tcW w:w="5201" w:type="dxa"/>
            <w:tcBorders>
              <w:top w:val="single" w:sz="4" w:space="0" w:color="auto"/>
              <w:left w:val="single" w:sz="4" w:space="0" w:color="auto"/>
              <w:bottom w:val="single" w:sz="4" w:space="0" w:color="auto"/>
              <w:right w:val="single" w:sz="4" w:space="0" w:color="auto"/>
            </w:tcBorders>
            <w:vAlign w:val="center"/>
          </w:tcPr>
          <w:p w14:paraId="49861F35" w14:textId="77777777" w:rsidR="00382D5F" w:rsidRDefault="00382D5F" w:rsidP="005B5EDC">
            <w:pPr>
              <w:pStyle w:val="Header"/>
              <w:tabs>
                <w:tab w:val="clear" w:pos="4153"/>
                <w:tab w:val="clear" w:pos="8306"/>
              </w:tabs>
              <w:spacing w:line="360" w:lineRule="auto"/>
              <w:jc w:val="left"/>
              <w:rPr>
                <w:rFonts w:cs="Arial"/>
              </w:rPr>
            </w:pPr>
          </w:p>
        </w:tc>
      </w:tr>
      <w:tr w:rsidR="00382D5F" w14:paraId="3CAA35EC" w14:textId="77777777" w:rsidTr="005B5EDC">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68281DEE" w14:textId="77777777" w:rsidR="00382D5F" w:rsidRPr="00DB588E" w:rsidRDefault="00382D5F" w:rsidP="005B5EDC">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661131A3" w14:textId="77777777" w:rsidR="00382D5F" w:rsidRDefault="00382D5F" w:rsidP="005B5EDC">
            <w:pPr>
              <w:pStyle w:val="Header"/>
              <w:tabs>
                <w:tab w:val="clear" w:pos="4153"/>
                <w:tab w:val="clear" w:pos="8306"/>
              </w:tabs>
              <w:spacing w:line="360" w:lineRule="auto"/>
              <w:jc w:val="left"/>
              <w:rPr>
                <w:rFonts w:cs="Arial"/>
              </w:rPr>
            </w:pPr>
          </w:p>
        </w:tc>
      </w:tr>
      <w:tr w:rsidR="00382D5F" w14:paraId="78F19871"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68E3744D" w14:textId="77777777" w:rsidR="00382D5F" w:rsidRPr="00931551" w:rsidRDefault="00382D5F" w:rsidP="005B5EDC">
            <w:pPr>
              <w:pStyle w:val="Header"/>
              <w:tabs>
                <w:tab w:val="clear" w:pos="4153"/>
                <w:tab w:val="clear" w:pos="8306"/>
              </w:tabs>
              <w:spacing w:line="360" w:lineRule="auto"/>
              <w:jc w:val="left"/>
              <w:rPr>
                <w:rFonts w:cs="Arial"/>
                <w:b/>
                <w:color w:val="FFFFFF"/>
              </w:rPr>
            </w:pPr>
            <w:r w:rsidRPr="00931551">
              <w:rPr>
                <w:rFonts w:cs="Arial"/>
                <w:b/>
                <w:color w:val="FFFFFF"/>
              </w:rPr>
              <w:t>If the bid is submitted as a Consortium or Joint Venture or Sub Contracting Arrangement list the members of such Consortium or Joint Venture and Sub Contractors below:</w:t>
            </w:r>
          </w:p>
        </w:tc>
      </w:tr>
      <w:tr w:rsidR="00382D5F" w14:paraId="21FC92EA"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22B86" w14:textId="77777777" w:rsidR="00382D5F" w:rsidRDefault="00382D5F" w:rsidP="005B5EDC">
            <w:pPr>
              <w:pStyle w:val="Header"/>
              <w:tabs>
                <w:tab w:val="clear" w:pos="4153"/>
                <w:tab w:val="clear" w:pos="8306"/>
              </w:tabs>
              <w:spacing w:line="360" w:lineRule="auto"/>
              <w:jc w:val="left"/>
              <w:rPr>
                <w:rFonts w:cs="Arial"/>
              </w:rPr>
            </w:pPr>
            <w:r>
              <w:rPr>
                <w:rFonts w:cs="Arial"/>
              </w:rPr>
              <w:t>1.</w:t>
            </w:r>
          </w:p>
        </w:tc>
      </w:tr>
      <w:tr w:rsidR="00382D5F" w14:paraId="2CA3A36E"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CEFAD" w14:textId="77777777" w:rsidR="00382D5F" w:rsidRDefault="00382D5F" w:rsidP="005B5EDC">
            <w:pPr>
              <w:pStyle w:val="Header"/>
              <w:tabs>
                <w:tab w:val="clear" w:pos="4153"/>
                <w:tab w:val="clear" w:pos="8306"/>
              </w:tabs>
              <w:spacing w:line="360" w:lineRule="auto"/>
              <w:jc w:val="left"/>
              <w:rPr>
                <w:rFonts w:cs="Arial"/>
              </w:rPr>
            </w:pPr>
            <w:r>
              <w:rPr>
                <w:rFonts w:cs="Arial"/>
              </w:rPr>
              <w:t>2.</w:t>
            </w:r>
          </w:p>
        </w:tc>
      </w:tr>
      <w:tr w:rsidR="00382D5F" w14:paraId="44D3CDB8"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175E0" w14:textId="77777777" w:rsidR="00382D5F" w:rsidRDefault="00382D5F" w:rsidP="005B5EDC">
            <w:pPr>
              <w:pStyle w:val="Header"/>
              <w:tabs>
                <w:tab w:val="clear" w:pos="4153"/>
                <w:tab w:val="clear" w:pos="8306"/>
              </w:tabs>
              <w:spacing w:line="360" w:lineRule="auto"/>
              <w:jc w:val="left"/>
              <w:rPr>
                <w:rFonts w:cs="Arial"/>
              </w:rPr>
            </w:pPr>
            <w:r>
              <w:rPr>
                <w:rFonts w:cs="Arial"/>
              </w:rPr>
              <w:t>3.</w:t>
            </w:r>
          </w:p>
        </w:tc>
      </w:tr>
      <w:tr w:rsidR="00382D5F" w14:paraId="53B4458F"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7E04B" w14:textId="77777777" w:rsidR="00382D5F" w:rsidRDefault="00382D5F" w:rsidP="005B5EDC">
            <w:pPr>
              <w:pStyle w:val="Header"/>
              <w:tabs>
                <w:tab w:val="clear" w:pos="4153"/>
                <w:tab w:val="clear" w:pos="8306"/>
              </w:tabs>
              <w:spacing w:line="360" w:lineRule="auto"/>
              <w:jc w:val="left"/>
              <w:rPr>
                <w:rFonts w:cs="Arial"/>
              </w:rPr>
            </w:pPr>
            <w:r>
              <w:rPr>
                <w:rFonts w:cs="Arial"/>
              </w:rPr>
              <w:t>4.</w:t>
            </w:r>
          </w:p>
        </w:tc>
      </w:tr>
      <w:tr w:rsidR="00382D5F" w14:paraId="560BE16B"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D4E26" w14:textId="77777777" w:rsidR="00382D5F" w:rsidRDefault="00382D5F" w:rsidP="005B5EDC">
            <w:pPr>
              <w:pStyle w:val="Header"/>
              <w:tabs>
                <w:tab w:val="clear" w:pos="4153"/>
                <w:tab w:val="clear" w:pos="8306"/>
              </w:tabs>
              <w:spacing w:line="360" w:lineRule="auto"/>
              <w:jc w:val="left"/>
              <w:rPr>
                <w:rFonts w:cs="Arial"/>
              </w:rPr>
            </w:pPr>
            <w:r>
              <w:rPr>
                <w:rFonts w:cs="Arial"/>
              </w:rPr>
              <w:t>5.</w:t>
            </w:r>
          </w:p>
        </w:tc>
      </w:tr>
      <w:tr w:rsidR="00382D5F" w14:paraId="73074AC0" w14:textId="77777777" w:rsidTr="005B5EDC">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3A901" w14:textId="77777777" w:rsidR="00382D5F" w:rsidRDefault="00382D5F" w:rsidP="005B5EDC">
            <w:pPr>
              <w:pStyle w:val="Header"/>
              <w:tabs>
                <w:tab w:val="clear" w:pos="4153"/>
                <w:tab w:val="clear" w:pos="8306"/>
              </w:tabs>
              <w:spacing w:line="360" w:lineRule="auto"/>
              <w:jc w:val="left"/>
              <w:rPr>
                <w:rFonts w:cs="Arial"/>
              </w:rPr>
            </w:pPr>
            <w:r>
              <w:rPr>
                <w:rFonts w:cs="Arial"/>
              </w:rPr>
              <w:t>6.</w:t>
            </w:r>
          </w:p>
        </w:tc>
      </w:tr>
    </w:tbl>
    <w:p w14:paraId="79CB9B36" w14:textId="77777777" w:rsidR="00382D5F" w:rsidRDefault="00382D5F" w:rsidP="00382D5F">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30E6360" w14:textId="77777777" w:rsidR="00382D5F" w:rsidRPr="003B7822" w:rsidRDefault="00382D5F" w:rsidP="00382D5F">
      <w:pPr>
        <w:pStyle w:val="Header"/>
        <w:tabs>
          <w:tab w:val="clear" w:pos="4153"/>
          <w:tab w:val="clear" w:pos="8306"/>
        </w:tabs>
        <w:spacing w:line="360" w:lineRule="auto"/>
        <w:ind w:left="709" w:hanging="709"/>
        <w:rPr>
          <w:rFonts w:cs="Arial"/>
          <w:sz w:val="22"/>
          <w:szCs w:val="22"/>
        </w:rPr>
      </w:pPr>
      <w:r w:rsidRPr="003B7822">
        <w:rPr>
          <w:rFonts w:cs="Arial"/>
          <w:b/>
          <w:sz w:val="22"/>
          <w:szCs w:val="22"/>
        </w:rPr>
        <w:t xml:space="preserve">2.2 </w:t>
      </w:r>
      <w:r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382D5F" w:rsidRPr="00643390" w14:paraId="636F4E43"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A071DFD"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Supplier size type (Large or QSE or EME)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62AA8" w14:textId="77777777" w:rsidR="00382D5F" w:rsidRPr="00643390" w:rsidRDefault="00382D5F" w:rsidP="005B5EDC">
            <w:pPr>
              <w:spacing w:line="360" w:lineRule="auto"/>
              <w:rPr>
                <w:rFonts w:ascii="Verdana" w:hAnsi="Verdana"/>
                <w:sz w:val="20"/>
                <w:szCs w:val="20"/>
                <w:lang w:val="en-GB"/>
              </w:rPr>
            </w:pPr>
          </w:p>
        </w:tc>
      </w:tr>
      <w:tr w:rsidR="00382D5F" w:rsidRPr="00643390" w14:paraId="17D1D873"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401A5B73"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30EF6" w14:textId="77777777" w:rsidR="00382D5F" w:rsidRPr="00643390" w:rsidRDefault="00382D5F" w:rsidP="005B5EDC">
            <w:pPr>
              <w:spacing w:line="360" w:lineRule="auto"/>
              <w:rPr>
                <w:rFonts w:ascii="Verdana" w:hAnsi="Verdana"/>
                <w:sz w:val="20"/>
                <w:szCs w:val="20"/>
                <w:lang w:val="en-GB"/>
              </w:rPr>
            </w:pPr>
          </w:p>
        </w:tc>
      </w:tr>
      <w:tr w:rsidR="00382D5F" w:rsidRPr="00643390" w14:paraId="42FDA40D"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68696886"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BD817" w14:textId="77777777" w:rsidR="00382D5F" w:rsidRPr="00643390" w:rsidRDefault="00382D5F" w:rsidP="005B5EDC">
            <w:pPr>
              <w:spacing w:line="360" w:lineRule="auto"/>
              <w:rPr>
                <w:rFonts w:ascii="Verdana" w:hAnsi="Verdana"/>
                <w:sz w:val="20"/>
                <w:szCs w:val="20"/>
                <w:lang w:val="en-GB"/>
              </w:rPr>
            </w:pPr>
          </w:p>
        </w:tc>
      </w:tr>
      <w:tr w:rsidR="00382D5F" w:rsidRPr="00643390" w14:paraId="6CBCB996"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78B5B52"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B0F09" w14:textId="77777777" w:rsidR="00382D5F" w:rsidRPr="00643390" w:rsidRDefault="00382D5F" w:rsidP="005B5EDC">
            <w:pPr>
              <w:spacing w:line="360" w:lineRule="auto"/>
              <w:rPr>
                <w:rFonts w:ascii="Verdana" w:hAnsi="Verdana"/>
                <w:sz w:val="20"/>
                <w:szCs w:val="20"/>
                <w:lang w:val="en-GB"/>
              </w:rPr>
            </w:pPr>
          </w:p>
        </w:tc>
      </w:tr>
      <w:tr w:rsidR="00382D5F" w:rsidRPr="00643390" w14:paraId="6A3D8E9B"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F28B039"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D3094" w14:textId="77777777" w:rsidR="00382D5F" w:rsidRPr="00643390" w:rsidRDefault="00382D5F" w:rsidP="005B5EDC">
            <w:pPr>
              <w:spacing w:line="360" w:lineRule="auto"/>
              <w:rPr>
                <w:rFonts w:ascii="Verdana" w:hAnsi="Verdana"/>
                <w:sz w:val="20"/>
                <w:szCs w:val="20"/>
                <w:lang w:val="en-GB"/>
              </w:rPr>
            </w:pPr>
          </w:p>
        </w:tc>
      </w:tr>
      <w:tr w:rsidR="00382D5F" w:rsidRPr="00643390" w14:paraId="18A3ABA9" w14:textId="77777777" w:rsidTr="005B5EDC">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5694BF6D" w14:textId="77777777" w:rsidR="00382D5F" w:rsidRPr="00931551" w:rsidRDefault="00382D5F" w:rsidP="005B5EDC">
            <w:pPr>
              <w:rPr>
                <w:rFonts w:ascii="Verdana" w:hAnsi="Verdana"/>
                <w:color w:val="FFFFFF"/>
                <w:sz w:val="20"/>
                <w:szCs w:val="20"/>
              </w:rPr>
            </w:pPr>
            <w:r w:rsidRPr="00931551">
              <w:rPr>
                <w:rFonts w:ascii="Verdana" w:hAnsi="Verdana"/>
                <w:color w:val="FFFFFF"/>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0A0C0" w14:textId="77777777" w:rsidR="00382D5F" w:rsidRPr="00643390" w:rsidRDefault="00382D5F" w:rsidP="005B5EDC">
            <w:pPr>
              <w:spacing w:line="360" w:lineRule="auto"/>
              <w:rPr>
                <w:rFonts w:ascii="Verdana" w:hAnsi="Verdana"/>
                <w:sz w:val="20"/>
                <w:szCs w:val="20"/>
                <w:lang w:val="en-GB"/>
              </w:rPr>
            </w:pPr>
          </w:p>
        </w:tc>
      </w:tr>
    </w:tbl>
    <w:p w14:paraId="59FD37ED" w14:textId="77777777" w:rsidR="00382D5F" w:rsidRDefault="00382D5F" w:rsidP="00382D5F">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62576E84" w14:textId="77777777" w:rsidR="00382D5F" w:rsidRPr="003B7822" w:rsidRDefault="00382D5F" w:rsidP="00382D5F">
      <w:pPr>
        <w:pStyle w:val="NoSpacing"/>
        <w:spacing w:line="360" w:lineRule="auto"/>
        <w:jc w:val="both"/>
        <w:rPr>
          <w:rFonts w:ascii="Verdana" w:hAnsi="Verdana"/>
          <w:b/>
          <w:sz w:val="22"/>
          <w:szCs w:val="22"/>
        </w:rPr>
      </w:pPr>
      <w:r w:rsidRPr="003B7822">
        <w:rPr>
          <w:rFonts w:ascii="Verdana" w:hAnsi="Verdana"/>
          <w:b/>
          <w:sz w:val="22"/>
          <w:szCs w:val="22"/>
        </w:rPr>
        <w:t>2.</w:t>
      </w:r>
      <w:r>
        <w:rPr>
          <w:rFonts w:ascii="Verdana" w:hAnsi="Verdana"/>
          <w:b/>
          <w:sz w:val="22"/>
          <w:szCs w:val="22"/>
        </w:rPr>
        <w:t>3</w:t>
      </w:r>
      <w:r w:rsidRPr="003B7822">
        <w:rPr>
          <w:rFonts w:ascii="Verdana" w:hAnsi="Verdana"/>
          <w:b/>
          <w:sz w:val="22"/>
          <w:szCs w:val="22"/>
        </w:rPr>
        <w:tab/>
        <w:t xml:space="preserve"> Entity ownership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4369"/>
      </w:tblGrid>
      <w:tr w:rsidR="00382D5F" w:rsidRPr="00196178" w14:paraId="4307B2AF" w14:textId="77777777" w:rsidTr="005B5EDC">
        <w:trPr>
          <w:trHeight w:val="397"/>
          <w:tblHeader/>
        </w:trPr>
        <w:tc>
          <w:tcPr>
            <w:tcW w:w="5554" w:type="dxa"/>
            <w:shd w:val="clear" w:color="auto" w:fill="002060"/>
            <w:vAlign w:val="center"/>
          </w:tcPr>
          <w:p w14:paraId="4F379B9D" w14:textId="77777777" w:rsidR="00382D5F" w:rsidRPr="00931551" w:rsidRDefault="00382D5F" w:rsidP="005B5EDC">
            <w:pPr>
              <w:jc w:val="center"/>
              <w:rPr>
                <w:rFonts w:ascii="Verdana" w:hAnsi="Verdana"/>
                <w:b/>
                <w:color w:val="FFFFFF"/>
                <w:sz w:val="20"/>
                <w:szCs w:val="20"/>
              </w:rPr>
            </w:pPr>
            <w:r w:rsidRPr="00931551">
              <w:rPr>
                <w:rFonts w:ascii="Verdana" w:hAnsi="Verdana"/>
                <w:b/>
                <w:color w:val="FFFFFF"/>
                <w:sz w:val="20"/>
                <w:szCs w:val="20"/>
              </w:rPr>
              <w:t>Ownership category</w:t>
            </w:r>
          </w:p>
        </w:tc>
        <w:tc>
          <w:tcPr>
            <w:tcW w:w="4369" w:type="dxa"/>
            <w:shd w:val="clear" w:color="auto" w:fill="002060"/>
            <w:vAlign w:val="center"/>
          </w:tcPr>
          <w:p w14:paraId="2359B1D3" w14:textId="77777777" w:rsidR="00382D5F" w:rsidRPr="00931551" w:rsidRDefault="00382D5F" w:rsidP="005B5EDC">
            <w:pPr>
              <w:jc w:val="center"/>
              <w:rPr>
                <w:rFonts w:ascii="Verdana" w:hAnsi="Verdana"/>
                <w:b/>
                <w:color w:val="FFFFFF"/>
                <w:sz w:val="20"/>
                <w:szCs w:val="20"/>
              </w:rPr>
            </w:pPr>
            <w:r w:rsidRPr="00931551">
              <w:rPr>
                <w:rFonts w:ascii="Verdana" w:hAnsi="Verdana"/>
                <w:b/>
                <w:color w:val="FFFFFF"/>
                <w:sz w:val="20"/>
                <w:szCs w:val="20"/>
              </w:rPr>
              <w:t>% of ownership</w:t>
            </w:r>
          </w:p>
        </w:tc>
      </w:tr>
      <w:tr w:rsidR="00382D5F" w:rsidRPr="00196178" w14:paraId="2AA5E42B" w14:textId="77777777" w:rsidTr="005B5EDC">
        <w:trPr>
          <w:trHeight w:val="397"/>
        </w:trPr>
        <w:tc>
          <w:tcPr>
            <w:tcW w:w="5554" w:type="dxa"/>
            <w:shd w:val="clear" w:color="auto" w:fill="auto"/>
            <w:vAlign w:val="center"/>
          </w:tcPr>
          <w:p w14:paraId="195EC4E9" w14:textId="77777777" w:rsidR="00382D5F" w:rsidRPr="00931551" w:rsidRDefault="00382D5F" w:rsidP="005B5EDC">
            <w:pPr>
              <w:rPr>
                <w:rFonts w:ascii="Verdana" w:hAnsi="Verdana"/>
                <w:sz w:val="20"/>
                <w:szCs w:val="20"/>
              </w:rPr>
            </w:pPr>
            <w:r w:rsidRPr="00931551">
              <w:rPr>
                <w:rFonts w:ascii="Verdana" w:hAnsi="Verdana"/>
                <w:sz w:val="20"/>
                <w:szCs w:val="20"/>
              </w:rPr>
              <w:t>Black or historically disadvantage individual owned</w:t>
            </w:r>
          </w:p>
        </w:tc>
        <w:tc>
          <w:tcPr>
            <w:tcW w:w="4369" w:type="dxa"/>
            <w:shd w:val="clear" w:color="auto" w:fill="auto"/>
            <w:vAlign w:val="center"/>
          </w:tcPr>
          <w:p w14:paraId="63B4D03F" w14:textId="77777777" w:rsidR="00382D5F" w:rsidRPr="00931551" w:rsidRDefault="00382D5F" w:rsidP="005B5EDC">
            <w:pPr>
              <w:rPr>
                <w:rFonts w:ascii="Verdana" w:hAnsi="Verdana"/>
                <w:sz w:val="20"/>
                <w:szCs w:val="20"/>
              </w:rPr>
            </w:pPr>
          </w:p>
        </w:tc>
      </w:tr>
      <w:tr w:rsidR="00382D5F" w:rsidRPr="00196178" w14:paraId="5D294AC8" w14:textId="77777777" w:rsidTr="005B5EDC">
        <w:trPr>
          <w:trHeight w:val="397"/>
        </w:trPr>
        <w:tc>
          <w:tcPr>
            <w:tcW w:w="5554" w:type="dxa"/>
            <w:shd w:val="clear" w:color="auto" w:fill="auto"/>
            <w:vAlign w:val="center"/>
          </w:tcPr>
          <w:p w14:paraId="392F12F3" w14:textId="77777777" w:rsidR="00382D5F" w:rsidRPr="00931551" w:rsidRDefault="00382D5F" w:rsidP="005B5EDC">
            <w:pPr>
              <w:rPr>
                <w:rFonts w:ascii="Verdana" w:hAnsi="Verdana"/>
                <w:sz w:val="20"/>
                <w:szCs w:val="20"/>
              </w:rPr>
            </w:pPr>
            <w:r w:rsidRPr="00931551">
              <w:rPr>
                <w:rFonts w:ascii="Verdana" w:hAnsi="Verdana"/>
                <w:sz w:val="20"/>
                <w:szCs w:val="20"/>
              </w:rPr>
              <w:t>Black women owned</w:t>
            </w:r>
          </w:p>
        </w:tc>
        <w:tc>
          <w:tcPr>
            <w:tcW w:w="4369" w:type="dxa"/>
            <w:shd w:val="clear" w:color="auto" w:fill="auto"/>
            <w:vAlign w:val="center"/>
          </w:tcPr>
          <w:p w14:paraId="5DF6B923" w14:textId="77777777" w:rsidR="00382D5F" w:rsidRPr="00931551" w:rsidRDefault="00382D5F" w:rsidP="005B5EDC">
            <w:pPr>
              <w:rPr>
                <w:rFonts w:ascii="Verdana" w:hAnsi="Verdana"/>
                <w:sz w:val="20"/>
                <w:szCs w:val="20"/>
              </w:rPr>
            </w:pPr>
          </w:p>
        </w:tc>
      </w:tr>
      <w:tr w:rsidR="00382D5F" w:rsidRPr="00196178" w14:paraId="069517E0" w14:textId="77777777" w:rsidTr="005B5EDC">
        <w:trPr>
          <w:trHeight w:val="397"/>
        </w:trPr>
        <w:tc>
          <w:tcPr>
            <w:tcW w:w="5554" w:type="dxa"/>
            <w:shd w:val="clear" w:color="auto" w:fill="auto"/>
            <w:vAlign w:val="center"/>
          </w:tcPr>
          <w:p w14:paraId="1426B70C" w14:textId="77777777" w:rsidR="00382D5F" w:rsidRPr="00931551" w:rsidRDefault="00382D5F" w:rsidP="005B5EDC">
            <w:pPr>
              <w:rPr>
                <w:rFonts w:ascii="Verdana" w:hAnsi="Verdana"/>
                <w:sz w:val="20"/>
                <w:szCs w:val="20"/>
              </w:rPr>
            </w:pPr>
            <w:r w:rsidRPr="00931551">
              <w:rPr>
                <w:rFonts w:ascii="Verdana" w:hAnsi="Verdana"/>
                <w:sz w:val="20"/>
                <w:szCs w:val="20"/>
              </w:rPr>
              <w:t>Black youth owned</w:t>
            </w:r>
          </w:p>
        </w:tc>
        <w:tc>
          <w:tcPr>
            <w:tcW w:w="4369" w:type="dxa"/>
            <w:shd w:val="clear" w:color="auto" w:fill="auto"/>
            <w:vAlign w:val="center"/>
          </w:tcPr>
          <w:p w14:paraId="2C48F96A" w14:textId="77777777" w:rsidR="00382D5F" w:rsidRPr="00931551" w:rsidRDefault="00382D5F" w:rsidP="005B5EDC">
            <w:pPr>
              <w:rPr>
                <w:rFonts w:ascii="Verdana" w:hAnsi="Verdana"/>
                <w:sz w:val="20"/>
                <w:szCs w:val="20"/>
              </w:rPr>
            </w:pPr>
          </w:p>
        </w:tc>
      </w:tr>
      <w:tr w:rsidR="00382D5F" w:rsidRPr="00196178" w14:paraId="7CA53565" w14:textId="77777777" w:rsidTr="005B5EDC">
        <w:trPr>
          <w:trHeight w:val="397"/>
        </w:trPr>
        <w:tc>
          <w:tcPr>
            <w:tcW w:w="5554" w:type="dxa"/>
            <w:shd w:val="clear" w:color="auto" w:fill="auto"/>
            <w:vAlign w:val="center"/>
          </w:tcPr>
          <w:p w14:paraId="20C1A0FA" w14:textId="77777777" w:rsidR="00382D5F" w:rsidRPr="00931551" w:rsidRDefault="00382D5F" w:rsidP="005B5EDC">
            <w:pPr>
              <w:rPr>
                <w:rFonts w:ascii="Verdana" w:hAnsi="Verdana"/>
                <w:sz w:val="20"/>
                <w:szCs w:val="20"/>
              </w:rPr>
            </w:pPr>
            <w:r w:rsidRPr="00931551">
              <w:rPr>
                <w:rFonts w:ascii="Verdana" w:hAnsi="Verdana"/>
                <w:sz w:val="20"/>
                <w:szCs w:val="20"/>
              </w:rPr>
              <w:t xml:space="preserve">People living with disability </w:t>
            </w:r>
          </w:p>
        </w:tc>
        <w:tc>
          <w:tcPr>
            <w:tcW w:w="4369" w:type="dxa"/>
            <w:shd w:val="clear" w:color="auto" w:fill="auto"/>
            <w:vAlign w:val="center"/>
          </w:tcPr>
          <w:p w14:paraId="3F495DED" w14:textId="77777777" w:rsidR="00382D5F" w:rsidRPr="00931551" w:rsidRDefault="00382D5F" w:rsidP="005B5EDC">
            <w:pPr>
              <w:rPr>
                <w:rFonts w:ascii="Verdana" w:hAnsi="Verdana"/>
                <w:sz w:val="20"/>
                <w:szCs w:val="20"/>
              </w:rPr>
            </w:pPr>
          </w:p>
        </w:tc>
      </w:tr>
      <w:tr w:rsidR="00382D5F" w:rsidRPr="00196178" w14:paraId="202DD54B" w14:textId="77777777" w:rsidTr="005B5EDC">
        <w:trPr>
          <w:trHeight w:val="397"/>
        </w:trPr>
        <w:tc>
          <w:tcPr>
            <w:tcW w:w="5554" w:type="dxa"/>
            <w:shd w:val="clear" w:color="auto" w:fill="auto"/>
            <w:vAlign w:val="center"/>
          </w:tcPr>
          <w:p w14:paraId="68FE5DE6" w14:textId="77777777" w:rsidR="00382D5F" w:rsidRPr="00931551" w:rsidRDefault="00382D5F" w:rsidP="005B5EDC">
            <w:pPr>
              <w:rPr>
                <w:rFonts w:ascii="Verdana" w:hAnsi="Verdana"/>
                <w:sz w:val="20"/>
                <w:szCs w:val="20"/>
              </w:rPr>
            </w:pPr>
            <w:r w:rsidRPr="00931551">
              <w:rPr>
                <w:rFonts w:ascii="Verdana" w:hAnsi="Verdana"/>
                <w:sz w:val="20"/>
                <w:szCs w:val="20"/>
              </w:rPr>
              <w:t>Military veteran</w:t>
            </w:r>
          </w:p>
        </w:tc>
        <w:tc>
          <w:tcPr>
            <w:tcW w:w="4369" w:type="dxa"/>
            <w:shd w:val="clear" w:color="auto" w:fill="auto"/>
            <w:vAlign w:val="center"/>
          </w:tcPr>
          <w:p w14:paraId="0165244A" w14:textId="77777777" w:rsidR="00382D5F" w:rsidRPr="00931551" w:rsidRDefault="00382D5F" w:rsidP="005B5EDC">
            <w:pPr>
              <w:rPr>
                <w:rFonts w:ascii="Verdana" w:hAnsi="Verdana"/>
                <w:sz w:val="20"/>
                <w:szCs w:val="20"/>
              </w:rPr>
            </w:pPr>
          </w:p>
        </w:tc>
      </w:tr>
      <w:tr w:rsidR="00382D5F" w:rsidRPr="00196178" w14:paraId="5545C703" w14:textId="77777777" w:rsidTr="005B5EDC">
        <w:trPr>
          <w:trHeight w:val="397"/>
        </w:trPr>
        <w:tc>
          <w:tcPr>
            <w:tcW w:w="5554" w:type="dxa"/>
            <w:shd w:val="clear" w:color="auto" w:fill="auto"/>
            <w:vAlign w:val="center"/>
          </w:tcPr>
          <w:p w14:paraId="195C70BF" w14:textId="77777777" w:rsidR="00382D5F" w:rsidRPr="00931551" w:rsidRDefault="00382D5F" w:rsidP="005B5EDC">
            <w:pPr>
              <w:rPr>
                <w:rFonts w:ascii="Verdana" w:hAnsi="Verdana"/>
                <w:sz w:val="20"/>
                <w:szCs w:val="20"/>
              </w:rPr>
            </w:pPr>
            <w:r w:rsidRPr="00931551">
              <w:rPr>
                <w:rFonts w:ascii="Verdana" w:hAnsi="Verdana"/>
                <w:sz w:val="20"/>
                <w:szCs w:val="20"/>
              </w:rPr>
              <w:lastRenderedPageBreak/>
              <w:t>Other ownership</w:t>
            </w:r>
          </w:p>
        </w:tc>
        <w:tc>
          <w:tcPr>
            <w:tcW w:w="4369" w:type="dxa"/>
            <w:shd w:val="clear" w:color="auto" w:fill="auto"/>
            <w:vAlign w:val="center"/>
          </w:tcPr>
          <w:p w14:paraId="0A5E0DD8" w14:textId="77777777" w:rsidR="00382D5F" w:rsidRPr="00931551" w:rsidRDefault="00382D5F" w:rsidP="005B5EDC">
            <w:pPr>
              <w:rPr>
                <w:rFonts w:ascii="Verdana" w:hAnsi="Verdana"/>
                <w:sz w:val="20"/>
                <w:szCs w:val="20"/>
              </w:rPr>
            </w:pPr>
          </w:p>
        </w:tc>
      </w:tr>
      <w:tr w:rsidR="00382D5F" w:rsidRPr="00196178" w14:paraId="37655FBF" w14:textId="77777777" w:rsidTr="005B5EDC">
        <w:trPr>
          <w:trHeight w:val="397"/>
        </w:trPr>
        <w:tc>
          <w:tcPr>
            <w:tcW w:w="5554" w:type="dxa"/>
            <w:shd w:val="clear" w:color="auto" w:fill="auto"/>
            <w:vAlign w:val="center"/>
          </w:tcPr>
          <w:p w14:paraId="70F08E5F" w14:textId="77777777" w:rsidR="00382D5F" w:rsidRPr="00931551" w:rsidRDefault="00382D5F" w:rsidP="005B5EDC">
            <w:pPr>
              <w:rPr>
                <w:rFonts w:ascii="Verdana" w:hAnsi="Verdana"/>
                <w:b/>
                <w:sz w:val="20"/>
                <w:szCs w:val="20"/>
              </w:rPr>
            </w:pPr>
            <w:r w:rsidRPr="00931551">
              <w:rPr>
                <w:rFonts w:ascii="Verdana" w:hAnsi="Verdana"/>
                <w:b/>
                <w:sz w:val="20"/>
                <w:szCs w:val="20"/>
              </w:rPr>
              <w:t>Total (100%)</w:t>
            </w:r>
          </w:p>
        </w:tc>
        <w:tc>
          <w:tcPr>
            <w:tcW w:w="4369" w:type="dxa"/>
            <w:shd w:val="clear" w:color="auto" w:fill="auto"/>
            <w:vAlign w:val="center"/>
          </w:tcPr>
          <w:p w14:paraId="5792D795" w14:textId="77777777" w:rsidR="00382D5F" w:rsidRPr="00931551" w:rsidRDefault="00382D5F" w:rsidP="005B5EDC">
            <w:pPr>
              <w:rPr>
                <w:rFonts w:ascii="Verdana" w:hAnsi="Verdana"/>
                <w:sz w:val="20"/>
                <w:szCs w:val="20"/>
              </w:rPr>
            </w:pPr>
          </w:p>
        </w:tc>
      </w:tr>
    </w:tbl>
    <w:p w14:paraId="378ABBA2"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7DFAE5A"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4606957"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17CD76C"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ED7CAF0"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1AE324B"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0FAF9E4"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7EF923F"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99EFD0"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0255BC0"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C17F745"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E40E56F"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96517A2"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7089819"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064F561"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28A821C"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598A014"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330BACED"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C91C212"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7964484"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B49CA63"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03CBB72"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A57A40B"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F7E83B7" w14:textId="6A416043" w:rsidR="00382D5F" w:rsidRDefault="00382D5F" w:rsidP="00280038">
      <w:pPr>
        <w:pStyle w:val="Heading1"/>
        <w:tabs>
          <w:tab w:val="clear" w:pos="720"/>
          <w:tab w:val="clear" w:pos="1440"/>
          <w:tab w:val="clear" w:pos="2160"/>
          <w:tab w:val="clear" w:pos="2880"/>
        </w:tabs>
        <w:spacing w:line="360" w:lineRule="auto"/>
        <w:ind w:left="0" w:right="408" w:firstLine="0"/>
        <w:rPr>
          <w:color w:val="000080"/>
          <w:sz w:val="28"/>
          <w:szCs w:val="28"/>
        </w:rPr>
      </w:pPr>
    </w:p>
    <w:p w14:paraId="6916D2A3" w14:textId="2B9BB16D" w:rsidR="00280038" w:rsidRDefault="00280038" w:rsidP="00280038">
      <w:pPr>
        <w:rPr>
          <w:lang w:val="en-GB"/>
        </w:rPr>
      </w:pPr>
    </w:p>
    <w:p w14:paraId="0EF25FE4" w14:textId="035577A3" w:rsidR="00280038" w:rsidRDefault="00280038" w:rsidP="00280038">
      <w:pPr>
        <w:rPr>
          <w:lang w:val="en-GB"/>
        </w:rPr>
      </w:pPr>
    </w:p>
    <w:p w14:paraId="00DB5879" w14:textId="79DDCC88" w:rsidR="00280038" w:rsidRDefault="00280038" w:rsidP="00280038">
      <w:pPr>
        <w:rPr>
          <w:lang w:val="en-GB"/>
        </w:rPr>
      </w:pPr>
    </w:p>
    <w:p w14:paraId="4CFC6E8C" w14:textId="77777777" w:rsidR="00280038" w:rsidRPr="00280038" w:rsidRDefault="00280038" w:rsidP="00280038">
      <w:pPr>
        <w:rPr>
          <w:lang w:val="en-GB"/>
        </w:rPr>
      </w:pPr>
    </w:p>
    <w:p w14:paraId="370CA0C5" w14:textId="77777777" w:rsidR="00382D5F" w:rsidRDefault="00382D5F"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230A0A0" w14:textId="33900495" w:rsidR="00D95120" w:rsidRDefault="00EA6B35"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 w:name="_Toc459824248"/>
      <w:bookmarkStart w:id="5" w:name="_Toc68878747"/>
      <w:r w:rsidRPr="007752E2">
        <w:rPr>
          <w:color w:val="000080"/>
          <w:sz w:val="28"/>
          <w:szCs w:val="28"/>
        </w:rPr>
        <w:t xml:space="preserve">BID </w:t>
      </w:r>
      <w:r w:rsidR="00775C50" w:rsidRPr="007752E2">
        <w:rPr>
          <w:color w:val="000080"/>
          <w:sz w:val="28"/>
          <w:szCs w:val="28"/>
        </w:rPr>
        <w:t>TERMS</w:t>
      </w:r>
      <w:bookmarkEnd w:id="4"/>
      <w:r w:rsidR="00702E7D" w:rsidRPr="007752E2">
        <w:rPr>
          <w:color w:val="000080"/>
          <w:sz w:val="28"/>
          <w:szCs w:val="28"/>
        </w:rPr>
        <w:t xml:space="preserve"> AND CONDITIONS</w:t>
      </w:r>
      <w:bookmarkEnd w:id="5"/>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6" w:name="_Toc97010976"/>
      <w:bookmarkStart w:id="7" w:name="_Toc150587191"/>
      <w:bookmarkStart w:id="8" w:name="_Toc199296469"/>
      <w:bookmarkStart w:id="9" w:name="_Toc454470835"/>
      <w:bookmarkStart w:id="10" w:name="_Toc459824249"/>
      <w:bookmarkStart w:id="11" w:name="_Toc68878748"/>
      <w:bookmarkEnd w:id="1"/>
      <w:bookmarkEnd w:id="2"/>
      <w:bookmarkEnd w:id="3"/>
      <w:r w:rsidRPr="00DE09D7">
        <w:rPr>
          <w:color w:val="000080"/>
          <w:sz w:val="28"/>
          <w:szCs w:val="28"/>
        </w:rPr>
        <w:t>D</w:t>
      </w:r>
      <w:r w:rsidR="00C03619" w:rsidRPr="00DE09D7">
        <w:rPr>
          <w:color w:val="000080"/>
          <w:sz w:val="28"/>
          <w:szCs w:val="28"/>
        </w:rPr>
        <w:t>efinitions</w:t>
      </w:r>
      <w:bookmarkEnd w:id="6"/>
      <w:bookmarkEnd w:id="7"/>
      <w:bookmarkEnd w:id="8"/>
      <w:bookmarkEnd w:id="9"/>
      <w:bookmarkEnd w:id="10"/>
      <w:bookmarkEnd w:id="11"/>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2" w:name="_Toc454470836"/>
      <w:bookmarkStart w:id="13" w:name="_Toc459824250"/>
      <w:bookmarkStart w:id="14" w:name="_Toc68878749"/>
      <w:r w:rsidRPr="000563DE">
        <w:rPr>
          <w:color w:val="000080"/>
          <w:sz w:val="28"/>
          <w:szCs w:val="28"/>
        </w:rPr>
        <w:t>Acronyms and abbreviations</w:t>
      </w:r>
      <w:bookmarkEnd w:id="12"/>
      <w:bookmarkEnd w:id="13"/>
      <w:bookmarkEnd w:id="14"/>
    </w:p>
    <w:p w14:paraId="2192AE2F"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lastRenderedPageBreak/>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5" w:name="_Toc150587193"/>
      <w:bookmarkStart w:id="16" w:name="_Toc199296471"/>
      <w:bookmarkStart w:id="17"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8" w:name="_Toc454470837"/>
      <w:bookmarkStart w:id="19" w:name="_Toc459824251"/>
      <w:bookmarkStart w:id="20" w:name="_Toc68878750"/>
      <w:r w:rsidRPr="003F13D0">
        <w:rPr>
          <w:color w:val="000080"/>
          <w:sz w:val="28"/>
          <w:szCs w:val="28"/>
        </w:rPr>
        <w:t>G</w:t>
      </w:r>
      <w:r w:rsidR="00C03619" w:rsidRPr="003F13D0">
        <w:rPr>
          <w:color w:val="000080"/>
          <w:sz w:val="28"/>
          <w:szCs w:val="28"/>
        </w:rPr>
        <w:t>eneral rules and instructions</w:t>
      </w:r>
      <w:bookmarkEnd w:id="15"/>
      <w:bookmarkEnd w:id="16"/>
      <w:bookmarkEnd w:id="18"/>
      <w:bookmarkEnd w:id="19"/>
      <w:bookmarkEnd w:id="20"/>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1"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1"/>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w:t>
      </w:r>
      <w:r>
        <w:rPr>
          <w:rStyle w:val="Hyperlink"/>
          <w:rFonts w:ascii="Verdana" w:hAnsi="Verdana" w:cs="Arial"/>
          <w:color w:val="auto"/>
          <w:sz w:val="20"/>
          <w:szCs w:val="20"/>
          <w:u w:val="none"/>
        </w:rPr>
        <w:lastRenderedPageBreak/>
        <w:t xml:space="preserve">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2" w:name="_Toc454470839"/>
      <w:bookmarkStart w:id="23" w:name="_Toc459824253"/>
      <w:bookmarkStart w:id="24" w:name="_Toc68878751"/>
      <w:bookmarkStart w:id="25" w:name="_Toc150587198"/>
      <w:bookmarkStart w:id="26"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2"/>
      <w:bookmarkEnd w:id="23"/>
      <w:bookmarkEnd w:id="24"/>
      <w:r w:rsidR="00892D48" w:rsidRPr="00892D48">
        <w:rPr>
          <w:rFonts w:ascii="Verdana" w:hAnsi="Verdana"/>
          <w:sz w:val="20"/>
        </w:rPr>
        <w:t xml:space="preserve"> </w:t>
      </w:r>
      <w:bookmarkEnd w:id="25"/>
      <w:bookmarkEnd w:id="26"/>
    </w:p>
    <w:p w14:paraId="09ED82C2" w14:textId="51A10ADD"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2A2AB2A1" w14:textId="77777777" w:rsidR="00EA6B35" w:rsidRDefault="00EA6B35" w:rsidP="00201862">
      <w:pPr>
        <w:pStyle w:val="ListParagraph"/>
        <w:spacing w:line="360" w:lineRule="auto"/>
        <w:ind w:left="993" w:hanging="993"/>
        <w:jc w:val="both"/>
        <w:rPr>
          <w:rFonts w:ascii="Verdana" w:hAnsi="Verdana"/>
          <w:sz w:val="20"/>
          <w:szCs w:val="20"/>
          <w:lang w:val="en-US"/>
        </w:rPr>
      </w:pP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3A11FF5" w14:textId="76F38E2A" w:rsidR="007752E2" w:rsidRPr="00EA6B35" w:rsidRDefault="00B94517" w:rsidP="00EA6B35">
      <w:pPr>
        <w:spacing w:line="360" w:lineRule="auto"/>
        <w:ind w:left="993" w:hanging="993"/>
        <w:jc w:val="both"/>
        <w:rPr>
          <w:rFonts w:ascii="Verdana" w:hAnsi="Verdana"/>
          <w:bCs/>
          <w:sz w:val="20"/>
          <w:szCs w:val="20"/>
        </w:rPr>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17F46152" w:rsidR="004A4B70" w:rsidRPr="001652BC" w:rsidRDefault="00382D5F"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 xml:space="preserve">Submitted via </w:t>
      </w:r>
      <w:proofErr w:type="spellStart"/>
      <w:r>
        <w:rPr>
          <w:rFonts w:ascii="Verdana" w:hAnsi="Verdana"/>
          <w:sz w:val="20"/>
          <w:szCs w:val="20"/>
          <w:lang w:val="en-US"/>
        </w:rPr>
        <w:t>gCommerce</w:t>
      </w:r>
      <w:proofErr w:type="spellEnd"/>
      <w:r>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All additions to the proposal documents i.e. annexes,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7" w:name="Response"/>
      <w:bookmarkStart w:id="28" w:name="_Toc150587194"/>
      <w:bookmarkStart w:id="29" w:name="_Toc199296472"/>
    </w:p>
    <w:p w14:paraId="160B2E1F" w14:textId="77777777" w:rsidR="007752E2" w:rsidRDefault="007752E2" w:rsidP="00E559AD">
      <w:pPr>
        <w:spacing w:line="360" w:lineRule="auto"/>
        <w:ind w:left="1418" w:hanging="1418"/>
        <w:jc w:val="both"/>
        <w:rPr>
          <w:rFonts w:ascii="Verdana" w:hAnsi="Verdana" w:cs="Arial"/>
          <w:b/>
          <w:bCs/>
          <w:sz w:val="20"/>
          <w:szCs w:val="20"/>
        </w:rPr>
      </w:pPr>
    </w:p>
    <w:bookmarkEnd w:id="27"/>
    <w:bookmarkEnd w:id="28"/>
    <w:bookmarkEnd w:id="29"/>
    <w:p w14:paraId="06CF7797" w14:textId="449A58D4" w:rsidR="002769C5" w:rsidRPr="00F657E4" w:rsidRDefault="00EA6B35"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r>
        <w:rPr>
          <w:color w:val="000080"/>
          <w:sz w:val="28"/>
          <w:szCs w:val="28"/>
        </w:rPr>
        <w:lastRenderedPageBreak/>
        <w:t>RF</w:t>
      </w:r>
      <w:r w:rsidR="00382D5F">
        <w:rPr>
          <w:color w:val="000080"/>
          <w:sz w:val="28"/>
          <w:szCs w:val="28"/>
        </w:rPr>
        <w:t>Q</w:t>
      </w:r>
      <w:r w:rsidRPr="00F657E4">
        <w:rPr>
          <w:color w:val="000080"/>
          <w:sz w:val="28"/>
          <w:szCs w:val="28"/>
        </w:rPr>
        <w:t xml:space="preserve"> </w:t>
      </w:r>
      <w:proofErr w:type="spellStart"/>
      <w:r w:rsidRPr="00F657E4">
        <w:rPr>
          <w:color w:val="000080"/>
          <w:sz w:val="28"/>
          <w:szCs w:val="28"/>
        </w:rPr>
        <w:t>Returnables</w:t>
      </w:r>
      <w:proofErr w:type="spell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715258CA" w14:textId="6F045D7A" w:rsidR="001D097B" w:rsidRDefault="00775C50" w:rsidP="00EA6B35">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1582F8E0" w14:textId="3510C880" w:rsidR="00EA6B35" w:rsidRDefault="00EA6B35" w:rsidP="00EA6B35">
      <w:pPr>
        <w:tabs>
          <w:tab w:val="left" w:pos="2880"/>
          <w:tab w:val="num" w:pos="3000"/>
          <w:tab w:val="num" w:pos="3240"/>
        </w:tabs>
        <w:spacing w:line="360" w:lineRule="auto"/>
        <w:ind w:left="993" w:hanging="993"/>
        <w:jc w:val="both"/>
        <w:rPr>
          <w:rFonts w:ascii="Verdana" w:hAnsi="Verdana" w:cs="Arial"/>
          <w:sz w:val="20"/>
          <w:szCs w:val="20"/>
        </w:rPr>
      </w:pPr>
    </w:p>
    <w:p w14:paraId="5FE8AD91" w14:textId="712A0DCB"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75602612" w14:textId="243D330B"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5ADBE6EA" w14:textId="2F351767"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22CF9A38" w14:textId="7D0305B7"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77FF3B22" w14:textId="1FBDCAE3"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4F1D331E" w14:textId="1FCF4970"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6E411F6F" w14:textId="686D6314"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477EDCD8" w14:textId="492AA699"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04461679" w14:textId="1278698D" w:rsidR="003157EF" w:rsidRDefault="003157EF" w:rsidP="00EA6B35">
      <w:pPr>
        <w:tabs>
          <w:tab w:val="left" w:pos="2880"/>
          <w:tab w:val="num" w:pos="3000"/>
          <w:tab w:val="num" w:pos="3240"/>
        </w:tabs>
        <w:spacing w:line="360" w:lineRule="auto"/>
        <w:ind w:left="993" w:hanging="993"/>
        <w:jc w:val="both"/>
        <w:rPr>
          <w:rFonts w:ascii="Verdana" w:hAnsi="Verdana" w:cs="Arial"/>
          <w:sz w:val="20"/>
          <w:szCs w:val="20"/>
        </w:rPr>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0" w:name="_Toc381779723"/>
      <w:bookmarkStart w:id="31" w:name="_Toc381780668"/>
      <w:bookmarkStart w:id="32" w:name="_Toc384898807"/>
      <w:bookmarkStart w:id="33" w:name="_Toc68878753"/>
      <w:bookmarkStart w:id="34" w:name="_Toc454470842"/>
      <w:bookmarkStart w:id="35" w:name="_Toc459824255"/>
      <w:bookmarkStart w:id="36" w:name="_Toc97010979"/>
      <w:bookmarkStart w:id="37" w:name="_Toc150587199"/>
      <w:bookmarkStart w:id="38" w:name="_Toc199296476"/>
      <w:bookmarkEnd w:id="17"/>
      <w:bookmarkEnd w:id="30"/>
      <w:bookmarkEnd w:id="31"/>
      <w:bookmarkEnd w:id="32"/>
      <w:r>
        <w:rPr>
          <w:rStyle w:val="Heading12"/>
          <w:b/>
          <w:bCs/>
          <w:color w:val="000080"/>
          <w:sz w:val="28"/>
        </w:rPr>
        <w:lastRenderedPageBreak/>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3"/>
      <w:r w:rsidR="0020236F" w:rsidRPr="00413792">
        <w:rPr>
          <w:rStyle w:val="Heading12"/>
          <w:b/>
          <w:bCs/>
          <w:color w:val="000080"/>
          <w:sz w:val="28"/>
        </w:rPr>
        <w:t xml:space="preserve"> </w:t>
      </w:r>
      <w:bookmarkEnd w:id="34"/>
      <w:bookmarkEnd w:id="35"/>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1201FCD1"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w:t>
      </w:r>
      <w:r w:rsidR="00D12D39">
        <w:rPr>
          <w:rFonts w:ascii="Verdana" w:hAnsi="Verdana" w:cs="Arial"/>
          <w:bCs/>
          <w:snapToGrid w:val="0"/>
          <w:sz w:val="18"/>
          <w:szCs w:val="18"/>
        </w:rPr>
        <w:t>B</w:t>
      </w:r>
      <w:r w:rsidRPr="002A0DFF">
        <w:rPr>
          <w:rFonts w:ascii="Verdana" w:hAnsi="Verdana" w:cs="Arial"/>
          <w:bCs/>
          <w:snapToGrid w:val="0"/>
          <w:sz w:val="18"/>
          <w:szCs w:val="18"/>
        </w:rPr>
        <w:t xml:space="preserve">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2036BC51"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w:t>
      </w:r>
      <w:r w:rsidR="00D12D39">
        <w:rPr>
          <w:rFonts w:ascii="Verdana" w:hAnsi="Verdana"/>
          <w:sz w:val="18"/>
          <w:szCs w:val="18"/>
        </w:rPr>
        <w:t>B</w:t>
      </w:r>
      <w:r w:rsidR="008C0EBF" w:rsidRPr="002A0DFF">
        <w:rPr>
          <w:rFonts w:ascii="Verdana" w:hAnsi="Verdana"/>
          <w:sz w:val="18"/>
          <w:szCs w:val="18"/>
        </w:rPr>
        <w:t xml:space="preserve">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1F5F144F"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w:t>
      </w:r>
      <w:r w:rsidR="00D12D39">
        <w:rPr>
          <w:rFonts w:ascii="Verdana" w:hAnsi="Verdana"/>
          <w:sz w:val="18"/>
          <w:szCs w:val="18"/>
        </w:rPr>
        <w:t>B</w:t>
      </w:r>
      <w:r w:rsidR="008C0EBF" w:rsidRPr="002A0DFF">
        <w:rPr>
          <w:rFonts w:ascii="Verdana" w:hAnsi="Verdana"/>
          <w:sz w:val="18"/>
          <w:szCs w:val="18"/>
        </w:rPr>
        <w:t xml:space="preserve">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 xml:space="preserve">Failure or neglect by SITA to (at any time) enforce any of the provisions of this proposal shall not, in any manner, be construed to be a waiver of any of SITA’s right in that regard and in terms of this </w:t>
      </w:r>
      <w:r w:rsidR="008C0EBF" w:rsidRPr="002A0DFF">
        <w:rPr>
          <w:rFonts w:ascii="Verdana" w:hAnsi="Verdana"/>
          <w:sz w:val="18"/>
          <w:szCs w:val="18"/>
        </w:rPr>
        <w:lastRenderedPageBreak/>
        <w:t>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5B1D3564"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w:t>
            </w:r>
            <w:r w:rsidR="00D12D39">
              <w:rPr>
                <w:rFonts w:ascii="Verdana" w:hAnsi="Verdana"/>
                <w:sz w:val="18"/>
                <w:szCs w:val="18"/>
              </w:rPr>
              <w:t>B</w:t>
            </w:r>
            <w:r w:rsidRPr="002A0DFF">
              <w:rPr>
                <w:rFonts w:ascii="Verdana" w:hAnsi="Verdana"/>
                <w:sz w:val="18"/>
                <w:szCs w:val="18"/>
              </w:rPr>
              <w:t>,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3E7336B8"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w:t>
            </w:r>
            <w:r w:rsidR="00D12D39">
              <w:rPr>
                <w:rFonts w:ascii="Verdana" w:hAnsi="Verdana"/>
                <w:sz w:val="18"/>
                <w:szCs w:val="18"/>
              </w:rPr>
              <w:t>B</w:t>
            </w:r>
            <w:r w:rsidRPr="002A0DFF">
              <w:rPr>
                <w:rFonts w:ascii="Verdana" w:hAnsi="Verdana"/>
                <w:sz w:val="18"/>
                <w:szCs w:val="18"/>
              </w:rPr>
              <w:t xml:space="preserve">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5ADE257C"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w:t>
            </w:r>
            <w:r w:rsidR="00D12D39">
              <w:rPr>
                <w:rFonts w:ascii="Verdana" w:hAnsi="Verdana"/>
                <w:sz w:val="18"/>
                <w:szCs w:val="18"/>
              </w:rPr>
              <w:t>B</w:t>
            </w:r>
            <w:r w:rsidRPr="002A0DFF">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3AA30B6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lastRenderedPageBreak/>
              <w:t>Upon receipt of the request to extend the validity period of the RF</w:t>
            </w:r>
            <w:r w:rsidR="00D12D39">
              <w:rPr>
                <w:rFonts w:ascii="Verdana" w:hAnsi="Verdana"/>
                <w:sz w:val="18"/>
                <w:szCs w:val="18"/>
              </w:rPr>
              <w:t>B</w:t>
            </w:r>
            <w:r w:rsidRPr="002A0DFF">
              <w:rPr>
                <w:rFonts w:ascii="Verdana" w:hAnsi="Verdana"/>
                <w:sz w:val="18"/>
                <w:szCs w:val="18"/>
              </w:rPr>
              <w:t>, the bidder must respond within the required time frames and in writing on whether or not he agrees to hold his original RF</w:t>
            </w:r>
            <w:r w:rsidR="00D12D39">
              <w:rPr>
                <w:rFonts w:ascii="Verdana" w:hAnsi="Verdana"/>
                <w:sz w:val="18"/>
                <w:szCs w:val="18"/>
              </w:rPr>
              <w:t>B</w:t>
            </w:r>
            <w:r w:rsidRPr="002A0DFF">
              <w:rPr>
                <w:rFonts w:ascii="Verdana" w:hAnsi="Verdana"/>
                <w:sz w:val="18"/>
                <w:szCs w:val="18"/>
              </w:rPr>
              <w:t xml:space="preserve">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45FC9626"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change any wording or phrase in this document, the RF</w:t>
            </w:r>
            <w:r w:rsidR="00D12D39">
              <w:rPr>
                <w:rFonts w:ascii="Verdana" w:hAnsi="Verdana"/>
                <w:sz w:val="18"/>
                <w:szCs w:val="18"/>
              </w:rPr>
              <w:t>B</w:t>
            </w:r>
            <w:r w:rsidRPr="002A0DFF">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76DE3FA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w:t>
            </w:r>
            <w:r w:rsidR="00D12D39">
              <w:rPr>
                <w:rFonts w:ascii="Verdana" w:hAnsi="Verdana"/>
                <w:sz w:val="18"/>
                <w:szCs w:val="18"/>
              </w:rPr>
              <w:t>B’</w:t>
            </w:r>
            <w:r w:rsidRPr="002A0DFF">
              <w:rPr>
                <w:rFonts w:ascii="Verdana" w:hAnsi="Verdana"/>
                <w:sz w:val="18"/>
                <w:szCs w:val="18"/>
              </w:rPr>
              <w:t>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6"/>
      <w:bookmarkEnd w:id="37"/>
      <w:bookmarkEnd w:id="38"/>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39" w:name="_Toc459824256"/>
      <w:bookmarkStart w:id="40" w:name="_Toc68878754"/>
      <w:r>
        <w:rPr>
          <w:color w:val="000080"/>
          <w:sz w:val="28"/>
          <w:szCs w:val="28"/>
        </w:rPr>
        <w:t>Standard Bid Documents (SBDs)</w:t>
      </w:r>
      <w:bookmarkEnd w:id="39"/>
      <w:bookmarkEnd w:id="40"/>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3D76EE11"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r w:rsidR="000B5883" w:rsidRPr="00194B3D">
        <w:rPr>
          <w:rFonts w:ascii="Verdana" w:hAnsi="Verdana"/>
          <w:sz w:val="20"/>
          <w:szCs w:val="20"/>
          <w:lang w:val="en-GB"/>
        </w:rPr>
        <w:t>shareholder) _</w:t>
      </w:r>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3976E3A9"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r w:rsidR="000B5883" w:rsidRPr="00CB6BCD">
        <w:rPr>
          <w:rFonts w:ascii="Verdana" w:hAnsi="Verdana"/>
          <w:sz w:val="20"/>
          <w:szCs w:val="20"/>
        </w:rPr>
        <w:t>member:</w:t>
      </w:r>
      <w:r w:rsidR="000B5883">
        <w:rPr>
          <w:rFonts w:ascii="Verdana" w:hAnsi="Verdana"/>
          <w:sz w:val="20"/>
          <w:szCs w:val="20"/>
        </w:rPr>
        <w:t xml:space="preserve"> _</w:t>
      </w:r>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77E2A99A"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07F329E5"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1"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1"/>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1" o:title=""/>
          </v:shape>
          <o:OLEObject Type="Embed" ProgID="Equation.3" ShapeID="_x0000_i1025" DrawAspect="Content" ObjectID="_1706077438" r:id="rId12"/>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2.4pt;height:33.6pt" o:ole="" fillcolor="window">
            <v:imagedata r:id="rId13" o:title=""/>
          </v:shape>
          <o:OLEObject Type="Embed" ProgID="Equation.3" ShapeID="_x0000_i1026" DrawAspect="Content" ObjectID="_1706077439" r:id="rId14"/>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bookmarkStart w:id="72" w:name="_Hlk86229561"/>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bookmarkEnd w:id="72"/>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lastRenderedPageBreak/>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0B5883" w:rsidRDefault="000B5883" w:rsidP="00D31A72"/>
                          <w:p w14:paraId="5AE86785" w14:textId="77777777" w:rsidR="000B5883" w:rsidRDefault="000B5883" w:rsidP="00D31A72"/>
                          <w:p w14:paraId="20D840DF" w14:textId="77777777" w:rsidR="000B5883" w:rsidRPr="00585866" w:rsidRDefault="000B5883" w:rsidP="00D31A72">
                            <w:pPr>
                              <w:jc w:val="center"/>
                              <w:rPr>
                                <w:rFonts w:ascii="Arial" w:hAnsi="Arial" w:cs="Arial"/>
                                <w:sz w:val="18"/>
                                <w:szCs w:val="18"/>
                              </w:rPr>
                            </w:pPr>
                            <w:r w:rsidRPr="00585866">
                              <w:rPr>
                                <w:rFonts w:ascii="Arial" w:hAnsi="Arial" w:cs="Arial"/>
                                <w:sz w:val="18"/>
                                <w:szCs w:val="18"/>
                              </w:rPr>
                              <w:t>……………………………………….</w:t>
                            </w:r>
                          </w:p>
                          <w:p w14:paraId="233D5F8A" w14:textId="77777777" w:rsidR="000B5883" w:rsidRPr="00585866" w:rsidRDefault="000B5883"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0B5883" w:rsidRPr="00585866" w:rsidRDefault="000B5883" w:rsidP="00D31A72">
                            <w:pPr>
                              <w:rPr>
                                <w:rFonts w:ascii="Arial" w:hAnsi="Arial" w:cs="Arial"/>
                                <w:sz w:val="18"/>
                                <w:szCs w:val="18"/>
                              </w:rPr>
                            </w:pPr>
                          </w:p>
                          <w:p w14:paraId="47E2D07D"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0B5883" w:rsidRPr="00585866" w:rsidRDefault="000B588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0B5883" w:rsidRDefault="000B588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0B5883" w:rsidRDefault="000B5883" w:rsidP="00D31A72"/>
                    <w:p w14:paraId="5AE86785" w14:textId="77777777" w:rsidR="000B5883" w:rsidRDefault="000B5883" w:rsidP="00D31A72"/>
                    <w:p w14:paraId="20D840DF" w14:textId="77777777" w:rsidR="000B5883" w:rsidRPr="00585866" w:rsidRDefault="000B5883" w:rsidP="00D31A72">
                      <w:pPr>
                        <w:jc w:val="center"/>
                        <w:rPr>
                          <w:rFonts w:ascii="Arial" w:hAnsi="Arial" w:cs="Arial"/>
                          <w:sz w:val="18"/>
                          <w:szCs w:val="18"/>
                        </w:rPr>
                      </w:pPr>
                      <w:r w:rsidRPr="00585866">
                        <w:rPr>
                          <w:rFonts w:ascii="Arial" w:hAnsi="Arial" w:cs="Arial"/>
                          <w:sz w:val="18"/>
                          <w:szCs w:val="18"/>
                        </w:rPr>
                        <w:t>……………………………………….</w:t>
                      </w:r>
                    </w:p>
                    <w:p w14:paraId="233D5F8A" w14:textId="77777777" w:rsidR="000B5883" w:rsidRPr="00585866" w:rsidRDefault="000B5883"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0B5883" w:rsidRPr="00585866" w:rsidRDefault="000B5883" w:rsidP="00D31A72">
                      <w:pPr>
                        <w:rPr>
                          <w:rFonts w:ascii="Arial" w:hAnsi="Arial" w:cs="Arial"/>
                          <w:sz w:val="18"/>
                          <w:szCs w:val="18"/>
                        </w:rPr>
                      </w:pPr>
                    </w:p>
                    <w:p w14:paraId="47E2D07D"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0B5883" w:rsidRPr="00585866" w:rsidRDefault="000B588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0B5883" w:rsidRPr="00585866" w:rsidRDefault="000B588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0B5883" w:rsidRDefault="000B5883"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0B5883" w:rsidRDefault="000B5883" w:rsidP="00D31A72"/>
                          <w:p w14:paraId="799A4841" w14:textId="77777777" w:rsidR="000B5883" w:rsidRPr="00585866" w:rsidRDefault="000B5883" w:rsidP="00D31A72">
                            <w:pPr>
                              <w:rPr>
                                <w:rFonts w:ascii="Arial" w:hAnsi="Arial" w:cs="Arial"/>
                                <w:sz w:val="18"/>
                                <w:szCs w:val="18"/>
                              </w:rPr>
                            </w:pPr>
                            <w:r w:rsidRPr="00585866">
                              <w:rPr>
                                <w:rFonts w:ascii="Arial" w:hAnsi="Arial" w:cs="Arial"/>
                                <w:sz w:val="18"/>
                                <w:szCs w:val="18"/>
                              </w:rPr>
                              <w:t>WITNESSES</w:t>
                            </w:r>
                          </w:p>
                          <w:p w14:paraId="2ED2E165" w14:textId="77777777" w:rsidR="000B5883" w:rsidRPr="00585866" w:rsidRDefault="000B5883" w:rsidP="00D31A72">
                            <w:pPr>
                              <w:rPr>
                                <w:rFonts w:ascii="Arial" w:hAnsi="Arial" w:cs="Arial"/>
                                <w:sz w:val="18"/>
                                <w:szCs w:val="18"/>
                              </w:rPr>
                            </w:pPr>
                          </w:p>
                          <w:p w14:paraId="6B1DBC3A" w14:textId="77777777" w:rsidR="000B5883" w:rsidRPr="00585866" w:rsidRDefault="000B5883"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0B5883" w:rsidRPr="00585866" w:rsidRDefault="000B5883"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0B5883" w:rsidRDefault="000B588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0B5883" w:rsidRDefault="000B5883" w:rsidP="00D31A72"/>
                    <w:p w14:paraId="799A4841" w14:textId="77777777" w:rsidR="000B5883" w:rsidRPr="00585866" w:rsidRDefault="000B5883" w:rsidP="00D31A72">
                      <w:pPr>
                        <w:rPr>
                          <w:rFonts w:ascii="Arial" w:hAnsi="Arial" w:cs="Arial"/>
                          <w:sz w:val="18"/>
                          <w:szCs w:val="18"/>
                        </w:rPr>
                      </w:pPr>
                      <w:r w:rsidRPr="00585866">
                        <w:rPr>
                          <w:rFonts w:ascii="Arial" w:hAnsi="Arial" w:cs="Arial"/>
                          <w:sz w:val="18"/>
                          <w:szCs w:val="18"/>
                        </w:rPr>
                        <w:t>WITNESSES</w:t>
                      </w:r>
                    </w:p>
                    <w:p w14:paraId="2ED2E165" w14:textId="77777777" w:rsidR="000B5883" w:rsidRPr="00585866" w:rsidRDefault="000B5883" w:rsidP="00D31A72">
                      <w:pPr>
                        <w:rPr>
                          <w:rFonts w:ascii="Arial" w:hAnsi="Arial" w:cs="Arial"/>
                          <w:sz w:val="18"/>
                          <w:szCs w:val="18"/>
                        </w:rPr>
                      </w:pPr>
                    </w:p>
                    <w:p w14:paraId="6B1DBC3A" w14:textId="77777777" w:rsidR="000B5883" w:rsidRPr="00585866" w:rsidRDefault="000B5883"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0B5883" w:rsidRPr="00585866" w:rsidRDefault="000B5883"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0B5883" w:rsidRDefault="000B5883"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77777777" w:rsidR="00D31A72" w:rsidRDefault="00D31A72" w:rsidP="00D31A72">
      <w:pPr>
        <w:rPr>
          <w:lang w:val="en-GB"/>
        </w:rPr>
      </w:pPr>
    </w:p>
    <w:p w14:paraId="2CD44040" w14:textId="77777777" w:rsidR="00D31A72" w:rsidRDefault="00D31A72" w:rsidP="00D31A72">
      <w:pPr>
        <w:rPr>
          <w:lang w:val="en-GB"/>
        </w:rPr>
      </w:pPr>
    </w:p>
    <w:p w14:paraId="65B1AA45" w14:textId="77777777" w:rsidR="00D31A72" w:rsidRDefault="00D31A72" w:rsidP="00D31A72">
      <w:pPr>
        <w:rPr>
          <w:lang w:val="en-GB"/>
        </w:rPr>
      </w:pPr>
    </w:p>
    <w:p w14:paraId="6BDDFCCB" w14:textId="77777777" w:rsidR="00D31A72" w:rsidRDefault="00D31A72" w:rsidP="00D31A72">
      <w:pPr>
        <w:rPr>
          <w:lang w:val="en-GB"/>
        </w:rPr>
      </w:pPr>
    </w:p>
    <w:p w14:paraId="3E37EEE2" w14:textId="77777777" w:rsidR="00D31A72" w:rsidRDefault="00D31A72" w:rsidP="00D31A72">
      <w:pPr>
        <w:rPr>
          <w:lang w:val="en-GB"/>
        </w:rPr>
      </w:pPr>
    </w:p>
    <w:p w14:paraId="02D426C0" w14:textId="77777777" w:rsidR="00D31A72" w:rsidRDefault="00D31A72" w:rsidP="00D31A72">
      <w:pPr>
        <w:rPr>
          <w:lang w:val="en-GB"/>
        </w:rPr>
      </w:pPr>
    </w:p>
    <w:p w14:paraId="1FDF54A4" w14:textId="77777777" w:rsidR="00D31A72" w:rsidRDefault="00D31A72" w:rsidP="00D31A72">
      <w:pPr>
        <w:rPr>
          <w:lang w:val="en-GB"/>
        </w:rPr>
      </w:pPr>
    </w:p>
    <w:p w14:paraId="55BED698" w14:textId="77777777" w:rsidR="00D31A72" w:rsidRDefault="00D31A72" w:rsidP="00D31A72">
      <w:pPr>
        <w:rPr>
          <w:lang w:val="en-GB"/>
        </w:rPr>
      </w:pPr>
    </w:p>
    <w:p w14:paraId="153B6CD9" w14:textId="77777777" w:rsidR="00D31A72" w:rsidRDefault="00D31A72" w:rsidP="00D31A72">
      <w:pPr>
        <w:rPr>
          <w:lang w:val="en-GB"/>
        </w:rPr>
      </w:pPr>
    </w:p>
    <w:p w14:paraId="23CB7C54" w14:textId="77777777" w:rsidR="00D31A72" w:rsidRDefault="00D31A72" w:rsidP="00D31A72">
      <w:pPr>
        <w:rPr>
          <w:lang w:val="en-GB"/>
        </w:rPr>
      </w:pPr>
    </w:p>
    <w:p w14:paraId="506D5E88" w14:textId="77777777" w:rsidR="00D31A72" w:rsidRDefault="00D31A72" w:rsidP="00D31A72">
      <w:pPr>
        <w:rPr>
          <w:lang w:val="en-GB"/>
        </w:rPr>
      </w:pPr>
    </w:p>
    <w:p w14:paraId="0ED07435" w14:textId="77777777" w:rsidR="00D31A72" w:rsidRDefault="00D31A72" w:rsidP="00D31A72">
      <w:pPr>
        <w:rPr>
          <w:lang w:val="en-GB"/>
        </w:rPr>
      </w:pPr>
    </w:p>
    <w:p w14:paraId="6E06BED6" w14:textId="77777777" w:rsidR="00D31A72" w:rsidRDefault="00D31A72" w:rsidP="00D31A72">
      <w:pPr>
        <w:rPr>
          <w:lang w:val="en-GB"/>
        </w:rPr>
      </w:pPr>
    </w:p>
    <w:p w14:paraId="13D410AE" w14:textId="77777777" w:rsidR="00D31A72" w:rsidRDefault="00D31A72" w:rsidP="00D31A72">
      <w:pPr>
        <w:rPr>
          <w:lang w:val="en-GB"/>
        </w:rPr>
      </w:pPr>
    </w:p>
    <w:p w14:paraId="49909D48" w14:textId="77777777" w:rsidR="00D31A72" w:rsidRDefault="00D31A72" w:rsidP="00D31A72">
      <w:pPr>
        <w:rPr>
          <w:lang w:val="en-GB"/>
        </w:rPr>
      </w:pPr>
    </w:p>
    <w:p w14:paraId="4BEEA43A" w14:textId="77777777" w:rsidR="00D31A72" w:rsidRDefault="00D31A72" w:rsidP="00D31A72">
      <w:pPr>
        <w:rPr>
          <w:lang w:val="en-GB"/>
        </w:rPr>
      </w:pPr>
    </w:p>
    <w:p w14:paraId="1D1F3371" w14:textId="77777777" w:rsidR="00D31A72" w:rsidRDefault="00D31A72" w:rsidP="00D31A72">
      <w:pPr>
        <w:rPr>
          <w:lang w:val="en-GB"/>
        </w:rPr>
      </w:pPr>
    </w:p>
    <w:p w14:paraId="51053EE1" w14:textId="77777777" w:rsidR="00D31A72" w:rsidRDefault="00D31A72" w:rsidP="00D31A72">
      <w:pPr>
        <w:rPr>
          <w:lang w:val="en-GB"/>
        </w:rPr>
      </w:pPr>
    </w:p>
    <w:p w14:paraId="514A2CDB" w14:textId="77777777" w:rsidR="00D31A72" w:rsidRDefault="00D31A72" w:rsidP="00D31A72">
      <w:pPr>
        <w:rPr>
          <w:lang w:val="en-GB"/>
        </w:rPr>
      </w:pPr>
    </w:p>
    <w:p w14:paraId="25A7B5B6" w14:textId="77777777" w:rsidR="00D31A72" w:rsidRDefault="00D31A72" w:rsidP="00D31A72">
      <w:pPr>
        <w:rPr>
          <w:lang w:val="en-GB"/>
        </w:rPr>
      </w:pPr>
    </w:p>
    <w:p w14:paraId="2DF2CD07" w14:textId="77777777" w:rsidR="00D31A72" w:rsidRDefault="00D31A72" w:rsidP="00D31A72">
      <w:pPr>
        <w:rPr>
          <w:lang w:val="en-GB"/>
        </w:rPr>
      </w:pPr>
    </w:p>
    <w:p w14:paraId="56B04B13" w14:textId="77777777" w:rsidR="00D31A72" w:rsidRDefault="00D31A72" w:rsidP="00D31A72">
      <w:pPr>
        <w:rPr>
          <w:lang w:val="en-GB"/>
        </w:rPr>
      </w:pPr>
    </w:p>
    <w:p w14:paraId="443D0752" w14:textId="77777777" w:rsidR="00D31A72" w:rsidRDefault="00D31A72" w:rsidP="00D31A72">
      <w:pPr>
        <w:rPr>
          <w:lang w:val="en-GB"/>
        </w:rPr>
      </w:pPr>
    </w:p>
    <w:p w14:paraId="744EB272" w14:textId="77777777" w:rsidR="00D31A72" w:rsidRDefault="00D31A72" w:rsidP="00D31A72">
      <w:pPr>
        <w:rPr>
          <w:lang w:val="en-GB"/>
        </w:rPr>
      </w:pPr>
    </w:p>
    <w:p w14:paraId="0A20C191" w14:textId="77777777" w:rsidR="00D31A72" w:rsidRDefault="00D31A72" w:rsidP="00D31A72">
      <w:pPr>
        <w:rPr>
          <w:lang w:val="en-GB"/>
        </w:rPr>
      </w:pPr>
    </w:p>
    <w:p w14:paraId="25AE9EC9" w14:textId="77777777" w:rsidR="00D31A72" w:rsidRDefault="00D31A72" w:rsidP="00D31A72">
      <w:pPr>
        <w:rPr>
          <w:lang w:val="en-GB"/>
        </w:rPr>
      </w:pPr>
    </w:p>
    <w:p w14:paraId="370E46F5" w14:textId="03769BD3" w:rsidR="00D31A72" w:rsidRDefault="00D31A72" w:rsidP="00D31A72">
      <w:pPr>
        <w:rPr>
          <w:lang w:val="en-GB"/>
        </w:rPr>
      </w:pPr>
    </w:p>
    <w:p w14:paraId="7844AD6A" w14:textId="7DBDAB72" w:rsidR="00803C00" w:rsidRDefault="00803C00" w:rsidP="00D31A72">
      <w:pPr>
        <w:rPr>
          <w:lang w:val="en-GB"/>
        </w:rPr>
      </w:pPr>
    </w:p>
    <w:p w14:paraId="70674300" w14:textId="44824A51" w:rsidR="00803C00" w:rsidRDefault="00803C00" w:rsidP="00D31A72">
      <w:pPr>
        <w:rPr>
          <w:lang w:val="en-GB"/>
        </w:rPr>
      </w:pPr>
    </w:p>
    <w:p w14:paraId="5569CDE1" w14:textId="570C2361" w:rsidR="00803C00" w:rsidRDefault="00803C00" w:rsidP="00D31A72">
      <w:pPr>
        <w:rPr>
          <w:lang w:val="en-GB"/>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338E4DDC" w14:textId="77777777" w:rsidR="00D12D39" w:rsidRDefault="00D12D39" w:rsidP="00D31A72">
      <w:pPr>
        <w:spacing w:line="360" w:lineRule="auto"/>
        <w:rPr>
          <w:rFonts w:ascii="Arial" w:hAnsi="Arial"/>
          <w:b/>
          <w:snapToGrid w:val="0"/>
          <w:color w:val="000080"/>
          <w:sz w:val="28"/>
          <w:szCs w:val="28"/>
          <w:lang w:val="en-GB"/>
        </w:rPr>
      </w:pPr>
    </w:p>
    <w:p w14:paraId="44880B17" w14:textId="77777777" w:rsidR="00D12D39" w:rsidRDefault="00D12D39" w:rsidP="00D31A72">
      <w:pPr>
        <w:spacing w:line="360" w:lineRule="auto"/>
        <w:rPr>
          <w:rFonts w:ascii="Arial" w:hAnsi="Arial"/>
          <w:b/>
          <w:snapToGrid w:val="0"/>
          <w:color w:val="000080"/>
          <w:sz w:val="28"/>
          <w:szCs w:val="28"/>
          <w:lang w:val="en-GB"/>
        </w:rPr>
      </w:pPr>
    </w:p>
    <w:p w14:paraId="7449F22D" w14:textId="754DCB95"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38851AB9" w14:textId="16AEB6CD" w:rsidR="00D31A72" w:rsidRDefault="00D31A72" w:rsidP="00D31A72">
      <w:pPr>
        <w:spacing w:line="360" w:lineRule="auto"/>
        <w:rPr>
          <w:rFonts w:ascii="Arial" w:hAnsi="Arial"/>
          <w:b/>
          <w:snapToGrid w:val="0"/>
          <w:color w:val="000080"/>
          <w:sz w:val="28"/>
          <w:szCs w:val="28"/>
          <w:lang w:val="en-GB"/>
        </w:rPr>
      </w:pPr>
    </w:p>
    <w:p w14:paraId="47A78CCC" w14:textId="01D13C0A" w:rsidR="00126868" w:rsidRDefault="00126868" w:rsidP="00D31A72">
      <w:pPr>
        <w:spacing w:line="360" w:lineRule="auto"/>
        <w:rPr>
          <w:rFonts w:ascii="Arial" w:hAnsi="Arial"/>
          <w:b/>
          <w:snapToGrid w:val="0"/>
          <w:color w:val="000080"/>
          <w:sz w:val="28"/>
          <w:szCs w:val="28"/>
          <w:lang w:val="en-GB"/>
        </w:rPr>
      </w:pPr>
    </w:p>
    <w:p w14:paraId="52F8FB83" w14:textId="34D5AD0E" w:rsidR="00126868" w:rsidRDefault="00126868" w:rsidP="00D31A72">
      <w:pPr>
        <w:spacing w:line="360" w:lineRule="auto"/>
        <w:rPr>
          <w:rFonts w:ascii="Arial" w:hAnsi="Arial"/>
          <w:b/>
          <w:snapToGrid w:val="0"/>
          <w:color w:val="000080"/>
          <w:sz w:val="28"/>
          <w:szCs w:val="28"/>
          <w:lang w:val="en-GB"/>
        </w:rPr>
      </w:pPr>
    </w:p>
    <w:p w14:paraId="045CC21D" w14:textId="758F85B5" w:rsidR="00126868" w:rsidRDefault="00126868" w:rsidP="00D31A72">
      <w:pPr>
        <w:spacing w:line="360" w:lineRule="auto"/>
        <w:rPr>
          <w:rFonts w:ascii="Arial" w:hAnsi="Arial"/>
          <w:b/>
          <w:snapToGrid w:val="0"/>
          <w:color w:val="000080"/>
          <w:sz w:val="28"/>
          <w:szCs w:val="28"/>
          <w:lang w:val="en-GB"/>
        </w:rPr>
      </w:pPr>
    </w:p>
    <w:p w14:paraId="1E097348" w14:textId="77777777" w:rsidR="00126868" w:rsidRDefault="00126868" w:rsidP="00D31A72">
      <w:pPr>
        <w:spacing w:line="360" w:lineRule="auto"/>
        <w:rPr>
          <w:rFonts w:ascii="Arial" w:hAnsi="Arial"/>
          <w:b/>
          <w:snapToGrid w:val="0"/>
          <w:color w:val="000080"/>
          <w:sz w:val="28"/>
          <w:szCs w:val="28"/>
          <w:lang w:val="en-GB"/>
        </w:rPr>
      </w:pPr>
    </w:p>
    <w:p w14:paraId="655EF22A" w14:textId="77777777" w:rsidR="00D31A72" w:rsidRDefault="00D31A72"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3" w:name="_Toc454470861"/>
      <w:bookmarkStart w:id="74" w:name="_Toc459824258"/>
      <w:bookmarkStart w:id="75"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3"/>
      <w:bookmarkEnd w:id="74"/>
      <w:bookmarkEnd w:id="75"/>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5"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6" w:name="Check2"/>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76"/>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7" w:name="Check3"/>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77"/>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6"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8" w:name="Check1"/>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78"/>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9" w:name="Check4"/>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79"/>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0" w:name="Check8"/>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1" w:name="Check7"/>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EA5D2D">
              <w:rPr>
                <w:rFonts w:ascii="Verdana" w:hAnsi="Verdana"/>
                <w:sz w:val="20"/>
                <w:szCs w:val="20"/>
              </w:rPr>
            </w:r>
            <w:r w:rsidR="00EA5D2D">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D12D39" w:rsidRDefault="00543600" w:rsidP="00D12D39">
      <w:pPr>
        <w:pStyle w:val="BodyTextIndent"/>
        <w:ind w:left="900" w:hanging="720"/>
        <w:jc w:val="right"/>
        <w:rPr>
          <w:rFonts w:cs="Arial"/>
          <w:b/>
          <w:bCs/>
          <w:sz w:val="28"/>
          <w:szCs w:val="28"/>
        </w:rPr>
      </w:pPr>
      <w:r w:rsidRPr="00D12D39">
        <w:rPr>
          <w:rFonts w:cs="Arial"/>
          <w:b/>
          <w:bCs/>
          <w:sz w:val="28"/>
          <w:szCs w:val="28"/>
        </w:rPr>
        <w:lastRenderedPageBreak/>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57FFD847" w14:textId="77777777" w:rsidR="00BF3A0A" w:rsidRDefault="00BF3A0A" w:rsidP="006C4CF7">
      <w:pPr>
        <w:pStyle w:val="Default"/>
        <w:rPr>
          <w:color w:val="000080"/>
        </w:rPr>
      </w:pPr>
    </w:p>
    <w:p w14:paraId="0D1901B3" w14:textId="77777777" w:rsidR="00BF3A0A" w:rsidRDefault="00BF3A0A" w:rsidP="006C4CF7">
      <w:pPr>
        <w:pStyle w:val="Default"/>
        <w:rPr>
          <w:color w:val="000080"/>
        </w:rPr>
      </w:pPr>
    </w:p>
    <w:p w14:paraId="1362E4B4" w14:textId="77777777" w:rsidR="00B07F90" w:rsidRDefault="00B07F90" w:rsidP="006C4CF7">
      <w:pPr>
        <w:pStyle w:val="Default"/>
        <w:rPr>
          <w:color w:val="000080"/>
        </w:rPr>
      </w:pPr>
    </w:p>
    <w:p w14:paraId="53EC9B77" w14:textId="77777777" w:rsidR="00B07F90" w:rsidRDefault="00B07F90" w:rsidP="006C4CF7">
      <w:pPr>
        <w:pStyle w:val="Default"/>
        <w:rPr>
          <w:color w:val="000080"/>
        </w:rPr>
      </w:pPr>
    </w:p>
    <w:p w14:paraId="37150869" w14:textId="77777777" w:rsidR="00B07F90" w:rsidRDefault="00B07F90" w:rsidP="006C4CF7">
      <w:pPr>
        <w:pStyle w:val="Default"/>
        <w:rPr>
          <w:color w:val="000080"/>
        </w:rPr>
      </w:pPr>
    </w:p>
    <w:p w14:paraId="3CF0785D" w14:textId="77777777" w:rsidR="00B07F90" w:rsidRDefault="00B07F90" w:rsidP="006C4CF7">
      <w:pPr>
        <w:pStyle w:val="Default"/>
        <w:rPr>
          <w:color w:val="000080"/>
        </w:rPr>
      </w:pPr>
    </w:p>
    <w:p w14:paraId="704667EA" w14:textId="77777777" w:rsidR="00543600" w:rsidRDefault="00543600" w:rsidP="006C4CF7">
      <w:pPr>
        <w:pStyle w:val="Default"/>
        <w:rPr>
          <w:color w:val="000080"/>
        </w:rPr>
      </w:pPr>
    </w:p>
    <w:p w14:paraId="580D7DEF"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8A51278" w14:textId="77777777" w:rsidR="00D31A72" w:rsidRDefault="00D31A72"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77777777" w:rsidR="00BF3A0A" w:rsidRDefault="00BF3A0A"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7A426309" w14:textId="77777777" w:rsidR="00BF3A0A" w:rsidRDefault="00BF3A0A" w:rsidP="006C4CF7">
      <w:pPr>
        <w:rPr>
          <w:rFonts w:cs="Arial"/>
          <w:color w:val="000000"/>
          <w:lang w:val="en-US"/>
        </w:rPr>
      </w:pPr>
    </w:p>
    <w:p w14:paraId="5FDE56C4" w14:textId="77777777" w:rsidR="00BF3A0A" w:rsidRDefault="00BF3A0A" w:rsidP="006C4CF7">
      <w:pPr>
        <w:rPr>
          <w:rFonts w:cs="Arial"/>
          <w:color w:val="000000"/>
          <w:lang w:val="en-US"/>
        </w:rPr>
      </w:pPr>
    </w:p>
    <w:p w14:paraId="6FB378D6" w14:textId="77777777" w:rsidR="00BF3A0A" w:rsidRDefault="00BF3A0A" w:rsidP="006C4CF7">
      <w:pPr>
        <w:rPr>
          <w:rFonts w:cs="Arial"/>
          <w:color w:val="000000"/>
          <w:lang w:val="en-US"/>
        </w:rPr>
      </w:pPr>
    </w:p>
    <w:p w14:paraId="532FAF90" w14:textId="77777777" w:rsidR="00BF3A0A" w:rsidRDefault="00BF3A0A" w:rsidP="006C4CF7">
      <w:pPr>
        <w:rPr>
          <w:rFonts w:cs="Arial"/>
          <w:color w:val="000000"/>
          <w:lang w:val="en-US"/>
        </w:rPr>
      </w:pPr>
    </w:p>
    <w:p w14:paraId="676F1109" w14:textId="77777777" w:rsidR="00BF3A0A" w:rsidRDefault="00BF3A0A" w:rsidP="006C4CF7">
      <w:pPr>
        <w:rPr>
          <w:rFonts w:cs="Arial"/>
          <w:color w:val="000000"/>
          <w:lang w:val="en-US"/>
        </w:rPr>
      </w:pPr>
    </w:p>
    <w:p w14:paraId="2AED6B6D" w14:textId="77777777" w:rsidR="00BF3A0A" w:rsidRDefault="00BF3A0A" w:rsidP="006C4CF7">
      <w:pPr>
        <w:rPr>
          <w:rFonts w:cs="Arial"/>
          <w:color w:val="000000"/>
          <w:lang w:val="en-US"/>
        </w:rPr>
      </w:pPr>
    </w:p>
    <w:p w14:paraId="713EF050"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2" w:name="_Toc459824259"/>
      <w:bookmarkStart w:id="83" w:name="_Toc68878757"/>
      <w:r>
        <w:rPr>
          <w:color w:val="000080"/>
          <w:sz w:val="28"/>
          <w:szCs w:val="28"/>
        </w:rPr>
        <w:t>Government Procurement: General Conditions of Contract – July 2011</w:t>
      </w:r>
      <w:bookmarkEnd w:id="82"/>
      <w:bookmarkEnd w:id="83"/>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77777777" w:rsidR="00117061" w:rsidRPr="00AD0E29" w:rsidRDefault="00117061"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2B07E3E2"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8BE2AAB" w14:textId="77777777" w:rsidR="00117061" w:rsidRDefault="00117061" w:rsidP="0090296C">
      <w:pPr>
        <w:pStyle w:val="Tabletext"/>
        <w:tabs>
          <w:tab w:val="left" w:pos="851"/>
        </w:tabs>
        <w:spacing w:line="360" w:lineRule="auto"/>
        <w:ind w:left="851" w:hanging="851"/>
        <w:rPr>
          <w:sz w:val="20"/>
        </w:rPr>
      </w:pPr>
    </w:p>
    <w:p w14:paraId="6277CC98" w14:textId="77777777" w:rsidR="00117061" w:rsidRDefault="00117061" w:rsidP="0090296C">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7"/>
      <w:footerReference w:type="even" r:id="rId18"/>
      <w:footerReference w:type="default" r:id="rId19"/>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AA84" w14:textId="77777777" w:rsidR="00EA5D2D" w:rsidRDefault="00EA5D2D">
      <w:r>
        <w:separator/>
      </w:r>
    </w:p>
    <w:p w14:paraId="228537D0" w14:textId="77777777" w:rsidR="00EA5D2D" w:rsidRDefault="00EA5D2D"/>
  </w:endnote>
  <w:endnote w:type="continuationSeparator" w:id="0">
    <w:p w14:paraId="7B3CF870" w14:textId="77777777" w:rsidR="00EA5D2D" w:rsidRDefault="00EA5D2D">
      <w:r>
        <w:continuationSeparator/>
      </w:r>
    </w:p>
    <w:p w14:paraId="6D13DFB0" w14:textId="77777777" w:rsidR="00EA5D2D" w:rsidRDefault="00EA5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0B5883" w:rsidRDefault="000B5883"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0B5883" w:rsidRDefault="000B5883"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0B5883" w:rsidRPr="00487022" w14:paraId="55E6D609" w14:textId="77777777" w:rsidTr="007D7EDE">
      <w:trPr>
        <w:trHeight w:val="182"/>
        <w:jc w:val="center"/>
      </w:trPr>
      <w:tc>
        <w:tcPr>
          <w:tcW w:w="3373" w:type="dxa"/>
        </w:tcPr>
        <w:p w14:paraId="2537B423" w14:textId="77777777" w:rsidR="000B5883" w:rsidRPr="00BE7548" w:rsidRDefault="000B5883"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0B5883" w:rsidRPr="00487022" w:rsidRDefault="000B5883"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0B5883" w:rsidRPr="00487022" w:rsidRDefault="000B5883"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0B5883" w:rsidRDefault="000B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63CB" w14:textId="77777777" w:rsidR="00EA5D2D" w:rsidRDefault="00EA5D2D">
      <w:r>
        <w:separator/>
      </w:r>
    </w:p>
    <w:p w14:paraId="54ED4E7E" w14:textId="77777777" w:rsidR="00EA5D2D" w:rsidRDefault="00EA5D2D"/>
  </w:footnote>
  <w:footnote w:type="continuationSeparator" w:id="0">
    <w:p w14:paraId="3F7AB884" w14:textId="77777777" w:rsidR="00EA5D2D" w:rsidRDefault="00EA5D2D">
      <w:r>
        <w:continuationSeparator/>
      </w:r>
    </w:p>
    <w:p w14:paraId="62057AFD" w14:textId="77777777" w:rsidR="00EA5D2D" w:rsidRDefault="00EA5D2D"/>
  </w:footnote>
  <w:footnote w:id="1">
    <w:p w14:paraId="0D174EC6" w14:textId="77777777" w:rsidR="000B5883" w:rsidRDefault="000B5883"/>
    <w:p w14:paraId="5235B495" w14:textId="77777777" w:rsidR="000B5883" w:rsidRPr="00960C0A" w:rsidRDefault="000B5883" w:rsidP="00B117DF">
      <w:pPr>
        <w:tabs>
          <w:tab w:val="left" w:pos="709"/>
        </w:tabs>
        <w:ind w:left="142"/>
        <w:rPr>
          <w:sz w:val="16"/>
          <w:szCs w:val="16"/>
        </w:rPr>
      </w:pPr>
    </w:p>
  </w:footnote>
  <w:footnote w:id="2">
    <w:p w14:paraId="715D89DF" w14:textId="77777777" w:rsidR="000B5883" w:rsidRPr="00F2007F" w:rsidRDefault="000B5883"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0B5883" w:rsidRPr="00F2007F" w:rsidRDefault="000B5883" w:rsidP="006C4CF7">
      <w:pPr>
        <w:spacing w:line="360" w:lineRule="auto"/>
        <w:jc w:val="both"/>
        <w:rPr>
          <w:rFonts w:ascii="Verdana" w:hAnsi="Verdana"/>
          <w:sz w:val="16"/>
          <w:szCs w:val="16"/>
        </w:rPr>
      </w:pPr>
    </w:p>
  </w:footnote>
  <w:footnote w:id="3">
    <w:p w14:paraId="2763948D" w14:textId="77777777" w:rsidR="000B5883" w:rsidRDefault="000B5883"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0B5883" w:rsidRPr="00730157" w:rsidRDefault="000B5883"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0B5883" w:rsidRDefault="000B5883" w:rsidP="00B66761">
    <w:pPr>
      <w:pStyle w:val="Header"/>
      <w:jc w:val="center"/>
      <w:rPr>
        <w:rFonts w:cs="Arial"/>
        <w:b/>
        <w:caps/>
        <w:sz w:val="16"/>
        <w:szCs w:val="16"/>
      </w:rPr>
    </w:pPr>
    <w:r>
      <w:rPr>
        <w:rFonts w:cs="Arial"/>
        <w:b/>
        <w:caps/>
        <w:sz w:val="16"/>
        <w:szCs w:val="16"/>
      </w:rPr>
      <w:t>confidential</w:t>
    </w:r>
  </w:p>
  <w:p w14:paraId="70950BB9" w14:textId="77777777" w:rsidR="000B5883" w:rsidRDefault="000B5883"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E951A15"/>
    <w:multiLevelType w:val="hybridMultilevel"/>
    <w:tmpl w:val="910AC1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4"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6"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9"/>
  </w:num>
  <w:num w:numId="4">
    <w:abstractNumId w:val="27"/>
  </w:num>
  <w:num w:numId="5">
    <w:abstractNumId w:val="3"/>
  </w:num>
  <w:num w:numId="6">
    <w:abstractNumId w:val="16"/>
  </w:num>
  <w:num w:numId="7">
    <w:abstractNumId w:val="25"/>
  </w:num>
  <w:num w:numId="8">
    <w:abstractNumId w:val="45"/>
  </w:num>
  <w:num w:numId="9">
    <w:abstractNumId w:val="8"/>
  </w:num>
  <w:num w:numId="10">
    <w:abstractNumId w:val="23"/>
  </w:num>
  <w:num w:numId="11">
    <w:abstractNumId w:val="47"/>
  </w:num>
  <w:num w:numId="12">
    <w:abstractNumId w:val="36"/>
  </w:num>
  <w:num w:numId="13">
    <w:abstractNumId w:val="34"/>
  </w:num>
  <w:num w:numId="14">
    <w:abstractNumId w:val="22"/>
  </w:num>
  <w:num w:numId="15">
    <w:abstractNumId w:val="31"/>
  </w:num>
  <w:num w:numId="16">
    <w:abstractNumId w:val="42"/>
  </w:num>
  <w:num w:numId="17">
    <w:abstractNumId w:val="1"/>
  </w:num>
  <w:num w:numId="18">
    <w:abstractNumId w:val="10"/>
  </w:num>
  <w:num w:numId="19">
    <w:abstractNumId w:val="28"/>
  </w:num>
  <w:num w:numId="20">
    <w:abstractNumId w:val="46"/>
  </w:num>
  <w:num w:numId="21">
    <w:abstractNumId w:val="13"/>
  </w:num>
  <w:num w:numId="2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9"/>
  </w:num>
  <w:num w:numId="25">
    <w:abstractNumId w:val="35"/>
  </w:num>
  <w:num w:numId="26">
    <w:abstractNumId w:val="20"/>
  </w:num>
  <w:num w:numId="27">
    <w:abstractNumId w:val="21"/>
  </w:num>
  <w:num w:numId="28">
    <w:abstractNumId w:val="41"/>
  </w:num>
  <w:num w:numId="29">
    <w:abstractNumId w:val="14"/>
  </w:num>
  <w:num w:numId="30">
    <w:abstractNumId w:val="11"/>
  </w:num>
  <w:num w:numId="31">
    <w:abstractNumId w:val="37"/>
  </w:num>
  <w:num w:numId="32">
    <w:abstractNumId w:val="17"/>
  </w:num>
  <w:num w:numId="33">
    <w:abstractNumId w:val="19"/>
  </w:num>
  <w:num w:numId="34">
    <w:abstractNumId w:val="39"/>
  </w:num>
  <w:num w:numId="35">
    <w:abstractNumId w:val="38"/>
  </w:num>
  <w:num w:numId="36">
    <w:abstractNumId w:val="32"/>
  </w:num>
  <w:num w:numId="37">
    <w:abstractNumId w:val="5"/>
  </w:num>
  <w:num w:numId="38">
    <w:abstractNumId w:val="9"/>
  </w:num>
  <w:num w:numId="39">
    <w:abstractNumId w:val="33"/>
  </w:num>
  <w:num w:numId="40">
    <w:abstractNumId w:val="6"/>
  </w:num>
  <w:num w:numId="41">
    <w:abstractNumId w:val="15"/>
  </w:num>
  <w:num w:numId="42">
    <w:abstractNumId w:val="30"/>
  </w:num>
  <w:num w:numId="43">
    <w:abstractNumId w:val="18"/>
  </w:num>
  <w:num w:numId="44">
    <w:abstractNumId w:val="12"/>
  </w:num>
  <w:num w:numId="45">
    <w:abstractNumId w:val="2"/>
  </w:num>
  <w:num w:numId="46">
    <w:abstractNumId w:val="48"/>
  </w:num>
  <w:num w:numId="47">
    <w:abstractNumId w:val="24"/>
  </w:num>
  <w:num w:numId="48">
    <w:abstractNumId w:val="44"/>
  </w:num>
  <w:num w:numId="49">
    <w:abstractNumId w:val="7"/>
  </w:num>
  <w:num w:numId="50">
    <w:abstractNumId w:val="26"/>
  </w:num>
  <w:num w:numId="5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518E"/>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5883"/>
    <w:rsid w:val="000B65E9"/>
    <w:rsid w:val="000B687D"/>
    <w:rsid w:val="000B6AAD"/>
    <w:rsid w:val="000B6C62"/>
    <w:rsid w:val="000C00CC"/>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8DE"/>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1445"/>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5CD"/>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038"/>
    <w:rsid w:val="002802B4"/>
    <w:rsid w:val="00280452"/>
    <w:rsid w:val="00281856"/>
    <w:rsid w:val="0028192F"/>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696A"/>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BFC"/>
    <w:rsid w:val="002F17B7"/>
    <w:rsid w:val="002F1CBF"/>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7EF"/>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2D5F"/>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AFB"/>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5B0B"/>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56E"/>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AC6"/>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4C99"/>
    <w:rsid w:val="00566BF4"/>
    <w:rsid w:val="0057030E"/>
    <w:rsid w:val="0057067D"/>
    <w:rsid w:val="00572A74"/>
    <w:rsid w:val="00572EF4"/>
    <w:rsid w:val="0057303C"/>
    <w:rsid w:val="005746CD"/>
    <w:rsid w:val="0057557F"/>
    <w:rsid w:val="00575FF7"/>
    <w:rsid w:val="0057637D"/>
    <w:rsid w:val="00576606"/>
    <w:rsid w:val="00580760"/>
    <w:rsid w:val="005820A5"/>
    <w:rsid w:val="005840EE"/>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1B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3FEA"/>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D03"/>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37D1D"/>
    <w:rsid w:val="00740268"/>
    <w:rsid w:val="007407AF"/>
    <w:rsid w:val="007413C5"/>
    <w:rsid w:val="007425DB"/>
    <w:rsid w:val="0074266B"/>
    <w:rsid w:val="00742683"/>
    <w:rsid w:val="00743578"/>
    <w:rsid w:val="007446E5"/>
    <w:rsid w:val="007455EF"/>
    <w:rsid w:val="00747E8F"/>
    <w:rsid w:val="00750165"/>
    <w:rsid w:val="00750932"/>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4F5"/>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0D56"/>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7C47"/>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553"/>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5449"/>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7D4"/>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31E"/>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61A7"/>
    <w:rsid w:val="00B26C1E"/>
    <w:rsid w:val="00B26CB5"/>
    <w:rsid w:val="00B30947"/>
    <w:rsid w:val="00B30E97"/>
    <w:rsid w:val="00B3157F"/>
    <w:rsid w:val="00B31F0D"/>
    <w:rsid w:val="00B328BF"/>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4AD4"/>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9AF"/>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3FCA"/>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8BD"/>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8BA"/>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2D39"/>
    <w:rsid w:val="00D142FD"/>
    <w:rsid w:val="00D14875"/>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5872"/>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4204"/>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1CED"/>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D2D"/>
    <w:rsid w:val="00EA5E57"/>
    <w:rsid w:val="00EA6B35"/>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67"/>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04B"/>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7DB"/>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4379D03C-7127-4977-B09C-706FE6E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A52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65444813">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fiwa.Malebatja@sita.co.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177F-EE4F-4267-B210-83360E3C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15128</Words>
  <Characters>86235</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101161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Mafiwa Malebatja</cp:lastModifiedBy>
  <cp:revision>2</cp:revision>
  <cp:lastPrinted>2021-04-23T07:38:00Z</cp:lastPrinted>
  <dcterms:created xsi:type="dcterms:W3CDTF">2022-02-11T07:38:00Z</dcterms:created>
  <dcterms:modified xsi:type="dcterms:W3CDTF">2022-02-11T07:38:00Z</dcterms:modified>
</cp:coreProperties>
</file>