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3EA9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BB2F22C" wp14:editId="1B01718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AAAFD" w14:textId="77777777" w:rsidR="00E45299" w:rsidRPr="006860BA" w:rsidRDefault="00E45299" w:rsidP="00E45299">
      <w:pPr>
        <w:jc w:val="right"/>
        <w:rPr>
          <w:rFonts w:cstheme="minorHAnsi"/>
          <w:lang w:val="en-US"/>
        </w:rPr>
      </w:pPr>
      <w:r w:rsidRPr="006860BA">
        <w:rPr>
          <w:rFonts w:cstheme="minorHAnsi"/>
          <w:lang w:val="en-US"/>
        </w:rPr>
        <w:t xml:space="preserve">ARC </w:t>
      </w:r>
      <w:proofErr w:type="spellStart"/>
      <w:r w:rsidRPr="006860BA">
        <w:rPr>
          <w:rFonts w:cstheme="minorHAnsi"/>
          <w:lang w:val="en-US"/>
        </w:rPr>
        <w:t>Infruitec-Nietvoorbij</w:t>
      </w:r>
      <w:proofErr w:type="spellEnd"/>
    </w:p>
    <w:p w14:paraId="588EA4B2" w14:textId="77777777" w:rsidR="00E45299" w:rsidRPr="006860BA" w:rsidRDefault="00E45299" w:rsidP="00E45299">
      <w:pPr>
        <w:jc w:val="right"/>
        <w:rPr>
          <w:rFonts w:cstheme="minorHAnsi"/>
          <w:lang w:val="en-US"/>
        </w:rPr>
      </w:pPr>
      <w:r w:rsidRPr="006860BA">
        <w:rPr>
          <w:rFonts w:cstheme="minorHAnsi"/>
          <w:lang w:val="en-US"/>
        </w:rPr>
        <w:t>Private Bag X5026, Stellenbosch, 7599, South Africa</w:t>
      </w:r>
    </w:p>
    <w:p w14:paraId="73511302" w14:textId="77777777" w:rsidR="00672833" w:rsidRPr="006860BA" w:rsidRDefault="00672833" w:rsidP="00E45299">
      <w:pPr>
        <w:jc w:val="right"/>
        <w:rPr>
          <w:rFonts w:cstheme="minorHAnsi"/>
          <w:lang w:val="en-US"/>
        </w:rPr>
      </w:pPr>
      <w:r w:rsidRPr="006860BA">
        <w:rPr>
          <w:rFonts w:cstheme="minorHAnsi"/>
          <w:lang w:val="en-US"/>
        </w:rPr>
        <w:t>Tel: 0829632345</w:t>
      </w:r>
    </w:p>
    <w:p w14:paraId="08532579" w14:textId="77777777" w:rsidR="00E45299" w:rsidRPr="006860BA" w:rsidRDefault="00672833" w:rsidP="00E45299">
      <w:pPr>
        <w:jc w:val="right"/>
        <w:rPr>
          <w:rFonts w:cstheme="minorHAnsi"/>
          <w:lang w:val="en-US"/>
        </w:rPr>
      </w:pPr>
      <w:r w:rsidRPr="006860BA">
        <w:rPr>
          <w:rFonts w:cstheme="minorHAnsi"/>
          <w:lang w:val="en-US"/>
        </w:rPr>
        <w:t>Email: DelportP@arc.agric.za</w:t>
      </w:r>
    </w:p>
    <w:bookmarkEnd w:id="0"/>
    <w:p w14:paraId="78D13C3D" w14:textId="5CCC01B0" w:rsidR="00604DA9" w:rsidRPr="00A045DB" w:rsidRDefault="00E45299" w:rsidP="00356155">
      <w:pPr>
        <w:ind w:left="360"/>
        <w:jc w:val="center"/>
        <w:rPr>
          <w:rFonts w:cstheme="minorHAnsi"/>
        </w:rPr>
      </w:pPr>
      <w:r w:rsidRPr="00A045DB">
        <w:rPr>
          <w:rFonts w:cstheme="minorHAnsi"/>
          <w:u w:val="single"/>
        </w:rPr>
        <w:t xml:space="preserve">DESCRIPTION OF </w:t>
      </w:r>
      <w:r w:rsidR="001B49C0" w:rsidRPr="00A045DB">
        <w:rPr>
          <w:rFonts w:cstheme="minorHAnsi"/>
          <w:u w:val="single"/>
        </w:rPr>
        <w:t>SERVICE</w:t>
      </w:r>
      <w:r w:rsidR="00604DA9" w:rsidRPr="00A045DB">
        <w:rPr>
          <w:rFonts w:cstheme="minorHAnsi"/>
          <w:u w:val="single"/>
        </w:rPr>
        <w:t>/PRODUC</w:t>
      </w:r>
      <w:r w:rsidR="00810A22">
        <w:rPr>
          <w:rFonts w:cstheme="minorHAnsi"/>
          <w:u w:val="single"/>
        </w:rPr>
        <w:t xml:space="preserve">T </w:t>
      </w:r>
      <w:r w:rsidR="00810A22">
        <w:rPr>
          <w:rFonts w:cstheme="minorHAnsi"/>
          <w:u w:val="single"/>
        </w:rPr>
        <w:t>(Detailed specs</w:t>
      </w:r>
      <w:r w:rsidR="00810A22">
        <w:rPr>
          <w:rFonts w:cstheme="minorHAnsi"/>
          <w:u w:val="single"/>
        </w:rPr>
        <w:t>)</w:t>
      </w:r>
      <w:r w:rsidR="001B49C0" w:rsidRPr="00A045DB">
        <w:rPr>
          <w:rFonts w:cstheme="minorHAnsi"/>
        </w:rPr>
        <w:t>:</w:t>
      </w:r>
      <w:r w:rsidR="001B49C0" w:rsidRPr="00A045DB">
        <w:rPr>
          <w:rFonts w:eastAsia="Times New Roman" w:cstheme="minorHAnsi"/>
          <w:b/>
          <w:lang w:eastAsia="en-ZA"/>
        </w:rPr>
        <w:t xml:space="preserve"> </w:t>
      </w:r>
    </w:p>
    <w:p w14:paraId="0E00F396" w14:textId="77777777" w:rsidR="00E45299" w:rsidRPr="00A045DB" w:rsidRDefault="00321219" w:rsidP="006860BA">
      <w:pPr>
        <w:shd w:val="clear" w:color="auto" w:fill="FFFFFF"/>
        <w:spacing w:after="0" w:line="240" w:lineRule="auto"/>
        <w:jc w:val="center"/>
        <w:outlineLvl w:val="0"/>
        <w:rPr>
          <w:rFonts w:cstheme="minorHAnsi"/>
          <w:b/>
        </w:rPr>
      </w:pPr>
      <w:r w:rsidRPr="00A045DB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 xml:space="preserve">Supply and installation of the shade netting cover in the SG parking area: ARC </w:t>
      </w:r>
      <w:proofErr w:type="spellStart"/>
      <w:r w:rsidRPr="00A045DB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Infruitec</w:t>
      </w:r>
      <w:proofErr w:type="spellEnd"/>
      <w:r w:rsidRPr="00A045DB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 xml:space="preserve">, </w:t>
      </w:r>
      <w:proofErr w:type="spellStart"/>
      <w:r w:rsidRPr="00A045DB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Helshoogte</w:t>
      </w:r>
      <w:proofErr w:type="spellEnd"/>
      <w:r w:rsidRPr="00A045DB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 xml:space="preserve"> Rd, Stellenbosch Central, Stellenbosch, 7599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1559"/>
        <w:gridCol w:w="1134"/>
        <w:gridCol w:w="1843"/>
      </w:tblGrid>
      <w:tr w:rsidR="00B74761" w:rsidRPr="00A045DB" w14:paraId="058AC2E6" w14:textId="77777777" w:rsidTr="00304CCF">
        <w:trPr>
          <w:jc w:val="center"/>
        </w:trPr>
        <w:tc>
          <w:tcPr>
            <w:tcW w:w="8065" w:type="dxa"/>
            <w:gridSpan w:val="2"/>
            <w:vAlign w:val="center"/>
          </w:tcPr>
          <w:p w14:paraId="558D8C0B" w14:textId="77777777" w:rsidR="00B74761" w:rsidRPr="00A045DB" w:rsidRDefault="00B66127" w:rsidP="008C08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Repair of shade net area</w:t>
            </w:r>
            <w:r w:rsidR="00604DA9"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324277EF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843" w:type="dxa"/>
            <w:vMerge w:val="restart"/>
            <w:vAlign w:val="center"/>
          </w:tcPr>
          <w:p w14:paraId="3AFFE1EB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A045DB" w14:paraId="0EBDB433" w14:textId="77777777" w:rsidTr="00304CCF">
        <w:trPr>
          <w:jc w:val="center"/>
        </w:trPr>
        <w:tc>
          <w:tcPr>
            <w:tcW w:w="6506" w:type="dxa"/>
            <w:vAlign w:val="center"/>
            <w:hideMark/>
          </w:tcPr>
          <w:p w14:paraId="3763B2D1" w14:textId="77777777" w:rsidR="00B74761" w:rsidRPr="00A045DB" w:rsidRDefault="00D64763" w:rsidP="00826FE5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</w: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1559" w:type="dxa"/>
            <w:vAlign w:val="center"/>
            <w:hideMark/>
          </w:tcPr>
          <w:p w14:paraId="06CFDDC9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</w:t>
            </w: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F7C2409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134" w:type="dxa"/>
            <w:vMerge/>
            <w:vAlign w:val="center"/>
          </w:tcPr>
          <w:p w14:paraId="087F5A12" w14:textId="77777777" w:rsidR="00B74761" w:rsidRPr="00A045DB" w:rsidRDefault="00B74761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18AF0E21" w14:textId="77777777" w:rsidR="00B74761" w:rsidRPr="00A045DB" w:rsidRDefault="00B74761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B74761" w:rsidRPr="00A045DB" w14:paraId="75E9C1A0" w14:textId="77777777" w:rsidTr="00304CCF">
        <w:trPr>
          <w:trHeight w:val="992"/>
          <w:jc w:val="center"/>
        </w:trPr>
        <w:tc>
          <w:tcPr>
            <w:tcW w:w="6506" w:type="dxa"/>
          </w:tcPr>
          <w:p w14:paraId="1EB6C273" w14:textId="77777777" w:rsidR="00304CCF" w:rsidRPr="00A045DB" w:rsidRDefault="00672833" w:rsidP="00A045D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Supply and installation of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 </w:t>
            </w:r>
            <w:r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shade netting cover </w:t>
            </w:r>
            <w:r w:rsidR="00321219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 the parking area for SG vehicles. Size of the parking: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21219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the below sketch. The parking area is big enough to accommodate </w:t>
            </w:r>
            <w:r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 vehicles (2 x 2</w:t>
            </w:r>
            <w:r w:rsidR="00321219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It </w:t>
            </w:r>
            <w:r w:rsidR="00B66127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was ripped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on various places due to </w:t>
            </w:r>
            <w:r w:rsidR="00A045DB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strong 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wind</w:t>
            </w:r>
            <w:r w:rsidR="00A045DB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="006860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tear &amp; 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wear</w:t>
            </w:r>
            <w:r w:rsidR="00A045DB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SP to give allowance for the repair of the existing frame (where necessary)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5F02F4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Shade netting cover must be</w:t>
            </w:r>
            <w:r w:rsidR="00370B0A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02F4" w:rsidRPr="00A045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durable and sturdy enough to withstand harsh winds, provide protection from UV rays, and be made from materials strong enough to withstand the force of hail.</w:t>
            </w:r>
            <w:r w:rsidR="006860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Bidders to attend compulsory site briefing.</w:t>
            </w:r>
          </w:p>
          <w:p w14:paraId="644E78E9" w14:textId="77777777" w:rsidR="00B74761" w:rsidRPr="00A045DB" w:rsidRDefault="00B74761" w:rsidP="00304CC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817942" w14:textId="77777777" w:rsidR="00085C60" w:rsidRPr="00A045DB" w:rsidRDefault="00085C60" w:rsidP="000C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5A10F" w14:textId="77777777" w:rsidR="00B74761" w:rsidRPr="00A045DB" w:rsidRDefault="00B74761" w:rsidP="000C1EC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0BD08C40" w14:textId="77777777" w:rsidR="00B74761" w:rsidRPr="00A045DB" w:rsidRDefault="005F02F4" w:rsidP="000C1EC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14:paraId="5AA137E2" w14:textId="77777777" w:rsidR="00B74761" w:rsidRPr="00A045DB" w:rsidRDefault="00B74761" w:rsidP="000C1EC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2833" w:rsidRPr="00D64763" w14:paraId="18260BD2" w14:textId="77777777" w:rsidTr="00B51851">
        <w:trPr>
          <w:trHeight w:val="992"/>
          <w:jc w:val="center"/>
        </w:trPr>
        <w:tc>
          <w:tcPr>
            <w:tcW w:w="11042" w:type="dxa"/>
            <w:gridSpan w:val="4"/>
          </w:tcPr>
          <w:p w14:paraId="23B5FFE0" w14:textId="77777777" w:rsidR="00672833" w:rsidRPr="00D64763" w:rsidRDefault="00672833" w:rsidP="000C1EC5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16E19E6" wp14:editId="17E440B5">
                  <wp:extent cx="6911340" cy="3390900"/>
                  <wp:effectExtent l="0" t="0" r="3810" b="0"/>
                  <wp:docPr id="1" name="Picture 1" descr="cid:image001.jpg@01D92B27.363C9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92B27.363C9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34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761" w:rsidRPr="006860BA" w14:paraId="6BD1742F" w14:textId="77777777" w:rsidTr="00304CCF">
        <w:trPr>
          <w:trHeight w:val="1010"/>
          <w:jc w:val="center"/>
        </w:trPr>
        <w:tc>
          <w:tcPr>
            <w:tcW w:w="6506" w:type="dxa"/>
            <w:vAlign w:val="center"/>
          </w:tcPr>
          <w:p w14:paraId="06A029CB" w14:textId="77777777" w:rsidR="00B74761" w:rsidRPr="006860BA" w:rsidRDefault="00B74761" w:rsidP="00A5553B">
            <w:pPr>
              <w:ind w:left="728" w:hanging="728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2.</w:t>
            </w:r>
            <w:r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</w:r>
            <w:r w:rsidR="00A436BB"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General</w:t>
            </w:r>
            <w:r w:rsidR="0027708C"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4970148E" w14:textId="77777777" w:rsidR="00B74761" w:rsidRPr="006860BA" w:rsidRDefault="00B74761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F02F4" w:rsidRPr="006860BA" w14:paraId="0A431D46" w14:textId="77777777" w:rsidTr="00593FC7">
        <w:trPr>
          <w:trHeight w:val="439"/>
          <w:jc w:val="center"/>
        </w:trPr>
        <w:tc>
          <w:tcPr>
            <w:tcW w:w="6506" w:type="dxa"/>
            <w:hideMark/>
          </w:tcPr>
          <w:p w14:paraId="5D631ECA" w14:textId="56E464A9" w:rsidR="005F02F4" w:rsidRPr="006860BA" w:rsidRDefault="00810A22" w:rsidP="0032121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Site meeting is compulsory</w:t>
            </w:r>
          </w:p>
        </w:tc>
        <w:tc>
          <w:tcPr>
            <w:tcW w:w="1559" w:type="dxa"/>
            <w:vAlign w:val="center"/>
          </w:tcPr>
          <w:p w14:paraId="3EA124FE" w14:textId="77777777" w:rsidR="005F02F4" w:rsidRPr="006860BA" w:rsidRDefault="005F02F4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60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Date: </w:t>
            </w:r>
          </w:p>
        </w:tc>
        <w:tc>
          <w:tcPr>
            <w:tcW w:w="2977" w:type="dxa"/>
            <w:gridSpan w:val="2"/>
            <w:vAlign w:val="center"/>
          </w:tcPr>
          <w:p w14:paraId="4714F68B" w14:textId="77777777" w:rsidR="005F02F4" w:rsidRPr="006860BA" w:rsidRDefault="005F02F4" w:rsidP="005F02F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60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Contact person: Petrus Delport 0829632345</w:t>
            </w:r>
          </w:p>
        </w:tc>
      </w:tr>
      <w:tr w:rsidR="00370B0A" w:rsidRPr="006860BA" w14:paraId="3D38997A" w14:textId="77777777" w:rsidTr="00370B0A">
        <w:trPr>
          <w:trHeight w:val="1125"/>
          <w:jc w:val="center"/>
        </w:trPr>
        <w:tc>
          <w:tcPr>
            <w:tcW w:w="6506" w:type="dxa"/>
          </w:tcPr>
          <w:p w14:paraId="4BC6B3B0" w14:textId="77777777" w:rsidR="00370B0A" w:rsidRPr="006860BA" w:rsidRDefault="00321219" w:rsidP="0032121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>Parking</w:t>
            </w:r>
            <w:r w:rsidR="00370B0A"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area is located on the ARC </w:t>
            </w:r>
            <w:proofErr w:type="spellStart"/>
            <w:r w:rsidR="00370B0A"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>Infruitec</w:t>
            </w:r>
            <w:proofErr w:type="spellEnd"/>
            <w:r w:rsidR="00370B0A"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>Helshoogte</w:t>
            </w:r>
            <w:proofErr w:type="spellEnd"/>
            <w:r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Rd, Stellenbosch Central</w:t>
            </w:r>
          </w:p>
        </w:tc>
        <w:tc>
          <w:tcPr>
            <w:tcW w:w="1559" w:type="dxa"/>
            <w:vAlign w:val="center"/>
          </w:tcPr>
          <w:p w14:paraId="20E835B0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760771C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AC61C4E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70B0A" w:rsidRPr="006860BA" w14:paraId="1F3D8F80" w14:textId="77777777" w:rsidTr="00370B0A">
        <w:trPr>
          <w:trHeight w:val="802"/>
          <w:jc w:val="center"/>
        </w:trPr>
        <w:tc>
          <w:tcPr>
            <w:tcW w:w="6506" w:type="dxa"/>
          </w:tcPr>
          <w:p w14:paraId="3F64BF8D" w14:textId="69D16D57" w:rsidR="00370B0A" w:rsidRPr="006860BA" w:rsidRDefault="00810A22" w:rsidP="00370B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Supplier w</w:t>
            </w:r>
            <w:r w:rsidR="00370B0A" w:rsidRPr="006860BA">
              <w:rPr>
                <w:rFonts w:asciiTheme="minorHAnsi" w:hAnsiTheme="minorHAnsi" w:cstheme="minorHAnsi"/>
                <w:sz w:val="22"/>
                <w:szCs w:val="22"/>
              </w:rPr>
              <w:t>ill supply the required safety equipment to complete the repair</w:t>
            </w:r>
          </w:p>
        </w:tc>
        <w:tc>
          <w:tcPr>
            <w:tcW w:w="1559" w:type="dxa"/>
            <w:vAlign w:val="center"/>
          </w:tcPr>
          <w:p w14:paraId="17156316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A86F4D2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66AEE1D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70B0A" w:rsidRPr="006860BA" w14:paraId="7DB890F0" w14:textId="77777777" w:rsidTr="00370B0A">
        <w:trPr>
          <w:trHeight w:val="802"/>
          <w:jc w:val="center"/>
        </w:trPr>
        <w:tc>
          <w:tcPr>
            <w:tcW w:w="6506" w:type="dxa"/>
          </w:tcPr>
          <w:p w14:paraId="17B6E77C" w14:textId="46C36A54" w:rsidR="00370B0A" w:rsidRPr="006860BA" w:rsidRDefault="00810A22" w:rsidP="0032121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Supplier w</w:t>
            </w:r>
            <w:r w:rsidR="00370B0A" w:rsidRPr="006860BA">
              <w:rPr>
                <w:rFonts w:asciiTheme="minorHAnsi" w:hAnsiTheme="minorHAnsi" w:cstheme="minorHAnsi"/>
                <w:sz w:val="22"/>
                <w:szCs w:val="22"/>
              </w:rPr>
              <w:t xml:space="preserve">ill not damage </w:t>
            </w:r>
            <w:r w:rsidR="00321219" w:rsidRPr="006860BA">
              <w:rPr>
                <w:rFonts w:asciiTheme="minorHAnsi" w:hAnsiTheme="minorHAnsi" w:cstheme="minorHAnsi"/>
                <w:sz w:val="22"/>
                <w:szCs w:val="22"/>
              </w:rPr>
              <w:t>existing frame</w:t>
            </w:r>
          </w:p>
        </w:tc>
        <w:tc>
          <w:tcPr>
            <w:tcW w:w="1559" w:type="dxa"/>
            <w:vAlign w:val="center"/>
          </w:tcPr>
          <w:p w14:paraId="5EDB4C8C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E148229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3D21692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70B0A" w:rsidRPr="006860BA" w14:paraId="79755C5F" w14:textId="77777777" w:rsidTr="00370B0A">
        <w:trPr>
          <w:trHeight w:val="802"/>
          <w:jc w:val="center"/>
        </w:trPr>
        <w:tc>
          <w:tcPr>
            <w:tcW w:w="6506" w:type="dxa"/>
          </w:tcPr>
          <w:p w14:paraId="2C9D4658" w14:textId="7A08C33F" w:rsidR="00370B0A" w:rsidRPr="006860BA" w:rsidRDefault="00810A22" w:rsidP="00370B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Supplier w</w:t>
            </w:r>
            <w:r w:rsidR="00370B0A" w:rsidRPr="006860BA">
              <w:rPr>
                <w:rFonts w:asciiTheme="minorHAnsi" w:hAnsiTheme="minorHAnsi" w:cstheme="minorHAnsi"/>
                <w:sz w:val="22"/>
                <w:szCs w:val="22"/>
              </w:rPr>
              <w:t xml:space="preserve">ill only work on site during normal working hours (08:00 to 16:30) </w:t>
            </w:r>
          </w:p>
        </w:tc>
        <w:tc>
          <w:tcPr>
            <w:tcW w:w="1559" w:type="dxa"/>
            <w:vAlign w:val="center"/>
          </w:tcPr>
          <w:p w14:paraId="28A05AE3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ACB83CB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C8BC79B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665AB43" w14:textId="77777777" w:rsidR="0050191E" w:rsidRPr="006860BA" w:rsidRDefault="0050191E" w:rsidP="0050191E">
      <w:pPr>
        <w:pStyle w:val="ListParagraph"/>
        <w:ind w:left="142"/>
        <w:rPr>
          <w:rFonts w:cstheme="minorHAnsi"/>
          <w:b/>
        </w:rPr>
      </w:pPr>
    </w:p>
    <w:sectPr w:rsidR="0050191E" w:rsidRPr="006860BA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7692" w14:textId="77777777" w:rsidR="00A76322" w:rsidRDefault="00A76322" w:rsidP="00784C3C">
      <w:pPr>
        <w:spacing w:after="0" w:line="240" w:lineRule="auto"/>
      </w:pPr>
      <w:r>
        <w:separator/>
      </w:r>
    </w:p>
  </w:endnote>
  <w:endnote w:type="continuationSeparator" w:id="0">
    <w:p w14:paraId="2EFBDA3E" w14:textId="77777777" w:rsidR="00A76322" w:rsidRDefault="00A7632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236A" w14:textId="77777777" w:rsidR="00A76322" w:rsidRDefault="00A76322" w:rsidP="00784C3C">
      <w:pPr>
        <w:spacing w:after="0" w:line="240" w:lineRule="auto"/>
      </w:pPr>
      <w:r>
        <w:separator/>
      </w:r>
    </w:p>
  </w:footnote>
  <w:footnote w:type="continuationSeparator" w:id="0">
    <w:p w14:paraId="63EF8D94" w14:textId="77777777" w:rsidR="00A76322" w:rsidRDefault="00A7632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FA98CE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4F253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20A31"/>
    <w:multiLevelType w:val="hybridMultilevel"/>
    <w:tmpl w:val="DD0EDFAA"/>
    <w:lvl w:ilvl="0" w:tplc="63E0F6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8007B"/>
    <w:multiLevelType w:val="hybridMultilevel"/>
    <w:tmpl w:val="58A04B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4"/>
  </w:num>
  <w:num w:numId="9">
    <w:abstractNumId w:val="11"/>
  </w:num>
  <w:num w:numId="10">
    <w:abstractNumId w:val="1"/>
  </w:num>
  <w:num w:numId="11">
    <w:abstractNumId w:val="25"/>
  </w:num>
  <w:num w:numId="12">
    <w:abstractNumId w:val="14"/>
  </w:num>
  <w:num w:numId="13">
    <w:abstractNumId w:val="9"/>
  </w:num>
  <w:num w:numId="14">
    <w:abstractNumId w:val="23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DDA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04CCF"/>
    <w:rsid w:val="00321219"/>
    <w:rsid w:val="0035142B"/>
    <w:rsid w:val="003521FB"/>
    <w:rsid w:val="00356155"/>
    <w:rsid w:val="00367F6C"/>
    <w:rsid w:val="00370B0A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02F4"/>
    <w:rsid w:val="005F1FB5"/>
    <w:rsid w:val="00604DA9"/>
    <w:rsid w:val="0060669C"/>
    <w:rsid w:val="00606C38"/>
    <w:rsid w:val="00611C56"/>
    <w:rsid w:val="00630802"/>
    <w:rsid w:val="00635D57"/>
    <w:rsid w:val="00660BB0"/>
    <w:rsid w:val="00672833"/>
    <w:rsid w:val="00675644"/>
    <w:rsid w:val="00682608"/>
    <w:rsid w:val="00684809"/>
    <w:rsid w:val="006860BA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0A22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045DB"/>
    <w:rsid w:val="00A11F64"/>
    <w:rsid w:val="00A27462"/>
    <w:rsid w:val="00A330A6"/>
    <w:rsid w:val="00A436BB"/>
    <w:rsid w:val="00A46D1B"/>
    <w:rsid w:val="00A5553B"/>
    <w:rsid w:val="00A720EC"/>
    <w:rsid w:val="00A76322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66127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D59FA"/>
    <w:rsid w:val="00F02583"/>
    <w:rsid w:val="00F254F8"/>
    <w:rsid w:val="00F34C98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E90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92B27.363C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Lebo Mahlaba</cp:lastModifiedBy>
  <cp:revision>2</cp:revision>
  <cp:lastPrinted>2019-10-31T09:25:00Z</cp:lastPrinted>
  <dcterms:created xsi:type="dcterms:W3CDTF">2023-02-09T12:47:00Z</dcterms:created>
  <dcterms:modified xsi:type="dcterms:W3CDTF">2023-02-09T12:47:00Z</dcterms:modified>
</cp:coreProperties>
</file>