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5641F" w14:textId="77777777" w:rsidR="000C2C64" w:rsidRDefault="000C2C64" w:rsidP="00CD1845">
      <w:pPr>
        <w:pStyle w:val="Title"/>
      </w:pPr>
    </w:p>
    <w:p w14:paraId="518ED38D" w14:textId="77777777" w:rsidR="00137086" w:rsidRDefault="00CD1845" w:rsidP="00FB1E06">
      <w:pPr>
        <w:pStyle w:val="Title"/>
        <w:outlineLvl w:val="9"/>
      </w:pPr>
      <w:r>
        <w:rPr>
          <w:noProof/>
          <w:lang w:val="en-US"/>
        </w:rPr>
        <w:drawing>
          <wp:anchor distT="0" distB="180340" distL="114300" distR="114300" simplePos="0" relativeHeight="251657216" behindDoc="0" locked="0" layoutInCell="1" allowOverlap="1" wp14:anchorId="2F54C560" wp14:editId="6224D222">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bookmarkStart w:id="0" w:name="_Toc494699099"/>
      <w:r>
        <w:t>Invitation to bid</w:t>
      </w:r>
      <w:bookmarkEnd w:id="0"/>
    </w:p>
    <w:tbl>
      <w:tblPr>
        <w:tblStyle w:val="TableGrid"/>
        <w:tblW w:w="5000" w:type="pct"/>
        <w:tblLook w:val="04A0" w:firstRow="1" w:lastRow="0" w:firstColumn="1" w:lastColumn="0" w:noHBand="0" w:noVBand="1"/>
      </w:tblPr>
      <w:tblGrid>
        <w:gridCol w:w="9627"/>
      </w:tblGrid>
      <w:tr w:rsidR="00CD1845" w14:paraId="4D1B8C66" w14:textId="77777777" w:rsidTr="00C95C94">
        <w:tc>
          <w:tcPr>
            <w:tcW w:w="5000" w:type="pct"/>
          </w:tcPr>
          <w:p w14:paraId="6F569D57"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68DEF9A1" w14:textId="77777777" w:rsidR="00CD1845" w:rsidRDefault="00CD1845" w:rsidP="00CD1845">
            <w:pPr>
              <w:jc w:val="center"/>
              <w:rPr>
                <w:lang w:val="en-ZA" w:eastAsia="en-US"/>
              </w:rPr>
            </w:pPr>
            <w:r w:rsidRPr="00CD1845">
              <w:rPr>
                <w:sz w:val="24"/>
                <w:lang w:val="en-ZA" w:eastAsia="en-US"/>
              </w:rPr>
              <w:t>South African Nuclear Energy Corporation SOC Ltd</w:t>
            </w:r>
          </w:p>
        </w:tc>
      </w:tr>
    </w:tbl>
    <w:p w14:paraId="34E60903" w14:textId="77777777" w:rsidR="00CD1845" w:rsidRDefault="00CD1845" w:rsidP="00CD1845">
      <w:pPr>
        <w:rPr>
          <w:lang w:val="en-ZA" w:eastAsia="en-US"/>
        </w:rPr>
      </w:pPr>
    </w:p>
    <w:tbl>
      <w:tblPr>
        <w:tblStyle w:val="TableGrid"/>
        <w:tblW w:w="0" w:type="auto"/>
        <w:tblLook w:val="04A0" w:firstRow="1" w:lastRow="0" w:firstColumn="1" w:lastColumn="0" w:noHBand="0" w:noVBand="1"/>
      </w:tblPr>
      <w:tblGrid>
        <w:gridCol w:w="2405"/>
        <w:gridCol w:w="7222"/>
      </w:tblGrid>
      <w:tr w:rsidR="00CD1845" w14:paraId="1DCB6973" w14:textId="77777777" w:rsidTr="00CD1845">
        <w:tc>
          <w:tcPr>
            <w:tcW w:w="2405" w:type="dxa"/>
          </w:tcPr>
          <w:p w14:paraId="77F47767" w14:textId="77777777" w:rsidR="00CD1845" w:rsidRPr="00CD1845" w:rsidRDefault="00CD1845" w:rsidP="00CD1845">
            <w:pPr>
              <w:rPr>
                <w:b/>
                <w:lang w:val="en-ZA" w:eastAsia="en-US"/>
              </w:rPr>
            </w:pPr>
            <w:r w:rsidRPr="00CD1845">
              <w:rPr>
                <w:b/>
                <w:lang w:val="en-ZA" w:eastAsia="en-US"/>
              </w:rPr>
              <w:t>BID NUMBER:</w:t>
            </w:r>
          </w:p>
        </w:tc>
        <w:tc>
          <w:tcPr>
            <w:tcW w:w="7222" w:type="dxa"/>
          </w:tcPr>
          <w:p w14:paraId="789596E9" w14:textId="77E33E31" w:rsidR="00CD1845" w:rsidRDefault="00FD62D7" w:rsidP="007B143E">
            <w:pPr>
              <w:rPr>
                <w:lang w:val="en-ZA" w:eastAsia="en-US"/>
              </w:rPr>
            </w:pPr>
            <w:r>
              <w:rPr>
                <w:lang w:val="en-ZA" w:eastAsia="en-US"/>
              </w:rPr>
              <w:t>FIN-SCM-TEN-0</w:t>
            </w:r>
            <w:r w:rsidR="008D0194">
              <w:rPr>
                <w:lang w:val="en-ZA" w:eastAsia="en-US"/>
              </w:rPr>
              <w:t>70</w:t>
            </w:r>
          </w:p>
        </w:tc>
      </w:tr>
      <w:tr w:rsidR="00CD1845" w14:paraId="7493BB59" w14:textId="77777777" w:rsidTr="00CD1845">
        <w:tc>
          <w:tcPr>
            <w:tcW w:w="2405" w:type="dxa"/>
          </w:tcPr>
          <w:p w14:paraId="1F991D8C" w14:textId="77777777" w:rsidR="00CD1845" w:rsidRPr="00CD1845" w:rsidRDefault="00CD1845" w:rsidP="00CD1845">
            <w:pPr>
              <w:rPr>
                <w:b/>
                <w:lang w:val="en-ZA" w:eastAsia="en-US"/>
              </w:rPr>
            </w:pPr>
            <w:r>
              <w:rPr>
                <w:b/>
                <w:lang w:val="en-ZA" w:eastAsia="en-US"/>
              </w:rPr>
              <w:t>BID DESCRIPTION:</w:t>
            </w:r>
          </w:p>
        </w:tc>
        <w:tc>
          <w:tcPr>
            <w:tcW w:w="7222" w:type="dxa"/>
          </w:tcPr>
          <w:p w14:paraId="500F4340" w14:textId="77777777" w:rsidR="00CD1845" w:rsidRDefault="002B72C1" w:rsidP="00BB0CE5">
            <w:pPr>
              <w:rPr>
                <w:lang w:val="en-ZA" w:eastAsia="en-US"/>
              </w:rPr>
            </w:pPr>
            <w:bookmarkStart w:id="1" w:name="_Hlk172706998"/>
            <w:r>
              <w:rPr>
                <w:lang w:val="en-ZA" w:eastAsia="en-US"/>
              </w:rPr>
              <w:t xml:space="preserve">Supply of </w:t>
            </w:r>
            <w:r w:rsidR="004820F8">
              <w:rPr>
                <w:lang w:val="en-ZA" w:eastAsia="en-US"/>
              </w:rPr>
              <w:t xml:space="preserve">Grade </w:t>
            </w:r>
            <w:r w:rsidR="00BB0CE5">
              <w:rPr>
                <w:lang w:val="en-ZA" w:eastAsia="en-US"/>
              </w:rPr>
              <w:t xml:space="preserve">B </w:t>
            </w:r>
            <w:r>
              <w:rPr>
                <w:lang w:val="en-ZA" w:eastAsia="en-US"/>
              </w:rPr>
              <w:t xml:space="preserve">Coal </w:t>
            </w:r>
            <w:r w:rsidR="00763B66">
              <w:rPr>
                <w:lang w:val="en-ZA" w:eastAsia="en-US"/>
              </w:rPr>
              <w:t xml:space="preserve">Peas </w:t>
            </w:r>
            <w:r>
              <w:rPr>
                <w:lang w:val="en-ZA" w:eastAsia="en-US"/>
              </w:rPr>
              <w:t>for three years</w:t>
            </w:r>
            <w:bookmarkEnd w:id="1"/>
          </w:p>
        </w:tc>
      </w:tr>
      <w:tr w:rsidR="00CD1845" w14:paraId="5FA9D994" w14:textId="77777777" w:rsidTr="00CD1845">
        <w:tc>
          <w:tcPr>
            <w:tcW w:w="2405" w:type="dxa"/>
          </w:tcPr>
          <w:p w14:paraId="62874203" w14:textId="77777777" w:rsidR="00CD1845" w:rsidRPr="00CD1845" w:rsidRDefault="00CD1845" w:rsidP="00CD1845">
            <w:pPr>
              <w:rPr>
                <w:b/>
                <w:lang w:val="en-ZA" w:eastAsia="en-US"/>
              </w:rPr>
            </w:pPr>
            <w:r w:rsidRPr="00B8305D">
              <w:rPr>
                <w:b/>
              </w:rPr>
              <w:t>CLOSING DATE:</w:t>
            </w:r>
          </w:p>
        </w:tc>
        <w:tc>
          <w:tcPr>
            <w:tcW w:w="7222" w:type="dxa"/>
          </w:tcPr>
          <w:p w14:paraId="79FC5084" w14:textId="1E7504A6" w:rsidR="00CD1845" w:rsidRDefault="00FD62D7" w:rsidP="00036E6E">
            <w:pPr>
              <w:rPr>
                <w:lang w:val="en-ZA" w:eastAsia="en-US"/>
              </w:rPr>
            </w:pPr>
            <w:sdt>
              <w:sdtPr>
                <w:id w:val="-373999321"/>
                <w:placeholder>
                  <w:docPart w:val="790BDD7F33AA4805B84A33780DD7E8AC"/>
                </w:placeholder>
                <w:date w:fullDate="2024-08-23T00:00:00Z">
                  <w:dateFormat w:val="dd MMMM yyyy"/>
                  <w:lid w:val="en-ZA"/>
                  <w:storeMappedDataAs w:val="dateTime"/>
                  <w:calendar w:val="gregorian"/>
                </w:date>
              </w:sdtPr>
              <w:sdtContent>
                <w:r w:rsidRPr="00FD62D7">
                  <w:rPr>
                    <w:lang w:val="en-ZA"/>
                  </w:rPr>
                  <w:t>23 August 2024</w:t>
                </w:r>
              </w:sdtContent>
            </w:sdt>
            <w:r w:rsidR="00CD1845" w:rsidRPr="00FD62D7">
              <w:t xml:space="preserve"> </w:t>
            </w:r>
            <w:r w:rsidR="00CD1845" w:rsidRPr="00FD62D7">
              <w:rPr>
                <w:color w:val="FF0000"/>
              </w:rPr>
              <w:t xml:space="preserve"> </w:t>
            </w:r>
          </w:p>
        </w:tc>
      </w:tr>
      <w:tr w:rsidR="00CD1845" w14:paraId="098C7C05" w14:textId="77777777" w:rsidTr="00CD1845">
        <w:tc>
          <w:tcPr>
            <w:tcW w:w="2405" w:type="dxa"/>
          </w:tcPr>
          <w:p w14:paraId="120CE5E6" w14:textId="77777777" w:rsidR="00CD1845" w:rsidRPr="00CD1845" w:rsidRDefault="00CD1845" w:rsidP="00CD1845">
            <w:pPr>
              <w:rPr>
                <w:b/>
                <w:lang w:val="en-ZA" w:eastAsia="en-US"/>
              </w:rPr>
            </w:pPr>
            <w:r w:rsidRPr="00B8305D">
              <w:rPr>
                <w:b/>
              </w:rPr>
              <w:t>CLOSING TIME:</w:t>
            </w:r>
          </w:p>
        </w:tc>
        <w:tc>
          <w:tcPr>
            <w:tcW w:w="7222" w:type="dxa"/>
          </w:tcPr>
          <w:p w14:paraId="13DC67F2" w14:textId="77777777" w:rsidR="00CD1845" w:rsidRDefault="00591A56" w:rsidP="00CD1845">
            <w:pPr>
              <w:rPr>
                <w:lang w:val="en-ZA" w:eastAsia="en-US"/>
              </w:rPr>
            </w:pPr>
            <w:r w:rsidRPr="00591A56">
              <w:t>11:00am</w:t>
            </w:r>
          </w:p>
        </w:tc>
      </w:tr>
      <w:tr w:rsidR="00CD1845" w14:paraId="63286CF9" w14:textId="77777777" w:rsidTr="00CD1845">
        <w:tc>
          <w:tcPr>
            <w:tcW w:w="2405" w:type="dxa"/>
          </w:tcPr>
          <w:p w14:paraId="6D7E7BC5" w14:textId="77777777" w:rsidR="00CD1845" w:rsidRPr="00CD1845" w:rsidRDefault="00CD1845" w:rsidP="00CD1845">
            <w:pPr>
              <w:rPr>
                <w:b/>
                <w:lang w:val="en-ZA" w:eastAsia="en-US"/>
              </w:rPr>
            </w:pPr>
            <w:r w:rsidRPr="00B8305D">
              <w:rPr>
                <w:b/>
              </w:rPr>
              <w:t>BID VALIDITY PERIOD:</w:t>
            </w:r>
          </w:p>
        </w:tc>
        <w:tc>
          <w:tcPr>
            <w:tcW w:w="7222" w:type="dxa"/>
          </w:tcPr>
          <w:p w14:paraId="285F17FF" w14:textId="77777777" w:rsidR="00CD1845" w:rsidRDefault="00CD1845" w:rsidP="00591A56">
            <w:pPr>
              <w:rPr>
                <w:lang w:val="en-ZA" w:eastAsia="en-US"/>
              </w:rPr>
            </w:pPr>
            <w:r w:rsidRPr="00B8305D">
              <w:t xml:space="preserve">90 </w:t>
            </w:r>
            <w:r w:rsidR="00CE4976">
              <w:t>working d</w:t>
            </w:r>
            <w:r w:rsidRPr="00B8305D">
              <w:t>ays</w:t>
            </w:r>
            <w:r w:rsidR="00CE4976">
              <w:t xml:space="preserve"> from the bid closing date</w:t>
            </w:r>
            <w:r w:rsidRPr="00B8305D">
              <w:t xml:space="preserve"> </w:t>
            </w:r>
          </w:p>
        </w:tc>
      </w:tr>
      <w:tr w:rsidR="00CD1845" w14:paraId="6972E909" w14:textId="77777777" w:rsidTr="00CD1845">
        <w:tc>
          <w:tcPr>
            <w:tcW w:w="2405" w:type="dxa"/>
          </w:tcPr>
          <w:p w14:paraId="20E97668" w14:textId="77777777" w:rsidR="00CD1845" w:rsidRPr="00CD1845" w:rsidRDefault="00CD1845" w:rsidP="00CD1845">
            <w:pPr>
              <w:rPr>
                <w:b/>
                <w:lang w:val="en-ZA" w:eastAsia="en-US"/>
              </w:rPr>
            </w:pPr>
            <w:r>
              <w:rPr>
                <w:b/>
              </w:rPr>
              <w:t>SITE BRIEFING MEETING:</w:t>
            </w:r>
          </w:p>
        </w:tc>
        <w:tc>
          <w:tcPr>
            <w:tcW w:w="7222" w:type="dxa"/>
          </w:tcPr>
          <w:tbl>
            <w:tblPr>
              <w:tblW w:w="0" w:type="auto"/>
              <w:tblBorders>
                <w:top w:val="nil"/>
                <w:left w:val="nil"/>
                <w:bottom w:val="nil"/>
                <w:right w:val="nil"/>
              </w:tblBorders>
              <w:tblLook w:val="0000" w:firstRow="0" w:lastRow="0" w:firstColumn="0" w:lastColumn="0" w:noHBand="0" w:noVBand="0"/>
            </w:tblPr>
            <w:tblGrid>
              <w:gridCol w:w="7006"/>
            </w:tblGrid>
            <w:tr w:rsidR="00FD62D7" w:rsidRPr="000D6DE4" w14:paraId="4FA3E31D" w14:textId="77777777" w:rsidTr="00FD62D7">
              <w:trPr>
                <w:trHeight w:val="240"/>
              </w:trPr>
              <w:tc>
                <w:tcPr>
                  <w:tcW w:w="0" w:type="auto"/>
                </w:tcPr>
                <w:p w14:paraId="3029D382" w14:textId="522ECCD7" w:rsidR="00FD62D7" w:rsidRPr="000D6DE4" w:rsidRDefault="00FD62D7" w:rsidP="00FD62D7">
                  <w:pPr>
                    <w:spacing w:before="40" w:after="40" w:line="240" w:lineRule="auto"/>
                    <w:outlineLvl w:val="9"/>
                    <w:rPr>
                      <w:lang w:eastAsia="en-US"/>
                    </w:rPr>
                  </w:pPr>
                  <w:r w:rsidRPr="000D6DE4">
                    <w:rPr>
                      <w:lang w:eastAsia="en-US"/>
                    </w:rPr>
                    <w:t xml:space="preserve">Compulsory clarification meeting will be held </w:t>
                  </w:r>
                  <w:r>
                    <w:rPr>
                      <w:lang w:eastAsia="en-US"/>
                    </w:rPr>
                    <w:t xml:space="preserve">at Necsa site </w:t>
                  </w:r>
                  <w:r w:rsidRPr="000D6DE4">
                    <w:rPr>
                      <w:lang w:eastAsia="en-US"/>
                    </w:rPr>
                    <w:t xml:space="preserve">on </w:t>
                  </w:r>
                  <w:r>
                    <w:rPr>
                      <w:lang w:eastAsia="en-US"/>
                    </w:rPr>
                    <w:t xml:space="preserve">the 31 July </w:t>
                  </w:r>
                  <w:r w:rsidRPr="000D6DE4">
                    <w:rPr>
                      <w:lang w:eastAsia="en-US"/>
                    </w:rPr>
                    <w:t xml:space="preserve">2024 at 10:00 AM South African Time. </w:t>
                  </w:r>
                </w:p>
              </w:tc>
            </w:tr>
            <w:tr w:rsidR="00FD62D7" w:rsidRPr="000D6DE4" w14:paraId="450D1C69" w14:textId="77777777" w:rsidTr="00FD62D7">
              <w:trPr>
                <w:trHeight w:val="356"/>
              </w:trPr>
              <w:tc>
                <w:tcPr>
                  <w:tcW w:w="0" w:type="auto"/>
                </w:tcPr>
                <w:p w14:paraId="5D4CB4E9" w14:textId="77777777" w:rsidR="00FD62D7" w:rsidRPr="000D6DE4" w:rsidRDefault="00FD62D7" w:rsidP="00FD62D7">
                  <w:pPr>
                    <w:spacing w:before="40" w:after="40" w:line="240" w:lineRule="auto"/>
                    <w:outlineLvl w:val="9"/>
                    <w:rPr>
                      <w:lang w:eastAsia="en-US"/>
                    </w:rPr>
                  </w:pPr>
                  <w:r w:rsidRPr="000D6DE4">
                    <w:rPr>
                      <w:lang w:eastAsia="en-US"/>
                    </w:rPr>
                    <w:t xml:space="preserve">To ensure access for compulsory site briefing is arranged please forward a copy of your South African ID or Drivers Licence to Email address: </w:t>
                  </w:r>
                </w:p>
                <w:p w14:paraId="62C545A1" w14:textId="4B18AFE9" w:rsidR="00FD62D7" w:rsidRPr="000D6DE4" w:rsidRDefault="00FD62D7" w:rsidP="00FD62D7">
                  <w:pPr>
                    <w:widowControl/>
                    <w:spacing w:before="0" w:after="0"/>
                    <w:outlineLvl w:val="9"/>
                    <w:rPr>
                      <w:iCs w:val="0"/>
                      <w:color w:val="000000"/>
                      <w:lang w:val="en-ZA"/>
                    </w:rPr>
                  </w:pPr>
                  <w:hyperlink r:id="rId9" w:history="1">
                    <w:r w:rsidRPr="005C489D">
                      <w:rPr>
                        <w:rStyle w:val="Hyperlink"/>
                      </w:rPr>
                      <w:t>guilty.rivombo@necsa.co.za</w:t>
                    </w:r>
                  </w:hyperlink>
                  <w:r>
                    <w:rPr>
                      <w:color w:val="000000"/>
                    </w:rPr>
                    <w:t xml:space="preserve"> </w:t>
                  </w:r>
                  <w:r w:rsidRPr="000D6DE4">
                    <w:rPr>
                      <w:lang w:eastAsia="en-US"/>
                    </w:rPr>
                    <w:t>before</w:t>
                  </w:r>
                  <w:r>
                    <w:rPr>
                      <w:lang w:eastAsia="en-US"/>
                    </w:rPr>
                    <w:t xml:space="preserve"> 31 July </w:t>
                  </w:r>
                  <w:r w:rsidRPr="000D6DE4">
                    <w:rPr>
                      <w:lang w:eastAsia="en-US"/>
                    </w:rPr>
                    <w:t>202</w:t>
                  </w:r>
                  <w:r>
                    <w:rPr>
                      <w:lang w:eastAsia="en-US"/>
                    </w:rPr>
                    <w:t>4.</w:t>
                  </w:r>
                </w:p>
              </w:tc>
            </w:tr>
          </w:tbl>
          <w:p w14:paraId="3770477A" w14:textId="53DBBE8C" w:rsidR="00CD1845" w:rsidRPr="00591A56" w:rsidRDefault="00CD1845" w:rsidP="00505652">
            <w:pPr>
              <w:spacing w:before="40" w:after="40"/>
              <w:jc w:val="both"/>
              <w:outlineLvl w:val="9"/>
              <w:rPr>
                <w:color w:val="FF0000"/>
                <w:lang w:eastAsia="en-US"/>
              </w:rPr>
            </w:pPr>
          </w:p>
        </w:tc>
      </w:tr>
      <w:tr w:rsidR="00CD1845" w14:paraId="3B64E8A7" w14:textId="77777777" w:rsidTr="00CD1845">
        <w:tc>
          <w:tcPr>
            <w:tcW w:w="2405" w:type="dxa"/>
          </w:tcPr>
          <w:p w14:paraId="19AAE69F" w14:textId="77777777" w:rsidR="00CD1845" w:rsidRPr="00CD1845" w:rsidRDefault="00CD1845" w:rsidP="00CD1845">
            <w:pPr>
              <w:rPr>
                <w:b/>
                <w:lang w:val="en-ZA" w:eastAsia="en-US"/>
              </w:rPr>
            </w:pPr>
            <w:r w:rsidRPr="00B8305D">
              <w:rPr>
                <w:b/>
              </w:rPr>
              <w:t>DELIVERY ADDRESS:</w:t>
            </w:r>
          </w:p>
        </w:tc>
        <w:tc>
          <w:tcPr>
            <w:tcW w:w="7222" w:type="dxa"/>
          </w:tcPr>
          <w:p w14:paraId="4C5E13E3" w14:textId="77777777" w:rsidR="00CD1845" w:rsidRPr="00CD1845" w:rsidRDefault="00CD1845" w:rsidP="00CD1845">
            <w:pPr>
              <w:spacing w:before="40" w:after="40"/>
              <w:outlineLvl w:val="9"/>
              <w:rPr>
                <w:b/>
                <w:lang w:eastAsia="en-US"/>
              </w:rPr>
            </w:pPr>
            <w:r w:rsidRPr="00CD1845">
              <w:rPr>
                <w:b/>
                <w:szCs w:val="24"/>
                <w:lang w:eastAsia="en-US"/>
              </w:rPr>
              <w:t>BID DOCUMENTS MAY BE DEPOSITED IN THE BID BOX SITUATED AT:</w:t>
            </w:r>
          </w:p>
          <w:p w14:paraId="502DD929" w14:textId="77777777" w:rsidR="00CD1845" w:rsidRPr="00CD1845" w:rsidRDefault="00CD1845" w:rsidP="00CD1845">
            <w:pPr>
              <w:spacing w:before="40" w:after="40"/>
              <w:outlineLvl w:val="9"/>
              <w:rPr>
                <w:lang w:eastAsia="en-US"/>
              </w:rPr>
            </w:pPr>
            <w:r w:rsidRPr="00CD1845">
              <w:rPr>
                <w:lang w:eastAsia="en-US"/>
              </w:rPr>
              <w:t>Necsa Gate 3</w:t>
            </w:r>
          </w:p>
          <w:p w14:paraId="09F0D0BD" w14:textId="77777777" w:rsidR="00CD1845" w:rsidRPr="00CD1845" w:rsidRDefault="00CD1845" w:rsidP="00CD1845">
            <w:pPr>
              <w:spacing w:before="40" w:after="40"/>
              <w:outlineLvl w:val="9"/>
              <w:rPr>
                <w:lang w:eastAsia="en-US"/>
              </w:rPr>
            </w:pPr>
            <w:r w:rsidRPr="00CD1845">
              <w:rPr>
                <w:lang w:eastAsia="en-US"/>
              </w:rPr>
              <w:t xml:space="preserve">R104 Elias </w:t>
            </w:r>
            <w:proofErr w:type="spellStart"/>
            <w:r w:rsidRPr="00CD1845">
              <w:rPr>
                <w:lang w:eastAsia="en-US"/>
              </w:rPr>
              <w:t>Motsoaledi</w:t>
            </w:r>
            <w:proofErr w:type="spellEnd"/>
            <w:r w:rsidRPr="00CD1845">
              <w:rPr>
                <w:lang w:eastAsia="en-US"/>
              </w:rPr>
              <w:t xml:space="preserve"> Street (Church Street West Ext)</w:t>
            </w:r>
          </w:p>
          <w:p w14:paraId="7684AA24" w14:textId="77777777" w:rsidR="00CD1845" w:rsidRPr="00CD1845" w:rsidRDefault="00CD1845" w:rsidP="00CD1845">
            <w:pPr>
              <w:spacing w:before="40" w:after="40"/>
              <w:outlineLvl w:val="9"/>
              <w:rPr>
                <w:lang w:eastAsia="en-US"/>
              </w:rPr>
            </w:pPr>
            <w:proofErr w:type="spellStart"/>
            <w:r w:rsidRPr="00CD1845">
              <w:rPr>
                <w:lang w:eastAsia="en-US"/>
              </w:rPr>
              <w:t>Pelindaba</w:t>
            </w:r>
            <w:proofErr w:type="spellEnd"/>
          </w:p>
          <w:p w14:paraId="5A800BDB" w14:textId="77777777" w:rsidR="00CD1845" w:rsidRPr="00CD1845" w:rsidRDefault="00CD1845" w:rsidP="00CD1845">
            <w:pPr>
              <w:spacing w:before="40" w:after="40"/>
              <w:outlineLvl w:val="9"/>
              <w:rPr>
                <w:lang w:eastAsia="en-US"/>
              </w:rPr>
            </w:pPr>
            <w:r w:rsidRPr="00CD1845">
              <w:rPr>
                <w:lang w:eastAsia="en-US"/>
              </w:rPr>
              <w:t>Brits Magisterial District</w:t>
            </w:r>
          </w:p>
          <w:p w14:paraId="7D53B63C" w14:textId="77777777" w:rsidR="00CD1845" w:rsidRPr="00CD1845" w:rsidRDefault="00CD1845" w:rsidP="00CD1845">
            <w:pPr>
              <w:spacing w:before="40" w:after="40"/>
              <w:outlineLvl w:val="9"/>
              <w:rPr>
                <w:lang w:eastAsia="en-US"/>
              </w:rPr>
            </w:pPr>
            <w:r w:rsidRPr="00CD1845">
              <w:rPr>
                <w:lang w:eastAsia="en-US"/>
              </w:rPr>
              <w:t>Madibeng Municipality</w:t>
            </w:r>
          </w:p>
          <w:p w14:paraId="0F83084C" w14:textId="77777777" w:rsidR="00CD1845" w:rsidRPr="00CD1845" w:rsidRDefault="00CD1845" w:rsidP="00CD1845">
            <w:pPr>
              <w:spacing w:before="40" w:after="40"/>
              <w:outlineLvl w:val="9"/>
              <w:rPr>
                <w:lang w:eastAsia="en-US"/>
              </w:rPr>
            </w:pPr>
            <w:r w:rsidRPr="00CD1845">
              <w:rPr>
                <w:lang w:eastAsia="en-US"/>
              </w:rPr>
              <w:t>North West</w:t>
            </w:r>
          </w:p>
          <w:p w14:paraId="30E1FFB0" w14:textId="77777777" w:rsidR="00CD1845" w:rsidRDefault="00CD1845" w:rsidP="00CD1845">
            <w:pPr>
              <w:rPr>
                <w:iCs w:val="0"/>
                <w:lang w:eastAsia="en-US"/>
              </w:rPr>
            </w:pPr>
            <w:r w:rsidRPr="00CD1845">
              <w:rPr>
                <w:iCs w:val="0"/>
                <w:lang w:eastAsia="en-US"/>
              </w:rPr>
              <w:t>0240</w:t>
            </w:r>
          </w:p>
          <w:p w14:paraId="691ABFA1" w14:textId="77777777" w:rsidR="00E75FAF" w:rsidRDefault="00E75FAF" w:rsidP="00E75FAF">
            <w:pPr>
              <w:rPr>
                <w:iCs w:val="0"/>
                <w:lang w:eastAsia="en-US"/>
              </w:rPr>
            </w:pPr>
            <w:r w:rsidRPr="009B185A">
              <w:rPr>
                <w:iCs w:val="0"/>
                <w:lang w:eastAsia="en-US"/>
              </w:rPr>
              <w:t xml:space="preserve">GPS </w:t>
            </w:r>
            <w:proofErr w:type="gramStart"/>
            <w:r w:rsidRPr="009B185A">
              <w:rPr>
                <w:iCs w:val="0"/>
                <w:lang w:eastAsia="en-US"/>
              </w:rPr>
              <w:t>coordinates :</w:t>
            </w:r>
            <w:proofErr w:type="gramEnd"/>
            <w:r w:rsidRPr="009B185A">
              <w:rPr>
                <w:iCs w:val="0"/>
                <w:lang w:eastAsia="en-US"/>
              </w:rPr>
              <w:t xml:space="preserve"> S25º47’03.0” E027º56’38.8”</w:t>
            </w:r>
          </w:p>
          <w:p w14:paraId="42366246" w14:textId="77777777" w:rsidR="00E75FAF" w:rsidRDefault="00E75FAF" w:rsidP="00E75FAF">
            <w:pPr>
              <w:rPr>
                <w:lang w:val="en-ZA" w:eastAsia="en-US"/>
              </w:rPr>
            </w:pPr>
            <w:r w:rsidRPr="00C041EA">
              <w:rPr>
                <w:color w:val="FF0000"/>
                <w:lang w:val="en-ZA" w:eastAsia="en-US"/>
              </w:rPr>
              <w:t>NB: The physical size of the Bid Response must be limited to 400mm x 10</w:t>
            </w:r>
            <w:r>
              <w:rPr>
                <w:color w:val="FF0000"/>
                <w:lang w:val="en-ZA" w:eastAsia="en-US"/>
              </w:rPr>
              <w:t>0</w:t>
            </w:r>
            <w:r w:rsidRPr="00C041EA">
              <w:rPr>
                <w:color w:val="FF0000"/>
                <w:lang w:val="en-ZA" w:eastAsia="en-US"/>
              </w:rPr>
              <w:t xml:space="preserve">mm </w:t>
            </w:r>
            <w:r>
              <w:rPr>
                <w:color w:val="FF0000"/>
                <w:lang w:val="en-ZA" w:eastAsia="en-US"/>
              </w:rPr>
              <w:t xml:space="preserve">x 150 mm </w:t>
            </w:r>
            <w:r w:rsidRPr="00C041EA">
              <w:rPr>
                <w:color w:val="FF0000"/>
                <w:lang w:val="en-ZA" w:eastAsia="en-US"/>
              </w:rPr>
              <w:t>as the Tender Box aperture cannot accommodate larger sizes.</w:t>
            </w:r>
          </w:p>
        </w:tc>
      </w:tr>
      <w:tr w:rsidR="00CD1845" w14:paraId="76F3EFA4" w14:textId="77777777" w:rsidTr="00CD1845">
        <w:tc>
          <w:tcPr>
            <w:tcW w:w="2405" w:type="dxa"/>
          </w:tcPr>
          <w:p w14:paraId="293E249D" w14:textId="77777777" w:rsidR="00CD1845" w:rsidRPr="00CD1845" w:rsidRDefault="00CD1845" w:rsidP="00CD1845">
            <w:pPr>
              <w:rPr>
                <w:b/>
                <w:lang w:val="en-ZA" w:eastAsia="en-US"/>
              </w:rPr>
            </w:pPr>
            <w:r w:rsidRPr="00B8305D">
              <w:rPr>
                <w:b/>
              </w:rPr>
              <w:t>ENQUIRES:</w:t>
            </w:r>
          </w:p>
        </w:tc>
        <w:tc>
          <w:tcPr>
            <w:tcW w:w="7222" w:type="dxa"/>
          </w:tcPr>
          <w:p w14:paraId="6D57F1EA" w14:textId="77777777" w:rsidR="008D0194" w:rsidRPr="008D0194" w:rsidRDefault="008D0194" w:rsidP="00CD1845">
            <w:pPr>
              <w:spacing w:before="40" w:after="40"/>
              <w:outlineLvl w:val="9"/>
              <w:rPr>
                <w:b/>
                <w:lang w:eastAsia="en-US"/>
              </w:rPr>
            </w:pPr>
            <w:r w:rsidRPr="008D0194">
              <w:t>Ms Amogelang Ntshabele</w:t>
            </w:r>
            <w:r w:rsidRPr="008D0194">
              <w:rPr>
                <w:b/>
                <w:lang w:eastAsia="en-US"/>
              </w:rPr>
              <w:t xml:space="preserve"> </w:t>
            </w:r>
          </w:p>
          <w:p w14:paraId="783AD2A0" w14:textId="74FEC852"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r w:rsidR="00495E4C">
              <w:rPr>
                <w:color w:val="0000FF"/>
                <w:u w:val="single"/>
                <w:lang w:eastAsia="en-US"/>
              </w:rPr>
              <w:t>SCM@necsa.co.za</w:t>
            </w:r>
          </w:p>
          <w:p w14:paraId="03AF4B99" w14:textId="77777777" w:rsidR="00CD1845" w:rsidRDefault="00CD1845" w:rsidP="00CD1845">
            <w:pPr>
              <w:rPr>
                <w:lang w:val="en-ZA" w:eastAsia="en-US"/>
              </w:rPr>
            </w:pPr>
            <w:r w:rsidRPr="00CD1845">
              <w:rPr>
                <w:b/>
                <w:iCs w:val="0"/>
                <w:lang w:eastAsia="en-US"/>
              </w:rPr>
              <w:t>Tel:</w:t>
            </w:r>
            <w:r w:rsidRPr="00CD1845">
              <w:rPr>
                <w:iCs w:val="0"/>
                <w:lang w:eastAsia="en-US"/>
              </w:rPr>
              <w:t xml:space="preserve"> +27 (0) 12 305 6072</w:t>
            </w:r>
          </w:p>
        </w:tc>
      </w:tr>
    </w:tbl>
    <w:p w14:paraId="073D563A" w14:textId="216688ED" w:rsidR="00CD1845" w:rsidRDefault="00CD1845" w:rsidP="00CD1845">
      <w:pPr>
        <w:jc w:val="both"/>
        <w:rPr>
          <w:b/>
        </w:rPr>
      </w:pPr>
      <w:r w:rsidRPr="00CD1845">
        <w:rPr>
          <w:b/>
        </w:rPr>
        <w:t>THIS BID IS SUBJECT TO THE PREFERENTIAL PROCUREMENT POLICY FRAMEWORK ACT AND THE PREFERENTI</w:t>
      </w:r>
      <w:r w:rsidR="00591A56">
        <w:rPr>
          <w:b/>
        </w:rPr>
        <w:t>AL PROCUREMENT REGULATIONS, 20</w:t>
      </w:r>
      <w:r w:rsidR="00FD62D7">
        <w:rPr>
          <w:b/>
        </w:rPr>
        <w:t>22</w:t>
      </w:r>
      <w:r w:rsidRPr="00CD1845">
        <w:rPr>
          <w:b/>
        </w:rPr>
        <w:t>, THE GENERAL CONDITIONS OF CONTRACT (GCC) AND, IF APPLICABLE, ANY OTHER SPECIAL CONDITIONS OF CONTRACT.</w:t>
      </w:r>
    </w:p>
    <w:p w14:paraId="5721950F" w14:textId="77777777" w:rsidR="008610B6" w:rsidRDefault="008610B6">
      <w:pPr>
        <w:widowControl/>
        <w:spacing w:before="0" w:after="200"/>
        <w:outlineLvl w:val="9"/>
        <w:rPr>
          <w:rFonts w:ascii="Arial Bold" w:hAnsi="Arial Bold"/>
          <w:b/>
          <w:bCs/>
          <w:caps/>
          <w:color w:val="0087AC"/>
          <w:sz w:val="32"/>
          <w:szCs w:val="44"/>
          <w:lang w:val="en-ZA" w:eastAsia="en-US"/>
        </w:rPr>
      </w:pPr>
      <w:r>
        <w:br w:type="page"/>
      </w:r>
    </w:p>
    <w:p w14:paraId="3E603DCF" w14:textId="77777777" w:rsidR="00484FDB" w:rsidRDefault="00484FDB" w:rsidP="00FB1E06">
      <w:pPr>
        <w:pStyle w:val="Title"/>
        <w:outlineLvl w:val="9"/>
      </w:pPr>
      <w:bookmarkStart w:id="2" w:name="_Toc494699100"/>
      <w:r>
        <w:lastRenderedPageBreak/>
        <w:t>Table of Contents</w:t>
      </w:r>
      <w:bookmarkEnd w:id="2"/>
    </w:p>
    <w:p w14:paraId="0D30147B" w14:textId="77777777" w:rsidR="00F80D24" w:rsidRPr="008610B6" w:rsidRDefault="00F80D24" w:rsidP="008610B6">
      <w:pPr>
        <w:spacing w:before="0" w:after="0" w:line="240" w:lineRule="auto"/>
        <w:rPr>
          <w:sz w:val="6"/>
          <w:lang w:val="en-ZA" w:eastAsia="en-US"/>
        </w:rPr>
      </w:pPr>
    </w:p>
    <w:p w14:paraId="088E63D7" w14:textId="77777777" w:rsidR="00591A56" w:rsidRDefault="00826386">
      <w:pPr>
        <w:pStyle w:val="TOC2"/>
        <w:tabs>
          <w:tab w:val="right" w:leader="dot" w:pos="9627"/>
        </w:tabs>
        <w:rPr>
          <w:rFonts w:asciiTheme="minorHAnsi" w:eastAsiaTheme="minorEastAsia" w:hAnsiTheme="minorHAnsi" w:cstheme="minorBidi"/>
          <w:b w:val="0"/>
          <w:iCs w:val="0"/>
          <w:noProof/>
          <w:sz w:val="22"/>
          <w:lang w:val="en-US" w:eastAsia="en-US"/>
        </w:rPr>
      </w:pPr>
      <w:r>
        <w:fldChar w:fldCharType="begin"/>
      </w:r>
      <w:r w:rsidR="00292449">
        <w:instrText xml:space="preserve"> TOC \o "1-3" \h \z \u </w:instrText>
      </w:r>
      <w:r>
        <w:fldChar w:fldCharType="separate"/>
      </w:r>
      <w:hyperlink w:anchor="_Toc494699099" w:history="1">
        <w:r w:rsidR="00591A56" w:rsidRPr="00B76C89">
          <w:rPr>
            <w:rStyle w:val="Hyperlink"/>
            <w:noProof/>
          </w:rPr>
          <w:t>Invitation to bid</w:t>
        </w:r>
        <w:r w:rsidR="00591A56">
          <w:rPr>
            <w:noProof/>
            <w:webHidden/>
          </w:rPr>
          <w:tab/>
        </w:r>
        <w:r w:rsidR="00591A56">
          <w:rPr>
            <w:noProof/>
            <w:webHidden/>
          </w:rPr>
          <w:fldChar w:fldCharType="begin"/>
        </w:r>
        <w:r w:rsidR="00591A56">
          <w:rPr>
            <w:noProof/>
            <w:webHidden/>
          </w:rPr>
          <w:instrText xml:space="preserve"> PAGEREF _Toc494699099 \h </w:instrText>
        </w:r>
        <w:r w:rsidR="00591A56">
          <w:rPr>
            <w:noProof/>
            <w:webHidden/>
          </w:rPr>
        </w:r>
        <w:r w:rsidR="00591A56">
          <w:rPr>
            <w:noProof/>
            <w:webHidden/>
          </w:rPr>
          <w:fldChar w:fldCharType="separate"/>
        </w:r>
        <w:r w:rsidR="008A4C1A">
          <w:rPr>
            <w:noProof/>
            <w:webHidden/>
          </w:rPr>
          <w:t>1</w:t>
        </w:r>
        <w:r w:rsidR="00591A56">
          <w:rPr>
            <w:noProof/>
            <w:webHidden/>
          </w:rPr>
          <w:fldChar w:fldCharType="end"/>
        </w:r>
      </w:hyperlink>
    </w:p>
    <w:p w14:paraId="5998E893" w14:textId="77777777" w:rsidR="00591A56" w:rsidRDefault="00FD62D7">
      <w:pPr>
        <w:pStyle w:val="TOC2"/>
        <w:tabs>
          <w:tab w:val="right" w:leader="dot" w:pos="9627"/>
        </w:tabs>
        <w:rPr>
          <w:rFonts w:asciiTheme="minorHAnsi" w:eastAsiaTheme="minorEastAsia" w:hAnsiTheme="minorHAnsi" w:cstheme="minorBidi"/>
          <w:b w:val="0"/>
          <w:iCs w:val="0"/>
          <w:noProof/>
          <w:sz w:val="22"/>
          <w:lang w:val="en-US" w:eastAsia="en-US"/>
        </w:rPr>
      </w:pPr>
      <w:hyperlink w:anchor="_Toc494699100" w:history="1">
        <w:r w:rsidR="00591A56" w:rsidRPr="00B76C89">
          <w:rPr>
            <w:rStyle w:val="Hyperlink"/>
            <w:noProof/>
          </w:rPr>
          <w:t>Table of Contents</w:t>
        </w:r>
        <w:r w:rsidR="00591A56">
          <w:rPr>
            <w:noProof/>
            <w:webHidden/>
          </w:rPr>
          <w:tab/>
        </w:r>
        <w:r w:rsidR="00591A56">
          <w:rPr>
            <w:noProof/>
            <w:webHidden/>
          </w:rPr>
          <w:fldChar w:fldCharType="begin"/>
        </w:r>
        <w:r w:rsidR="00591A56">
          <w:rPr>
            <w:noProof/>
            <w:webHidden/>
          </w:rPr>
          <w:instrText xml:space="preserve"> PAGEREF _Toc494699100 \h </w:instrText>
        </w:r>
        <w:r w:rsidR="00591A56">
          <w:rPr>
            <w:noProof/>
            <w:webHidden/>
          </w:rPr>
        </w:r>
        <w:r w:rsidR="00591A56">
          <w:rPr>
            <w:noProof/>
            <w:webHidden/>
          </w:rPr>
          <w:fldChar w:fldCharType="separate"/>
        </w:r>
        <w:r w:rsidR="008A4C1A">
          <w:rPr>
            <w:noProof/>
            <w:webHidden/>
          </w:rPr>
          <w:t>2</w:t>
        </w:r>
        <w:r w:rsidR="00591A56">
          <w:rPr>
            <w:noProof/>
            <w:webHidden/>
          </w:rPr>
          <w:fldChar w:fldCharType="end"/>
        </w:r>
      </w:hyperlink>
    </w:p>
    <w:p w14:paraId="5A1F3574" w14:textId="77777777" w:rsidR="00591A56" w:rsidRDefault="00FD62D7">
      <w:pPr>
        <w:pStyle w:val="TOC1"/>
        <w:tabs>
          <w:tab w:val="right" w:leader="dot" w:pos="9627"/>
        </w:tabs>
        <w:rPr>
          <w:rFonts w:asciiTheme="minorHAnsi" w:eastAsiaTheme="minorEastAsia" w:hAnsiTheme="minorHAnsi" w:cstheme="minorBidi"/>
          <w:b w:val="0"/>
          <w:iCs w:val="0"/>
          <w:noProof/>
          <w:sz w:val="22"/>
          <w:lang w:val="en-US" w:eastAsia="en-US"/>
        </w:rPr>
      </w:pPr>
      <w:hyperlink w:anchor="_Toc494699101" w:history="1">
        <w:r w:rsidR="00591A56" w:rsidRPr="00B76C89">
          <w:rPr>
            <w:rStyle w:val="Hyperlink"/>
            <w:noProof/>
          </w:rPr>
          <w:t>SECTION 1</w:t>
        </w:r>
        <w:r w:rsidR="00591A56">
          <w:rPr>
            <w:noProof/>
            <w:webHidden/>
          </w:rPr>
          <w:tab/>
        </w:r>
        <w:r w:rsidR="00591A56">
          <w:rPr>
            <w:noProof/>
            <w:webHidden/>
          </w:rPr>
          <w:fldChar w:fldCharType="begin"/>
        </w:r>
        <w:r w:rsidR="00591A56">
          <w:rPr>
            <w:noProof/>
            <w:webHidden/>
          </w:rPr>
          <w:instrText xml:space="preserve"> PAGEREF _Toc494699101 \h </w:instrText>
        </w:r>
        <w:r w:rsidR="00591A56">
          <w:rPr>
            <w:noProof/>
            <w:webHidden/>
          </w:rPr>
        </w:r>
        <w:r w:rsidR="00591A56">
          <w:rPr>
            <w:noProof/>
            <w:webHidden/>
          </w:rPr>
          <w:fldChar w:fldCharType="separate"/>
        </w:r>
        <w:r w:rsidR="008A4C1A">
          <w:rPr>
            <w:noProof/>
            <w:webHidden/>
          </w:rPr>
          <w:t>3</w:t>
        </w:r>
        <w:r w:rsidR="00591A56">
          <w:rPr>
            <w:noProof/>
            <w:webHidden/>
          </w:rPr>
          <w:fldChar w:fldCharType="end"/>
        </w:r>
      </w:hyperlink>
    </w:p>
    <w:p w14:paraId="7A528C1D" w14:textId="77777777" w:rsidR="00591A56" w:rsidRDefault="00FD62D7">
      <w:pPr>
        <w:pStyle w:val="TOC2"/>
        <w:tabs>
          <w:tab w:val="right" w:leader="dot" w:pos="9627"/>
        </w:tabs>
        <w:rPr>
          <w:rFonts w:asciiTheme="minorHAnsi" w:eastAsiaTheme="minorEastAsia" w:hAnsiTheme="minorHAnsi" w:cstheme="minorBidi"/>
          <w:b w:val="0"/>
          <w:iCs w:val="0"/>
          <w:noProof/>
          <w:sz w:val="22"/>
          <w:lang w:val="en-US" w:eastAsia="en-US"/>
        </w:rPr>
      </w:pPr>
      <w:hyperlink w:anchor="_Toc494699102" w:history="1">
        <w:r w:rsidR="00591A56" w:rsidRPr="00B76C89">
          <w:rPr>
            <w:rStyle w:val="Hyperlink"/>
            <w:rFonts w:ascii="Arial Bold" w:hAnsi="Arial Bold"/>
            <w:noProof/>
          </w:rPr>
          <w:t>1.</w:t>
        </w:r>
        <w:r w:rsidR="00591A56">
          <w:rPr>
            <w:rFonts w:asciiTheme="minorHAnsi" w:eastAsiaTheme="minorEastAsia" w:hAnsiTheme="minorHAnsi" w:cstheme="minorBidi"/>
            <w:b w:val="0"/>
            <w:iCs w:val="0"/>
            <w:noProof/>
            <w:sz w:val="22"/>
            <w:lang w:val="en-US" w:eastAsia="en-US"/>
          </w:rPr>
          <w:tab/>
        </w:r>
        <w:r w:rsidR="00591A56" w:rsidRPr="00B76C89">
          <w:rPr>
            <w:rStyle w:val="Hyperlink"/>
            <w:noProof/>
          </w:rPr>
          <w:t>Introduction</w:t>
        </w:r>
        <w:r w:rsidR="00591A56">
          <w:rPr>
            <w:noProof/>
            <w:webHidden/>
          </w:rPr>
          <w:tab/>
        </w:r>
        <w:r w:rsidR="00591A56">
          <w:rPr>
            <w:noProof/>
            <w:webHidden/>
          </w:rPr>
          <w:fldChar w:fldCharType="begin"/>
        </w:r>
        <w:r w:rsidR="00591A56">
          <w:rPr>
            <w:noProof/>
            <w:webHidden/>
          </w:rPr>
          <w:instrText xml:space="preserve"> PAGEREF _Toc494699102 \h </w:instrText>
        </w:r>
        <w:r w:rsidR="00591A56">
          <w:rPr>
            <w:noProof/>
            <w:webHidden/>
          </w:rPr>
        </w:r>
        <w:r w:rsidR="00591A56">
          <w:rPr>
            <w:noProof/>
            <w:webHidden/>
          </w:rPr>
          <w:fldChar w:fldCharType="separate"/>
        </w:r>
        <w:r w:rsidR="008A4C1A">
          <w:rPr>
            <w:noProof/>
            <w:webHidden/>
          </w:rPr>
          <w:t>3</w:t>
        </w:r>
        <w:r w:rsidR="00591A56">
          <w:rPr>
            <w:noProof/>
            <w:webHidden/>
          </w:rPr>
          <w:fldChar w:fldCharType="end"/>
        </w:r>
      </w:hyperlink>
    </w:p>
    <w:p w14:paraId="4BD620BB"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03" w:history="1">
        <w:r w:rsidR="00591A56" w:rsidRPr="00B76C89">
          <w:rPr>
            <w:rStyle w:val="Hyperlink"/>
            <w:noProof/>
          </w:rPr>
          <w:t>1.1</w:t>
        </w:r>
        <w:r w:rsidR="00591A56">
          <w:rPr>
            <w:rFonts w:asciiTheme="minorHAnsi" w:eastAsiaTheme="minorEastAsia" w:hAnsiTheme="minorHAnsi" w:cstheme="minorBidi"/>
            <w:iCs w:val="0"/>
            <w:noProof/>
            <w:sz w:val="22"/>
            <w:lang w:val="en-US" w:eastAsia="en-US"/>
          </w:rPr>
          <w:tab/>
        </w:r>
        <w:r w:rsidR="00591A56" w:rsidRPr="00B76C89">
          <w:rPr>
            <w:rStyle w:val="Hyperlink"/>
            <w:noProof/>
          </w:rPr>
          <w:t>Company Overview</w:t>
        </w:r>
        <w:r w:rsidR="00591A56">
          <w:rPr>
            <w:noProof/>
            <w:webHidden/>
          </w:rPr>
          <w:tab/>
        </w:r>
        <w:r w:rsidR="00591A56">
          <w:rPr>
            <w:noProof/>
            <w:webHidden/>
          </w:rPr>
          <w:fldChar w:fldCharType="begin"/>
        </w:r>
        <w:r w:rsidR="00591A56">
          <w:rPr>
            <w:noProof/>
            <w:webHidden/>
          </w:rPr>
          <w:instrText xml:space="preserve"> PAGEREF _Toc494699103 \h </w:instrText>
        </w:r>
        <w:r w:rsidR="00591A56">
          <w:rPr>
            <w:noProof/>
            <w:webHidden/>
          </w:rPr>
        </w:r>
        <w:r w:rsidR="00591A56">
          <w:rPr>
            <w:noProof/>
            <w:webHidden/>
          </w:rPr>
          <w:fldChar w:fldCharType="separate"/>
        </w:r>
        <w:r w:rsidR="008A4C1A">
          <w:rPr>
            <w:noProof/>
            <w:webHidden/>
          </w:rPr>
          <w:t>3</w:t>
        </w:r>
        <w:r w:rsidR="00591A56">
          <w:rPr>
            <w:noProof/>
            <w:webHidden/>
          </w:rPr>
          <w:fldChar w:fldCharType="end"/>
        </w:r>
      </w:hyperlink>
    </w:p>
    <w:p w14:paraId="70B28ADC"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04" w:history="1">
        <w:r w:rsidR="00591A56" w:rsidRPr="00B76C89">
          <w:rPr>
            <w:rStyle w:val="Hyperlink"/>
            <w:noProof/>
          </w:rPr>
          <w:t>1.2</w:t>
        </w:r>
        <w:r w:rsidR="00591A56">
          <w:rPr>
            <w:rFonts w:asciiTheme="minorHAnsi" w:eastAsiaTheme="minorEastAsia" w:hAnsiTheme="minorHAnsi" w:cstheme="minorBidi"/>
            <w:iCs w:val="0"/>
            <w:noProof/>
            <w:sz w:val="22"/>
            <w:lang w:val="en-US" w:eastAsia="en-US"/>
          </w:rPr>
          <w:tab/>
        </w:r>
        <w:r w:rsidR="00591A56" w:rsidRPr="00B76C89">
          <w:rPr>
            <w:rStyle w:val="Hyperlink"/>
            <w:noProof/>
          </w:rPr>
          <w:t>Background</w:t>
        </w:r>
        <w:r w:rsidR="00591A56">
          <w:rPr>
            <w:noProof/>
            <w:webHidden/>
          </w:rPr>
          <w:tab/>
        </w:r>
        <w:r w:rsidR="00591A56">
          <w:rPr>
            <w:noProof/>
            <w:webHidden/>
          </w:rPr>
          <w:fldChar w:fldCharType="begin"/>
        </w:r>
        <w:r w:rsidR="00591A56">
          <w:rPr>
            <w:noProof/>
            <w:webHidden/>
          </w:rPr>
          <w:instrText xml:space="preserve"> PAGEREF _Toc494699104 \h </w:instrText>
        </w:r>
        <w:r w:rsidR="00591A56">
          <w:rPr>
            <w:noProof/>
            <w:webHidden/>
          </w:rPr>
        </w:r>
        <w:r w:rsidR="00591A56">
          <w:rPr>
            <w:noProof/>
            <w:webHidden/>
          </w:rPr>
          <w:fldChar w:fldCharType="separate"/>
        </w:r>
        <w:r w:rsidR="008A4C1A">
          <w:rPr>
            <w:noProof/>
            <w:webHidden/>
          </w:rPr>
          <w:t>3</w:t>
        </w:r>
        <w:r w:rsidR="00591A56">
          <w:rPr>
            <w:noProof/>
            <w:webHidden/>
          </w:rPr>
          <w:fldChar w:fldCharType="end"/>
        </w:r>
      </w:hyperlink>
    </w:p>
    <w:p w14:paraId="0C860D77" w14:textId="77777777" w:rsidR="00591A56" w:rsidRDefault="00FD62D7">
      <w:pPr>
        <w:pStyle w:val="TOC2"/>
        <w:tabs>
          <w:tab w:val="right" w:leader="dot" w:pos="9627"/>
        </w:tabs>
        <w:rPr>
          <w:rFonts w:asciiTheme="minorHAnsi" w:eastAsiaTheme="minorEastAsia" w:hAnsiTheme="minorHAnsi" w:cstheme="minorBidi"/>
          <w:b w:val="0"/>
          <w:iCs w:val="0"/>
          <w:noProof/>
          <w:sz w:val="22"/>
          <w:lang w:val="en-US" w:eastAsia="en-US"/>
        </w:rPr>
      </w:pPr>
      <w:hyperlink w:anchor="_Toc494699105" w:history="1">
        <w:r w:rsidR="00591A56" w:rsidRPr="00B76C89">
          <w:rPr>
            <w:rStyle w:val="Hyperlink"/>
            <w:rFonts w:ascii="Arial Bold" w:hAnsi="Arial Bold"/>
            <w:noProof/>
          </w:rPr>
          <w:t>2.</w:t>
        </w:r>
        <w:r w:rsidR="00591A56">
          <w:rPr>
            <w:rFonts w:asciiTheme="minorHAnsi" w:eastAsiaTheme="minorEastAsia" w:hAnsiTheme="minorHAnsi" w:cstheme="minorBidi"/>
            <w:b w:val="0"/>
            <w:iCs w:val="0"/>
            <w:noProof/>
            <w:sz w:val="22"/>
            <w:lang w:val="en-US" w:eastAsia="en-US"/>
          </w:rPr>
          <w:tab/>
        </w:r>
        <w:r w:rsidR="00591A56" w:rsidRPr="00B76C89">
          <w:rPr>
            <w:rStyle w:val="Hyperlink"/>
            <w:noProof/>
          </w:rPr>
          <w:t>Scope of Work</w:t>
        </w:r>
        <w:r w:rsidR="00591A56">
          <w:rPr>
            <w:noProof/>
            <w:webHidden/>
          </w:rPr>
          <w:tab/>
        </w:r>
        <w:r w:rsidR="00591A56">
          <w:rPr>
            <w:noProof/>
            <w:webHidden/>
          </w:rPr>
          <w:fldChar w:fldCharType="begin"/>
        </w:r>
        <w:r w:rsidR="00591A56">
          <w:rPr>
            <w:noProof/>
            <w:webHidden/>
          </w:rPr>
          <w:instrText xml:space="preserve"> PAGEREF _Toc494699105 \h </w:instrText>
        </w:r>
        <w:r w:rsidR="00591A56">
          <w:rPr>
            <w:noProof/>
            <w:webHidden/>
          </w:rPr>
        </w:r>
        <w:r w:rsidR="00591A56">
          <w:rPr>
            <w:noProof/>
            <w:webHidden/>
          </w:rPr>
          <w:fldChar w:fldCharType="separate"/>
        </w:r>
        <w:r w:rsidR="008A4C1A">
          <w:rPr>
            <w:noProof/>
            <w:webHidden/>
          </w:rPr>
          <w:t>5</w:t>
        </w:r>
        <w:r w:rsidR="00591A56">
          <w:rPr>
            <w:noProof/>
            <w:webHidden/>
          </w:rPr>
          <w:fldChar w:fldCharType="end"/>
        </w:r>
      </w:hyperlink>
    </w:p>
    <w:p w14:paraId="0DBF454E"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06" w:history="1">
        <w:r w:rsidR="00591A56" w:rsidRPr="00B76C89">
          <w:rPr>
            <w:rStyle w:val="Hyperlink"/>
            <w:noProof/>
          </w:rPr>
          <w:t>2.1</w:t>
        </w:r>
        <w:r w:rsidR="00591A56">
          <w:rPr>
            <w:rFonts w:asciiTheme="minorHAnsi" w:eastAsiaTheme="minorEastAsia" w:hAnsiTheme="minorHAnsi" w:cstheme="minorBidi"/>
            <w:iCs w:val="0"/>
            <w:noProof/>
            <w:sz w:val="22"/>
            <w:lang w:val="en-US" w:eastAsia="en-US"/>
          </w:rPr>
          <w:tab/>
        </w:r>
        <w:r w:rsidR="00591A56" w:rsidRPr="00B76C89">
          <w:rPr>
            <w:rStyle w:val="Hyperlink"/>
            <w:noProof/>
          </w:rPr>
          <w:t>Specification / Technical Requirements</w:t>
        </w:r>
        <w:r w:rsidR="00591A56">
          <w:rPr>
            <w:noProof/>
            <w:webHidden/>
          </w:rPr>
          <w:tab/>
        </w:r>
        <w:r w:rsidR="00591A56">
          <w:rPr>
            <w:noProof/>
            <w:webHidden/>
          </w:rPr>
          <w:fldChar w:fldCharType="begin"/>
        </w:r>
        <w:r w:rsidR="00591A56">
          <w:rPr>
            <w:noProof/>
            <w:webHidden/>
          </w:rPr>
          <w:instrText xml:space="preserve"> PAGEREF _Toc494699106 \h </w:instrText>
        </w:r>
        <w:r w:rsidR="00591A56">
          <w:rPr>
            <w:noProof/>
            <w:webHidden/>
          </w:rPr>
        </w:r>
        <w:r w:rsidR="00591A56">
          <w:rPr>
            <w:noProof/>
            <w:webHidden/>
          </w:rPr>
          <w:fldChar w:fldCharType="separate"/>
        </w:r>
        <w:r w:rsidR="008A4C1A">
          <w:rPr>
            <w:noProof/>
            <w:webHidden/>
          </w:rPr>
          <w:t>6</w:t>
        </w:r>
        <w:r w:rsidR="00591A56">
          <w:rPr>
            <w:noProof/>
            <w:webHidden/>
          </w:rPr>
          <w:fldChar w:fldCharType="end"/>
        </w:r>
      </w:hyperlink>
    </w:p>
    <w:p w14:paraId="7DD28837"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07" w:history="1">
        <w:r w:rsidR="00591A56" w:rsidRPr="00B76C89">
          <w:rPr>
            <w:rStyle w:val="Hyperlink"/>
            <w:noProof/>
          </w:rPr>
          <w:t>2.2</w:t>
        </w:r>
        <w:r w:rsidR="00591A56">
          <w:rPr>
            <w:rFonts w:asciiTheme="minorHAnsi" w:eastAsiaTheme="minorEastAsia" w:hAnsiTheme="minorHAnsi" w:cstheme="minorBidi"/>
            <w:iCs w:val="0"/>
            <w:noProof/>
            <w:sz w:val="22"/>
            <w:lang w:val="en-US" w:eastAsia="en-US"/>
          </w:rPr>
          <w:tab/>
        </w:r>
        <w:r w:rsidR="00591A56" w:rsidRPr="00B76C89">
          <w:rPr>
            <w:rStyle w:val="Hyperlink"/>
            <w:noProof/>
          </w:rPr>
          <w:t>Bill of Quantities / Activity Schedule</w:t>
        </w:r>
        <w:r w:rsidR="00591A56">
          <w:rPr>
            <w:noProof/>
            <w:webHidden/>
          </w:rPr>
          <w:tab/>
        </w:r>
        <w:r w:rsidR="00591A56">
          <w:rPr>
            <w:noProof/>
            <w:webHidden/>
          </w:rPr>
          <w:fldChar w:fldCharType="begin"/>
        </w:r>
        <w:r w:rsidR="00591A56">
          <w:rPr>
            <w:noProof/>
            <w:webHidden/>
          </w:rPr>
          <w:instrText xml:space="preserve"> PAGEREF _Toc494699107 \h </w:instrText>
        </w:r>
        <w:r w:rsidR="00591A56">
          <w:rPr>
            <w:noProof/>
            <w:webHidden/>
          </w:rPr>
        </w:r>
        <w:r w:rsidR="00591A56">
          <w:rPr>
            <w:noProof/>
            <w:webHidden/>
          </w:rPr>
          <w:fldChar w:fldCharType="separate"/>
        </w:r>
        <w:r w:rsidR="008A4C1A">
          <w:rPr>
            <w:noProof/>
            <w:webHidden/>
          </w:rPr>
          <w:t>6</w:t>
        </w:r>
        <w:r w:rsidR="00591A56">
          <w:rPr>
            <w:noProof/>
            <w:webHidden/>
          </w:rPr>
          <w:fldChar w:fldCharType="end"/>
        </w:r>
      </w:hyperlink>
    </w:p>
    <w:p w14:paraId="10C09FBE"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08" w:history="1">
        <w:r w:rsidR="00591A56" w:rsidRPr="00B76C89">
          <w:rPr>
            <w:rStyle w:val="Hyperlink"/>
            <w:noProof/>
          </w:rPr>
          <w:t>2.3</w:t>
        </w:r>
        <w:r w:rsidR="00591A56">
          <w:rPr>
            <w:rFonts w:asciiTheme="minorHAnsi" w:eastAsiaTheme="minorEastAsia" w:hAnsiTheme="minorHAnsi" w:cstheme="minorBidi"/>
            <w:iCs w:val="0"/>
            <w:noProof/>
            <w:sz w:val="22"/>
            <w:lang w:val="en-US" w:eastAsia="en-US"/>
          </w:rPr>
          <w:tab/>
        </w:r>
        <w:r w:rsidR="00591A56" w:rsidRPr="00B76C89">
          <w:rPr>
            <w:rStyle w:val="Hyperlink"/>
            <w:noProof/>
          </w:rPr>
          <w:t>Schedule</w:t>
        </w:r>
        <w:r w:rsidR="00591A56">
          <w:rPr>
            <w:noProof/>
            <w:webHidden/>
          </w:rPr>
          <w:tab/>
        </w:r>
        <w:r w:rsidR="00591A56">
          <w:rPr>
            <w:noProof/>
            <w:webHidden/>
          </w:rPr>
          <w:fldChar w:fldCharType="begin"/>
        </w:r>
        <w:r w:rsidR="00591A56">
          <w:rPr>
            <w:noProof/>
            <w:webHidden/>
          </w:rPr>
          <w:instrText xml:space="preserve"> PAGEREF _Toc494699108 \h </w:instrText>
        </w:r>
        <w:r w:rsidR="00591A56">
          <w:rPr>
            <w:noProof/>
            <w:webHidden/>
          </w:rPr>
        </w:r>
        <w:r w:rsidR="00591A56">
          <w:rPr>
            <w:noProof/>
            <w:webHidden/>
          </w:rPr>
          <w:fldChar w:fldCharType="separate"/>
        </w:r>
        <w:r w:rsidR="008A4C1A">
          <w:rPr>
            <w:noProof/>
            <w:webHidden/>
          </w:rPr>
          <w:t>7</w:t>
        </w:r>
        <w:r w:rsidR="00591A56">
          <w:rPr>
            <w:noProof/>
            <w:webHidden/>
          </w:rPr>
          <w:fldChar w:fldCharType="end"/>
        </w:r>
      </w:hyperlink>
    </w:p>
    <w:p w14:paraId="48BCF5F1"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09" w:history="1">
        <w:r w:rsidR="00591A56" w:rsidRPr="00B76C89">
          <w:rPr>
            <w:rStyle w:val="Hyperlink"/>
            <w:noProof/>
          </w:rPr>
          <w:t>2.4</w:t>
        </w:r>
        <w:r w:rsidR="00591A56">
          <w:rPr>
            <w:rFonts w:asciiTheme="minorHAnsi" w:eastAsiaTheme="minorEastAsia" w:hAnsiTheme="minorHAnsi" w:cstheme="minorBidi"/>
            <w:iCs w:val="0"/>
            <w:noProof/>
            <w:sz w:val="22"/>
            <w:lang w:val="en-US" w:eastAsia="en-US"/>
          </w:rPr>
          <w:tab/>
        </w:r>
        <w:r w:rsidR="00591A56" w:rsidRPr="00B76C89">
          <w:rPr>
            <w:rStyle w:val="Hyperlink"/>
            <w:noProof/>
          </w:rPr>
          <w:t>Applicable Necsa Policies</w:t>
        </w:r>
        <w:r w:rsidR="00591A56">
          <w:rPr>
            <w:noProof/>
            <w:webHidden/>
          </w:rPr>
          <w:tab/>
        </w:r>
        <w:r w:rsidR="00591A56">
          <w:rPr>
            <w:noProof/>
            <w:webHidden/>
          </w:rPr>
          <w:fldChar w:fldCharType="begin"/>
        </w:r>
        <w:r w:rsidR="00591A56">
          <w:rPr>
            <w:noProof/>
            <w:webHidden/>
          </w:rPr>
          <w:instrText xml:space="preserve"> PAGEREF _Toc494699109 \h </w:instrText>
        </w:r>
        <w:r w:rsidR="00591A56">
          <w:rPr>
            <w:noProof/>
            <w:webHidden/>
          </w:rPr>
        </w:r>
        <w:r w:rsidR="00591A56">
          <w:rPr>
            <w:noProof/>
            <w:webHidden/>
          </w:rPr>
          <w:fldChar w:fldCharType="separate"/>
        </w:r>
        <w:r w:rsidR="008A4C1A">
          <w:rPr>
            <w:noProof/>
            <w:webHidden/>
          </w:rPr>
          <w:t>7</w:t>
        </w:r>
        <w:r w:rsidR="00591A56">
          <w:rPr>
            <w:noProof/>
            <w:webHidden/>
          </w:rPr>
          <w:fldChar w:fldCharType="end"/>
        </w:r>
      </w:hyperlink>
    </w:p>
    <w:p w14:paraId="1434080E" w14:textId="77777777" w:rsidR="00591A56" w:rsidRDefault="00FD62D7">
      <w:pPr>
        <w:pStyle w:val="TOC2"/>
        <w:tabs>
          <w:tab w:val="right" w:leader="dot" w:pos="9627"/>
        </w:tabs>
        <w:rPr>
          <w:rFonts w:asciiTheme="minorHAnsi" w:eastAsiaTheme="minorEastAsia" w:hAnsiTheme="minorHAnsi" w:cstheme="minorBidi"/>
          <w:b w:val="0"/>
          <w:iCs w:val="0"/>
          <w:noProof/>
          <w:sz w:val="22"/>
          <w:lang w:val="en-US" w:eastAsia="en-US"/>
        </w:rPr>
      </w:pPr>
      <w:hyperlink w:anchor="_Toc494699110" w:history="1">
        <w:r w:rsidR="00591A56" w:rsidRPr="00B76C89">
          <w:rPr>
            <w:rStyle w:val="Hyperlink"/>
            <w:rFonts w:ascii="Arial Bold" w:hAnsi="Arial Bold"/>
            <w:noProof/>
          </w:rPr>
          <w:t>3.</w:t>
        </w:r>
        <w:r w:rsidR="00591A56">
          <w:rPr>
            <w:rFonts w:asciiTheme="minorHAnsi" w:eastAsiaTheme="minorEastAsia" w:hAnsiTheme="minorHAnsi" w:cstheme="minorBidi"/>
            <w:b w:val="0"/>
            <w:iCs w:val="0"/>
            <w:noProof/>
            <w:sz w:val="22"/>
            <w:lang w:val="en-US" w:eastAsia="en-US"/>
          </w:rPr>
          <w:tab/>
        </w:r>
        <w:r w:rsidR="00591A56" w:rsidRPr="00B76C89">
          <w:rPr>
            <w:rStyle w:val="Hyperlink"/>
            <w:noProof/>
          </w:rPr>
          <w:t>Applicable Necsa Procedures</w:t>
        </w:r>
        <w:r w:rsidR="00591A56">
          <w:rPr>
            <w:noProof/>
            <w:webHidden/>
          </w:rPr>
          <w:tab/>
        </w:r>
        <w:r w:rsidR="00591A56">
          <w:rPr>
            <w:noProof/>
            <w:webHidden/>
          </w:rPr>
          <w:fldChar w:fldCharType="begin"/>
        </w:r>
        <w:r w:rsidR="00591A56">
          <w:rPr>
            <w:noProof/>
            <w:webHidden/>
          </w:rPr>
          <w:instrText xml:space="preserve"> PAGEREF _Toc494699110 \h </w:instrText>
        </w:r>
        <w:r w:rsidR="00591A56">
          <w:rPr>
            <w:noProof/>
            <w:webHidden/>
          </w:rPr>
        </w:r>
        <w:r w:rsidR="00591A56">
          <w:rPr>
            <w:noProof/>
            <w:webHidden/>
          </w:rPr>
          <w:fldChar w:fldCharType="separate"/>
        </w:r>
        <w:r w:rsidR="008A4C1A">
          <w:rPr>
            <w:noProof/>
            <w:webHidden/>
          </w:rPr>
          <w:t>7</w:t>
        </w:r>
        <w:r w:rsidR="00591A56">
          <w:rPr>
            <w:noProof/>
            <w:webHidden/>
          </w:rPr>
          <w:fldChar w:fldCharType="end"/>
        </w:r>
      </w:hyperlink>
    </w:p>
    <w:p w14:paraId="2B25AAF9"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11" w:history="1">
        <w:r w:rsidR="00591A56" w:rsidRPr="00B76C89">
          <w:rPr>
            <w:rStyle w:val="Hyperlink"/>
            <w:noProof/>
          </w:rPr>
          <w:t>3.1</w:t>
        </w:r>
        <w:r w:rsidR="00591A56">
          <w:rPr>
            <w:rFonts w:asciiTheme="minorHAnsi" w:eastAsiaTheme="minorEastAsia" w:hAnsiTheme="minorHAnsi" w:cstheme="minorBidi"/>
            <w:iCs w:val="0"/>
            <w:noProof/>
            <w:sz w:val="22"/>
            <w:lang w:val="en-US" w:eastAsia="en-US"/>
          </w:rPr>
          <w:tab/>
        </w:r>
        <w:r w:rsidR="00591A56" w:rsidRPr="00B76C89">
          <w:rPr>
            <w:rStyle w:val="Hyperlink"/>
            <w:noProof/>
          </w:rPr>
          <w:t>Requirements to Access Necsa Site</w:t>
        </w:r>
        <w:r w:rsidR="00591A56">
          <w:rPr>
            <w:noProof/>
            <w:webHidden/>
          </w:rPr>
          <w:tab/>
        </w:r>
        <w:r w:rsidR="00591A56">
          <w:rPr>
            <w:noProof/>
            <w:webHidden/>
          </w:rPr>
          <w:fldChar w:fldCharType="begin"/>
        </w:r>
        <w:r w:rsidR="00591A56">
          <w:rPr>
            <w:noProof/>
            <w:webHidden/>
          </w:rPr>
          <w:instrText xml:space="preserve"> PAGEREF _Toc494699111 \h </w:instrText>
        </w:r>
        <w:r w:rsidR="00591A56">
          <w:rPr>
            <w:noProof/>
            <w:webHidden/>
          </w:rPr>
        </w:r>
        <w:r w:rsidR="00591A56">
          <w:rPr>
            <w:noProof/>
            <w:webHidden/>
          </w:rPr>
          <w:fldChar w:fldCharType="separate"/>
        </w:r>
        <w:r w:rsidR="008A4C1A">
          <w:rPr>
            <w:noProof/>
            <w:webHidden/>
          </w:rPr>
          <w:t>7</w:t>
        </w:r>
        <w:r w:rsidR="00591A56">
          <w:rPr>
            <w:noProof/>
            <w:webHidden/>
          </w:rPr>
          <w:fldChar w:fldCharType="end"/>
        </w:r>
      </w:hyperlink>
    </w:p>
    <w:p w14:paraId="5F1CDA89"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12" w:history="1">
        <w:r w:rsidR="00591A56" w:rsidRPr="00B76C89">
          <w:rPr>
            <w:rStyle w:val="Hyperlink"/>
            <w:noProof/>
          </w:rPr>
          <w:t>3.2</w:t>
        </w:r>
        <w:r w:rsidR="00591A56">
          <w:rPr>
            <w:rFonts w:asciiTheme="minorHAnsi" w:eastAsiaTheme="minorEastAsia" w:hAnsiTheme="minorHAnsi" w:cstheme="minorBidi"/>
            <w:iCs w:val="0"/>
            <w:noProof/>
            <w:sz w:val="22"/>
            <w:lang w:val="en-US" w:eastAsia="en-US"/>
          </w:rPr>
          <w:tab/>
        </w:r>
        <w:r w:rsidR="00591A56" w:rsidRPr="00B76C89">
          <w:rPr>
            <w:rStyle w:val="Hyperlink"/>
            <w:noProof/>
          </w:rPr>
          <w:t>Emergencies, Incidents, Accidents</w:t>
        </w:r>
        <w:r w:rsidR="00591A56">
          <w:rPr>
            <w:noProof/>
            <w:webHidden/>
          </w:rPr>
          <w:tab/>
        </w:r>
        <w:r w:rsidR="00591A56">
          <w:rPr>
            <w:noProof/>
            <w:webHidden/>
          </w:rPr>
          <w:fldChar w:fldCharType="begin"/>
        </w:r>
        <w:r w:rsidR="00591A56">
          <w:rPr>
            <w:noProof/>
            <w:webHidden/>
          </w:rPr>
          <w:instrText xml:space="preserve"> PAGEREF _Toc494699112 \h </w:instrText>
        </w:r>
        <w:r w:rsidR="00591A56">
          <w:rPr>
            <w:noProof/>
            <w:webHidden/>
          </w:rPr>
        </w:r>
        <w:r w:rsidR="00591A56">
          <w:rPr>
            <w:noProof/>
            <w:webHidden/>
          </w:rPr>
          <w:fldChar w:fldCharType="separate"/>
        </w:r>
        <w:r w:rsidR="008A4C1A">
          <w:rPr>
            <w:noProof/>
            <w:webHidden/>
          </w:rPr>
          <w:t>8</w:t>
        </w:r>
        <w:r w:rsidR="00591A56">
          <w:rPr>
            <w:noProof/>
            <w:webHidden/>
          </w:rPr>
          <w:fldChar w:fldCharType="end"/>
        </w:r>
      </w:hyperlink>
    </w:p>
    <w:p w14:paraId="70F8AFEE"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13" w:history="1">
        <w:r w:rsidR="00591A56" w:rsidRPr="00B76C89">
          <w:rPr>
            <w:rStyle w:val="Hyperlink"/>
            <w:noProof/>
          </w:rPr>
          <w:t>3.3</w:t>
        </w:r>
        <w:r w:rsidR="00591A56">
          <w:rPr>
            <w:rFonts w:asciiTheme="minorHAnsi" w:eastAsiaTheme="minorEastAsia" w:hAnsiTheme="minorHAnsi" w:cstheme="minorBidi"/>
            <w:iCs w:val="0"/>
            <w:noProof/>
            <w:sz w:val="22"/>
            <w:lang w:val="en-US" w:eastAsia="en-US"/>
          </w:rPr>
          <w:tab/>
        </w:r>
        <w:r w:rsidR="00591A56" w:rsidRPr="00B76C89">
          <w:rPr>
            <w:rStyle w:val="Hyperlink"/>
            <w:noProof/>
          </w:rPr>
          <w:t>Necsa Health, Safety and Environmental Requirements</w:t>
        </w:r>
        <w:r w:rsidR="00591A56">
          <w:rPr>
            <w:noProof/>
            <w:webHidden/>
          </w:rPr>
          <w:tab/>
        </w:r>
        <w:r w:rsidR="00591A56">
          <w:rPr>
            <w:noProof/>
            <w:webHidden/>
          </w:rPr>
          <w:fldChar w:fldCharType="begin"/>
        </w:r>
        <w:r w:rsidR="00591A56">
          <w:rPr>
            <w:noProof/>
            <w:webHidden/>
          </w:rPr>
          <w:instrText xml:space="preserve"> PAGEREF _Toc494699113 \h </w:instrText>
        </w:r>
        <w:r w:rsidR="00591A56">
          <w:rPr>
            <w:noProof/>
            <w:webHidden/>
          </w:rPr>
        </w:r>
        <w:r w:rsidR="00591A56">
          <w:rPr>
            <w:noProof/>
            <w:webHidden/>
          </w:rPr>
          <w:fldChar w:fldCharType="separate"/>
        </w:r>
        <w:r w:rsidR="008A4C1A">
          <w:rPr>
            <w:noProof/>
            <w:webHidden/>
          </w:rPr>
          <w:t>8</w:t>
        </w:r>
        <w:r w:rsidR="00591A56">
          <w:rPr>
            <w:noProof/>
            <w:webHidden/>
          </w:rPr>
          <w:fldChar w:fldCharType="end"/>
        </w:r>
      </w:hyperlink>
    </w:p>
    <w:p w14:paraId="0F822876"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14" w:history="1">
        <w:r w:rsidR="00591A56" w:rsidRPr="00B76C89">
          <w:rPr>
            <w:rStyle w:val="Hyperlink"/>
            <w:noProof/>
          </w:rPr>
          <w:t>3.4</w:t>
        </w:r>
        <w:r w:rsidR="00591A56">
          <w:rPr>
            <w:rFonts w:asciiTheme="minorHAnsi" w:eastAsiaTheme="minorEastAsia" w:hAnsiTheme="minorHAnsi" w:cstheme="minorBidi"/>
            <w:iCs w:val="0"/>
            <w:noProof/>
            <w:sz w:val="22"/>
            <w:lang w:val="en-US" w:eastAsia="en-US"/>
          </w:rPr>
          <w:tab/>
        </w:r>
        <w:r w:rsidR="00591A56" w:rsidRPr="00B76C89">
          <w:rPr>
            <w:rStyle w:val="Hyperlink"/>
            <w:noProof/>
          </w:rPr>
          <w:t>Necsa Requirements for Quality</w:t>
        </w:r>
        <w:r w:rsidR="00591A56">
          <w:rPr>
            <w:noProof/>
            <w:webHidden/>
          </w:rPr>
          <w:tab/>
        </w:r>
        <w:r w:rsidR="00591A56">
          <w:rPr>
            <w:noProof/>
            <w:webHidden/>
          </w:rPr>
          <w:fldChar w:fldCharType="begin"/>
        </w:r>
        <w:r w:rsidR="00591A56">
          <w:rPr>
            <w:noProof/>
            <w:webHidden/>
          </w:rPr>
          <w:instrText xml:space="preserve"> PAGEREF _Toc494699114 \h </w:instrText>
        </w:r>
        <w:r w:rsidR="00591A56">
          <w:rPr>
            <w:noProof/>
            <w:webHidden/>
          </w:rPr>
        </w:r>
        <w:r w:rsidR="00591A56">
          <w:rPr>
            <w:noProof/>
            <w:webHidden/>
          </w:rPr>
          <w:fldChar w:fldCharType="separate"/>
        </w:r>
        <w:r w:rsidR="008A4C1A">
          <w:rPr>
            <w:noProof/>
            <w:webHidden/>
          </w:rPr>
          <w:t>8</w:t>
        </w:r>
        <w:r w:rsidR="00591A56">
          <w:rPr>
            <w:noProof/>
            <w:webHidden/>
          </w:rPr>
          <w:fldChar w:fldCharType="end"/>
        </w:r>
      </w:hyperlink>
    </w:p>
    <w:p w14:paraId="0F56F908"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15" w:history="1">
        <w:r w:rsidR="00591A56" w:rsidRPr="00B76C89">
          <w:rPr>
            <w:rStyle w:val="Hyperlink"/>
            <w:noProof/>
          </w:rPr>
          <w:t>3.5</w:t>
        </w:r>
        <w:r w:rsidR="00591A56">
          <w:rPr>
            <w:rFonts w:asciiTheme="minorHAnsi" w:eastAsiaTheme="minorEastAsia" w:hAnsiTheme="minorHAnsi" w:cstheme="minorBidi"/>
            <w:iCs w:val="0"/>
            <w:noProof/>
            <w:sz w:val="22"/>
            <w:lang w:val="en-US" w:eastAsia="en-US"/>
          </w:rPr>
          <w:tab/>
        </w:r>
        <w:r w:rsidR="00591A56" w:rsidRPr="00B76C89">
          <w:rPr>
            <w:rStyle w:val="Hyperlink"/>
            <w:noProof/>
          </w:rPr>
          <w:t>Necsa Requirements for Project SHEQ</w:t>
        </w:r>
        <w:r w:rsidR="00591A56">
          <w:rPr>
            <w:noProof/>
            <w:webHidden/>
          </w:rPr>
          <w:tab/>
        </w:r>
        <w:r w:rsidR="00591A56">
          <w:rPr>
            <w:noProof/>
            <w:webHidden/>
          </w:rPr>
          <w:fldChar w:fldCharType="begin"/>
        </w:r>
        <w:r w:rsidR="00591A56">
          <w:rPr>
            <w:noProof/>
            <w:webHidden/>
          </w:rPr>
          <w:instrText xml:space="preserve"> PAGEREF _Toc494699115 \h </w:instrText>
        </w:r>
        <w:r w:rsidR="00591A56">
          <w:rPr>
            <w:noProof/>
            <w:webHidden/>
          </w:rPr>
        </w:r>
        <w:r w:rsidR="00591A56">
          <w:rPr>
            <w:noProof/>
            <w:webHidden/>
          </w:rPr>
          <w:fldChar w:fldCharType="separate"/>
        </w:r>
        <w:r w:rsidR="008A4C1A">
          <w:rPr>
            <w:noProof/>
            <w:webHidden/>
          </w:rPr>
          <w:t>8</w:t>
        </w:r>
        <w:r w:rsidR="00591A56">
          <w:rPr>
            <w:noProof/>
            <w:webHidden/>
          </w:rPr>
          <w:fldChar w:fldCharType="end"/>
        </w:r>
      </w:hyperlink>
    </w:p>
    <w:p w14:paraId="169C6A4C"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16" w:history="1">
        <w:r w:rsidR="00591A56" w:rsidRPr="00B76C89">
          <w:rPr>
            <w:rStyle w:val="Hyperlink"/>
            <w:noProof/>
          </w:rPr>
          <w:t>3.6</w:t>
        </w:r>
        <w:r w:rsidR="00591A56">
          <w:rPr>
            <w:rFonts w:asciiTheme="minorHAnsi" w:eastAsiaTheme="minorEastAsia" w:hAnsiTheme="minorHAnsi" w:cstheme="minorBidi"/>
            <w:iCs w:val="0"/>
            <w:noProof/>
            <w:sz w:val="22"/>
            <w:lang w:val="en-US" w:eastAsia="en-US"/>
          </w:rPr>
          <w:tab/>
        </w:r>
        <w:r w:rsidR="00591A56" w:rsidRPr="00B76C89">
          <w:rPr>
            <w:rStyle w:val="Hyperlink"/>
            <w:noProof/>
          </w:rPr>
          <w:t>Confidentiality</w:t>
        </w:r>
        <w:r w:rsidR="00591A56">
          <w:rPr>
            <w:noProof/>
            <w:webHidden/>
          </w:rPr>
          <w:tab/>
        </w:r>
        <w:r w:rsidR="00591A56">
          <w:rPr>
            <w:noProof/>
            <w:webHidden/>
          </w:rPr>
          <w:fldChar w:fldCharType="begin"/>
        </w:r>
        <w:r w:rsidR="00591A56">
          <w:rPr>
            <w:noProof/>
            <w:webHidden/>
          </w:rPr>
          <w:instrText xml:space="preserve"> PAGEREF _Toc494699116 \h </w:instrText>
        </w:r>
        <w:r w:rsidR="00591A56">
          <w:rPr>
            <w:noProof/>
            <w:webHidden/>
          </w:rPr>
        </w:r>
        <w:r w:rsidR="00591A56">
          <w:rPr>
            <w:noProof/>
            <w:webHidden/>
          </w:rPr>
          <w:fldChar w:fldCharType="separate"/>
        </w:r>
        <w:r w:rsidR="008A4C1A">
          <w:rPr>
            <w:noProof/>
            <w:webHidden/>
          </w:rPr>
          <w:t>8</w:t>
        </w:r>
        <w:r w:rsidR="00591A56">
          <w:rPr>
            <w:noProof/>
            <w:webHidden/>
          </w:rPr>
          <w:fldChar w:fldCharType="end"/>
        </w:r>
      </w:hyperlink>
    </w:p>
    <w:p w14:paraId="09A6968B" w14:textId="77777777" w:rsidR="00591A56" w:rsidRDefault="00FD62D7">
      <w:pPr>
        <w:pStyle w:val="TOC1"/>
        <w:tabs>
          <w:tab w:val="right" w:leader="dot" w:pos="9627"/>
        </w:tabs>
        <w:rPr>
          <w:rFonts w:asciiTheme="minorHAnsi" w:eastAsiaTheme="minorEastAsia" w:hAnsiTheme="minorHAnsi" w:cstheme="minorBidi"/>
          <w:b w:val="0"/>
          <w:iCs w:val="0"/>
          <w:noProof/>
          <w:sz w:val="22"/>
          <w:lang w:val="en-US" w:eastAsia="en-US"/>
        </w:rPr>
      </w:pPr>
      <w:hyperlink w:anchor="_Toc494699117" w:history="1">
        <w:r w:rsidR="00591A56" w:rsidRPr="00B76C89">
          <w:rPr>
            <w:rStyle w:val="Hyperlink"/>
            <w:noProof/>
          </w:rPr>
          <w:t>SECTION 2</w:t>
        </w:r>
        <w:r w:rsidR="00591A56">
          <w:rPr>
            <w:noProof/>
            <w:webHidden/>
          </w:rPr>
          <w:tab/>
        </w:r>
        <w:r w:rsidR="00591A56">
          <w:rPr>
            <w:noProof/>
            <w:webHidden/>
          </w:rPr>
          <w:fldChar w:fldCharType="begin"/>
        </w:r>
        <w:r w:rsidR="00591A56">
          <w:rPr>
            <w:noProof/>
            <w:webHidden/>
          </w:rPr>
          <w:instrText xml:space="preserve"> PAGEREF _Toc494699117 \h </w:instrText>
        </w:r>
        <w:r w:rsidR="00591A56">
          <w:rPr>
            <w:noProof/>
            <w:webHidden/>
          </w:rPr>
        </w:r>
        <w:r w:rsidR="00591A56">
          <w:rPr>
            <w:noProof/>
            <w:webHidden/>
          </w:rPr>
          <w:fldChar w:fldCharType="separate"/>
        </w:r>
        <w:r w:rsidR="008A4C1A">
          <w:rPr>
            <w:noProof/>
            <w:webHidden/>
          </w:rPr>
          <w:t>8</w:t>
        </w:r>
        <w:r w:rsidR="00591A56">
          <w:rPr>
            <w:noProof/>
            <w:webHidden/>
          </w:rPr>
          <w:fldChar w:fldCharType="end"/>
        </w:r>
      </w:hyperlink>
    </w:p>
    <w:p w14:paraId="56E9F70F" w14:textId="77777777" w:rsidR="00591A56" w:rsidRDefault="00FD62D7">
      <w:pPr>
        <w:pStyle w:val="TOC2"/>
        <w:tabs>
          <w:tab w:val="right" w:leader="dot" w:pos="9627"/>
        </w:tabs>
        <w:rPr>
          <w:rFonts w:asciiTheme="minorHAnsi" w:eastAsiaTheme="minorEastAsia" w:hAnsiTheme="minorHAnsi" w:cstheme="minorBidi"/>
          <w:b w:val="0"/>
          <w:iCs w:val="0"/>
          <w:noProof/>
          <w:sz w:val="22"/>
          <w:lang w:val="en-US" w:eastAsia="en-US"/>
        </w:rPr>
      </w:pPr>
      <w:hyperlink w:anchor="_Toc494699118" w:history="1">
        <w:r w:rsidR="00591A56" w:rsidRPr="00B76C89">
          <w:rPr>
            <w:rStyle w:val="Hyperlink"/>
            <w:rFonts w:ascii="Arial Bold" w:hAnsi="Arial Bold"/>
            <w:noProof/>
            <w:lang w:val="en-ZA"/>
          </w:rPr>
          <w:t>4.</w:t>
        </w:r>
        <w:r w:rsidR="00591A56">
          <w:rPr>
            <w:rFonts w:asciiTheme="minorHAnsi" w:eastAsiaTheme="minorEastAsia" w:hAnsiTheme="minorHAnsi" w:cstheme="minorBidi"/>
            <w:b w:val="0"/>
            <w:iCs w:val="0"/>
            <w:noProof/>
            <w:sz w:val="22"/>
            <w:lang w:val="en-US" w:eastAsia="en-US"/>
          </w:rPr>
          <w:tab/>
        </w:r>
        <w:r w:rsidR="00591A56" w:rsidRPr="00B76C89">
          <w:rPr>
            <w:rStyle w:val="Hyperlink"/>
            <w:noProof/>
            <w:lang w:val="en-ZA"/>
          </w:rPr>
          <w:t>Instruction to Bidders</w:t>
        </w:r>
        <w:r w:rsidR="00591A56">
          <w:rPr>
            <w:noProof/>
            <w:webHidden/>
          </w:rPr>
          <w:tab/>
        </w:r>
        <w:r w:rsidR="00591A56">
          <w:rPr>
            <w:noProof/>
            <w:webHidden/>
          </w:rPr>
          <w:fldChar w:fldCharType="begin"/>
        </w:r>
        <w:r w:rsidR="00591A56">
          <w:rPr>
            <w:noProof/>
            <w:webHidden/>
          </w:rPr>
          <w:instrText xml:space="preserve"> PAGEREF _Toc494699118 \h </w:instrText>
        </w:r>
        <w:r w:rsidR="00591A56">
          <w:rPr>
            <w:noProof/>
            <w:webHidden/>
          </w:rPr>
        </w:r>
        <w:r w:rsidR="00591A56">
          <w:rPr>
            <w:noProof/>
            <w:webHidden/>
          </w:rPr>
          <w:fldChar w:fldCharType="separate"/>
        </w:r>
        <w:r w:rsidR="008A4C1A">
          <w:rPr>
            <w:noProof/>
            <w:webHidden/>
          </w:rPr>
          <w:t>8</w:t>
        </w:r>
        <w:r w:rsidR="00591A56">
          <w:rPr>
            <w:noProof/>
            <w:webHidden/>
          </w:rPr>
          <w:fldChar w:fldCharType="end"/>
        </w:r>
      </w:hyperlink>
    </w:p>
    <w:p w14:paraId="68B7ECDD"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19" w:history="1">
        <w:r w:rsidR="00591A56" w:rsidRPr="00B76C89">
          <w:rPr>
            <w:rStyle w:val="Hyperlink"/>
            <w:noProof/>
          </w:rPr>
          <w:t>4.1</w:t>
        </w:r>
        <w:r w:rsidR="00591A56">
          <w:rPr>
            <w:rFonts w:asciiTheme="minorHAnsi" w:eastAsiaTheme="minorEastAsia" w:hAnsiTheme="minorHAnsi" w:cstheme="minorBidi"/>
            <w:iCs w:val="0"/>
            <w:noProof/>
            <w:sz w:val="22"/>
            <w:lang w:val="en-US" w:eastAsia="en-US"/>
          </w:rPr>
          <w:tab/>
        </w:r>
        <w:r w:rsidR="00591A56" w:rsidRPr="00B76C89">
          <w:rPr>
            <w:rStyle w:val="Hyperlink"/>
            <w:noProof/>
          </w:rPr>
          <w:t>General</w:t>
        </w:r>
        <w:r w:rsidR="00591A56">
          <w:rPr>
            <w:noProof/>
            <w:webHidden/>
          </w:rPr>
          <w:tab/>
        </w:r>
        <w:r w:rsidR="00591A56">
          <w:rPr>
            <w:noProof/>
            <w:webHidden/>
          </w:rPr>
          <w:fldChar w:fldCharType="begin"/>
        </w:r>
        <w:r w:rsidR="00591A56">
          <w:rPr>
            <w:noProof/>
            <w:webHidden/>
          </w:rPr>
          <w:instrText xml:space="preserve"> PAGEREF _Toc494699119 \h </w:instrText>
        </w:r>
        <w:r w:rsidR="00591A56">
          <w:rPr>
            <w:noProof/>
            <w:webHidden/>
          </w:rPr>
        </w:r>
        <w:r w:rsidR="00591A56">
          <w:rPr>
            <w:noProof/>
            <w:webHidden/>
          </w:rPr>
          <w:fldChar w:fldCharType="separate"/>
        </w:r>
        <w:r w:rsidR="008A4C1A">
          <w:rPr>
            <w:noProof/>
            <w:webHidden/>
          </w:rPr>
          <w:t>9</w:t>
        </w:r>
        <w:r w:rsidR="00591A56">
          <w:rPr>
            <w:noProof/>
            <w:webHidden/>
          </w:rPr>
          <w:fldChar w:fldCharType="end"/>
        </w:r>
      </w:hyperlink>
    </w:p>
    <w:p w14:paraId="7306C222"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20" w:history="1">
        <w:r w:rsidR="00591A56" w:rsidRPr="00B76C89">
          <w:rPr>
            <w:rStyle w:val="Hyperlink"/>
            <w:noProof/>
          </w:rPr>
          <w:t>4.2</w:t>
        </w:r>
        <w:r w:rsidR="00591A56">
          <w:rPr>
            <w:rFonts w:asciiTheme="minorHAnsi" w:eastAsiaTheme="minorEastAsia" w:hAnsiTheme="minorHAnsi" w:cstheme="minorBidi"/>
            <w:iCs w:val="0"/>
            <w:noProof/>
            <w:sz w:val="22"/>
            <w:lang w:val="en-US" w:eastAsia="en-US"/>
          </w:rPr>
          <w:tab/>
        </w:r>
        <w:r w:rsidR="00591A56" w:rsidRPr="00B76C89">
          <w:rPr>
            <w:rStyle w:val="Hyperlink"/>
            <w:noProof/>
          </w:rPr>
          <w:t>Bidder Information</w:t>
        </w:r>
        <w:r w:rsidR="00591A56">
          <w:rPr>
            <w:noProof/>
            <w:webHidden/>
          </w:rPr>
          <w:tab/>
        </w:r>
        <w:r w:rsidR="00591A56">
          <w:rPr>
            <w:noProof/>
            <w:webHidden/>
          </w:rPr>
          <w:fldChar w:fldCharType="begin"/>
        </w:r>
        <w:r w:rsidR="00591A56">
          <w:rPr>
            <w:noProof/>
            <w:webHidden/>
          </w:rPr>
          <w:instrText xml:space="preserve"> PAGEREF _Toc494699120 \h </w:instrText>
        </w:r>
        <w:r w:rsidR="00591A56">
          <w:rPr>
            <w:noProof/>
            <w:webHidden/>
          </w:rPr>
        </w:r>
        <w:r w:rsidR="00591A56">
          <w:rPr>
            <w:noProof/>
            <w:webHidden/>
          </w:rPr>
          <w:fldChar w:fldCharType="separate"/>
        </w:r>
        <w:r w:rsidR="008A4C1A">
          <w:rPr>
            <w:noProof/>
            <w:webHidden/>
          </w:rPr>
          <w:t>9</w:t>
        </w:r>
        <w:r w:rsidR="00591A56">
          <w:rPr>
            <w:noProof/>
            <w:webHidden/>
          </w:rPr>
          <w:fldChar w:fldCharType="end"/>
        </w:r>
      </w:hyperlink>
    </w:p>
    <w:p w14:paraId="6552891C"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21" w:history="1">
        <w:r w:rsidR="00591A56" w:rsidRPr="00B76C89">
          <w:rPr>
            <w:rStyle w:val="Hyperlink"/>
            <w:noProof/>
          </w:rPr>
          <w:t>4.3</w:t>
        </w:r>
        <w:r w:rsidR="00591A56">
          <w:rPr>
            <w:rFonts w:asciiTheme="minorHAnsi" w:eastAsiaTheme="minorEastAsia" w:hAnsiTheme="minorHAnsi" w:cstheme="minorBidi"/>
            <w:iCs w:val="0"/>
            <w:noProof/>
            <w:sz w:val="22"/>
            <w:lang w:val="en-US" w:eastAsia="en-US"/>
          </w:rPr>
          <w:tab/>
        </w:r>
        <w:r w:rsidR="00591A56" w:rsidRPr="00B76C89">
          <w:rPr>
            <w:rStyle w:val="Hyperlink"/>
            <w:noProof/>
          </w:rPr>
          <w:t>Consortium</w:t>
        </w:r>
        <w:r w:rsidR="00591A56">
          <w:rPr>
            <w:noProof/>
            <w:webHidden/>
          </w:rPr>
          <w:tab/>
        </w:r>
        <w:r w:rsidR="00591A56">
          <w:rPr>
            <w:noProof/>
            <w:webHidden/>
          </w:rPr>
          <w:fldChar w:fldCharType="begin"/>
        </w:r>
        <w:r w:rsidR="00591A56">
          <w:rPr>
            <w:noProof/>
            <w:webHidden/>
          </w:rPr>
          <w:instrText xml:space="preserve"> PAGEREF _Toc494699121 \h </w:instrText>
        </w:r>
        <w:r w:rsidR="00591A56">
          <w:rPr>
            <w:noProof/>
            <w:webHidden/>
          </w:rPr>
        </w:r>
        <w:r w:rsidR="00591A56">
          <w:rPr>
            <w:noProof/>
            <w:webHidden/>
          </w:rPr>
          <w:fldChar w:fldCharType="separate"/>
        </w:r>
        <w:r w:rsidR="008A4C1A">
          <w:rPr>
            <w:noProof/>
            <w:webHidden/>
          </w:rPr>
          <w:t>9</w:t>
        </w:r>
        <w:r w:rsidR="00591A56">
          <w:rPr>
            <w:noProof/>
            <w:webHidden/>
          </w:rPr>
          <w:fldChar w:fldCharType="end"/>
        </w:r>
      </w:hyperlink>
    </w:p>
    <w:p w14:paraId="2A62F3A1"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22" w:history="1">
        <w:r w:rsidR="00591A56" w:rsidRPr="00B76C89">
          <w:rPr>
            <w:rStyle w:val="Hyperlink"/>
            <w:noProof/>
          </w:rPr>
          <w:t>4.4</w:t>
        </w:r>
        <w:r w:rsidR="00591A56">
          <w:rPr>
            <w:rFonts w:asciiTheme="minorHAnsi" w:eastAsiaTheme="minorEastAsia" w:hAnsiTheme="minorHAnsi" w:cstheme="minorBidi"/>
            <w:iCs w:val="0"/>
            <w:noProof/>
            <w:sz w:val="22"/>
            <w:lang w:val="en-US" w:eastAsia="en-US"/>
          </w:rPr>
          <w:tab/>
        </w:r>
        <w:r w:rsidR="00591A56" w:rsidRPr="00B76C89">
          <w:rPr>
            <w:rStyle w:val="Hyperlink"/>
            <w:noProof/>
          </w:rPr>
          <w:t>Sub-contracting</w:t>
        </w:r>
        <w:r w:rsidR="00591A56">
          <w:rPr>
            <w:noProof/>
            <w:webHidden/>
          </w:rPr>
          <w:tab/>
        </w:r>
        <w:r w:rsidR="00591A56">
          <w:rPr>
            <w:noProof/>
            <w:webHidden/>
          </w:rPr>
          <w:fldChar w:fldCharType="begin"/>
        </w:r>
        <w:r w:rsidR="00591A56">
          <w:rPr>
            <w:noProof/>
            <w:webHidden/>
          </w:rPr>
          <w:instrText xml:space="preserve"> PAGEREF _Toc494699122 \h </w:instrText>
        </w:r>
        <w:r w:rsidR="00591A56">
          <w:rPr>
            <w:noProof/>
            <w:webHidden/>
          </w:rPr>
        </w:r>
        <w:r w:rsidR="00591A56">
          <w:rPr>
            <w:noProof/>
            <w:webHidden/>
          </w:rPr>
          <w:fldChar w:fldCharType="separate"/>
        </w:r>
        <w:r w:rsidR="008A4C1A">
          <w:rPr>
            <w:noProof/>
            <w:webHidden/>
          </w:rPr>
          <w:t>9</w:t>
        </w:r>
        <w:r w:rsidR="00591A56">
          <w:rPr>
            <w:noProof/>
            <w:webHidden/>
          </w:rPr>
          <w:fldChar w:fldCharType="end"/>
        </w:r>
      </w:hyperlink>
    </w:p>
    <w:p w14:paraId="31293604"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23" w:history="1">
        <w:r w:rsidR="00591A56" w:rsidRPr="00B76C89">
          <w:rPr>
            <w:rStyle w:val="Hyperlink"/>
            <w:noProof/>
          </w:rPr>
          <w:t>4.5</w:t>
        </w:r>
        <w:r w:rsidR="00591A56">
          <w:rPr>
            <w:rFonts w:asciiTheme="minorHAnsi" w:eastAsiaTheme="minorEastAsia" w:hAnsiTheme="minorHAnsi" w:cstheme="minorBidi"/>
            <w:iCs w:val="0"/>
            <w:noProof/>
            <w:sz w:val="22"/>
            <w:lang w:val="en-US" w:eastAsia="en-US"/>
          </w:rPr>
          <w:tab/>
        </w:r>
        <w:r w:rsidR="00591A56" w:rsidRPr="00B76C89">
          <w:rPr>
            <w:rStyle w:val="Hyperlink"/>
            <w:noProof/>
          </w:rPr>
          <w:t>Necsa’s Bidding Rights</w:t>
        </w:r>
        <w:r w:rsidR="00591A56">
          <w:rPr>
            <w:noProof/>
            <w:webHidden/>
          </w:rPr>
          <w:tab/>
        </w:r>
        <w:r w:rsidR="00591A56">
          <w:rPr>
            <w:noProof/>
            <w:webHidden/>
          </w:rPr>
          <w:fldChar w:fldCharType="begin"/>
        </w:r>
        <w:r w:rsidR="00591A56">
          <w:rPr>
            <w:noProof/>
            <w:webHidden/>
          </w:rPr>
          <w:instrText xml:space="preserve"> PAGEREF _Toc494699123 \h </w:instrText>
        </w:r>
        <w:r w:rsidR="00591A56">
          <w:rPr>
            <w:noProof/>
            <w:webHidden/>
          </w:rPr>
        </w:r>
        <w:r w:rsidR="00591A56">
          <w:rPr>
            <w:noProof/>
            <w:webHidden/>
          </w:rPr>
          <w:fldChar w:fldCharType="separate"/>
        </w:r>
        <w:r w:rsidR="008A4C1A">
          <w:rPr>
            <w:noProof/>
            <w:webHidden/>
          </w:rPr>
          <w:t>9</w:t>
        </w:r>
        <w:r w:rsidR="00591A56">
          <w:rPr>
            <w:noProof/>
            <w:webHidden/>
          </w:rPr>
          <w:fldChar w:fldCharType="end"/>
        </w:r>
      </w:hyperlink>
    </w:p>
    <w:p w14:paraId="1509F8B8"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24" w:history="1">
        <w:r w:rsidR="00591A56" w:rsidRPr="00B76C89">
          <w:rPr>
            <w:rStyle w:val="Hyperlink"/>
            <w:noProof/>
          </w:rPr>
          <w:t>4.6</w:t>
        </w:r>
        <w:r w:rsidR="00591A56">
          <w:rPr>
            <w:rFonts w:asciiTheme="minorHAnsi" w:eastAsiaTheme="minorEastAsia" w:hAnsiTheme="minorHAnsi" w:cstheme="minorBidi"/>
            <w:iCs w:val="0"/>
            <w:noProof/>
            <w:sz w:val="22"/>
            <w:lang w:val="en-US" w:eastAsia="en-US"/>
          </w:rPr>
          <w:tab/>
        </w:r>
        <w:r w:rsidR="00591A56" w:rsidRPr="00B76C89">
          <w:rPr>
            <w:rStyle w:val="Hyperlink"/>
            <w:noProof/>
          </w:rPr>
          <w:t>Bidding Process</w:t>
        </w:r>
        <w:r w:rsidR="00591A56">
          <w:rPr>
            <w:noProof/>
            <w:webHidden/>
          </w:rPr>
          <w:tab/>
        </w:r>
        <w:r w:rsidR="00591A56">
          <w:rPr>
            <w:noProof/>
            <w:webHidden/>
          </w:rPr>
          <w:fldChar w:fldCharType="begin"/>
        </w:r>
        <w:r w:rsidR="00591A56">
          <w:rPr>
            <w:noProof/>
            <w:webHidden/>
          </w:rPr>
          <w:instrText xml:space="preserve"> PAGEREF _Toc494699124 \h </w:instrText>
        </w:r>
        <w:r w:rsidR="00591A56">
          <w:rPr>
            <w:noProof/>
            <w:webHidden/>
          </w:rPr>
        </w:r>
        <w:r w:rsidR="00591A56">
          <w:rPr>
            <w:noProof/>
            <w:webHidden/>
          </w:rPr>
          <w:fldChar w:fldCharType="separate"/>
        </w:r>
        <w:r w:rsidR="008A4C1A">
          <w:rPr>
            <w:noProof/>
            <w:webHidden/>
          </w:rPr>
          <w:t>10</w:t>
        </w:r>
        <w:r w:rsidR="00591A56">
          <w:rPr>
            <w:noProof/>
            <w:webHidden/>
          </w:rPr>
          <w:fldChar w:fldCharType="end"/>
        </w:r>
      </w:hyperlink>
    </w:p>
    <w:p w14:paraId="3A976656"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25" w:history="1">
        <w:r w:rsidR="00591A56" w:rsidRPr="00B76C89">
          <w:rPr>
            <w:rStyle w:val="Hyperlink"/>
            <w:noProof/>
          </w:rPr>
          <w:t>4.7</w:t>
        </w:r>
        <w:r w:rsidR="00591A56">
          <w:rPr>
            <w:rFonts w:asciiTheme="minorHAnsi" w:eastAsiaTheme="minorEastAsia" w:hAnsiTheme="minorHAnsi" w:cstheme="minorBidi"/>
            <w:iCs w:val="0"/>
            <w:noProof/>
            <w:sz w:val="22"/>
            <w:lang w:val="en-US" w:eastAsia="en-US"/>
          </w:rPr>
          <w:tab/>
        </w:r>
        <w:r w:rsidR="00591A56" w:rsidRPr="00B76C89">
          <w:rPr>
            <w:rStyle w:val="Hyperlink"/>
            <w:noProof/>
          </w:rPr>
          <w:t>Bid Submission Requirements</w:t>
        </w:r>
        <w:r w:rsidR="00591A56">
          <w:rPr>
            <w:noProof/>
            <w:webHidden/>
          </w:rPr>
          <w:tab/>
        </w:r>
        <w:r w:rsidR="00591A56">
          <w:rPr>
            <w:noProof/>
            <w:webHidden/>
          </w:rPr>
          <w:fldChar w:fldCharType="begin"/>
        </w:r>
        <w:r w:rsidR="00591A56">
          <w:rPr>
            <w:noProof/>
            <w:webHidden/>
          </w:rPr>
          <w:instrText xml:space="preserve"> PAGEREF _Toc494699125 \h </w:instrText>
        </w:r>
        <w:r w:rsidR="00591A56">
          <w:rPr>
            <w:noProof/>
            <w:webHidden/>
          </w:rPr>
        </w:r>
        <w:r w:rsidR="00591A56">
          <w:rPr>
            <w:noProof/>
            <w:webHidden/>
          </w:rPr>
          <w:fldChar w:fldCharType="separate"/>
        </w:r>
        <w:r w:rsidR="008A4C1A">
          <w:rPr>
            <w:noProof/>
            <w:webHidden/>
          </w:rPr>
          <w:t>11</w:t>
        </w:r>
        <w:r w:rsidR="00591A56">
          <w:rPr>
            <w:noProof/>
            <w:webHidden/>
          </w:rPr>
          <w:fldChar w:fldCharType="end"/>
        </w:r>
      </w:hyperlink>
    </w:p>
    <w:p w14:paraId="5D3DD39F" w14:textId="77777777" w:rsidR="00591A56" w:rsidRDefault="00FD62D7">
      <w:pPr>
        <w:pStyle w:val="TOC2"/>
        <w:tabs>
          <w:tab w:val="right" w:leader="dot" w:pos="9627"/>
        </w:tabs>
        <w:rPr>
          <w:rFonts w:asciiTheme="minorHAnsi" w:eastAsiaTheme="minorEastAsia" w:hAnsiTheme="minorHAnsi" w:cstheme="minorBidi"/>
          <w:b w:val="0"/>
          <w:iCs w:val="0"/>
          <w:noProof/>
          <w:sz w:val="22"/>
          <w:lang w:val="en-US" w:eastAsia="en-US"/>
        </w:rPr>
      </w:pPr>
      <w:hyperlink w:anchor="_Toc494699126" w:history="1">
        <w:r w:rsidR="00591A56" w:rsidRPr="00B76C89">
          <w:rPr>
            <w:rStyle w:val="Hyperlink"/>
            <w:rFonts w:ascii="Arial Bold" w:hAnsi="Arial Bold"/>
            <w:noProof/>
          </w:rPr>
          <w:t>5.</w:t>
        </w:r>
        <w:r w:rsidR="00591A56">
          <w:rPr>
            <w:rFonts w:asciiTheme="minorHAnsi" w:eastAsiaTheme="minorEastAsia" w:hAnsiTheme="minorHAnsi" w:cstheme="minorBidi"/>
            <w:b w:val="0"/>
            <w:iCs w:val="0"/>
            <w:noProof/>
            <w:sz w:val="22"/>
            <w:lang w:val="en-US" w:eastAsia="en-US"/>
          </w:rPr>
          <w:tab/>
        </w:r>
        <w:r w:rsidR="00591A56" w:rsidRPr="00B76C89">
          <w:rPr>
            <w:rStyle w:val="Hyperlink"/>
            <w:noProof/>
          </w:rPr>
          <w:t>Eligibility Requirements</w:t>
        </w:r>
        <w:r w:rsidR="00591A56">
          <w:rPr>
            <w:noProof/>
            <w:webHidden/>
          </w:rPr>
          <w:tab/>
        </w:r>
        <w:r w:rsidR="00591A56">
          <w:rPr>
            <w:noProof/>
            <w:webHidden/>
          </w:rPr>
          <w:fldChar w:fldCharType="begin"/>
        </w:r>
        <w:r w:rsidR="00591A56">
          <w:rPr>
            <w:noProof/>
            <w:webHidden/>
          </w:rPr>
          <w:instrText xml:space="preserve"> PAGEREF _Toc494699126 \h </w:instrText>
        </w:r>
        <w:r w:rsidR="00591A56">
          <w:rPr>
            <w:noProof/>
            <w:webHidden/>
          </w:rPr>
        </w:r>
        <w:r w:rsidR="00591A56">
          <w:rPr>
            <w:noProof/>
            <w:webHidden/>
          </w:rPr>
          <w:fldChar w:fldCharType="separate"/>
        </w:r>
        <w:r w:rsidR="008A4C1A">
          <w:rPr>
            <w:noProof/>
            <w:webHidden/>
          </w:rPr>
          <w:t>11</w:t>
        </w:r>
        <w:r w:rsidR="00591A56">
          <w:rPr>
            <w:noProof/>
            <w:webHidden/>
          </w:rPr>
          <w:fldChar w:fldCharType="end"/>
        </w:r>
      </w:hyperlink>
    </w:p>
    <w:p w14:paraId="27EC678F"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27" w:history="1">
        <w:r w:rsidR="00591A56" w:rsidRPr="00B76C89">
          <w:rPr>
            <w:rStyle w:val="Hyperlink"/>
            <w:noProof/>
          </w:rPr>
          <w:t>5.1</w:t>
        </w:r>
        <w:r w:rsidR="00591A56">
          <w:rPr>
            <w:rFonts w:asciiTheme="minorHAnsi" w:eastAsiaTheme="minorEastAsia" w:hAnsiTheme="minorHAnsi" w:cstheme="minorBidi"/>
            <w:iCs w:val="0"/>
            <w:noProof/>
            <w:sz w:val="22"/>
            <w:lang w:val="en-US" w:eastAsia="en-US"/>
          </w:rPr>
          <w:tab/>
        </w:r>
        <w:r w:rsidR="00591A56" w:rsidRPr="00B76C89">
          <w:rPr>
            <w:rStyle w:val="Hyperlink"/>
            <w:noProof/>
          </w:rPr>
          <w:t>Pre-qualification Criteria</w:t>
        </w:r>
        <w:r w:rsidR="00591A56">
          <w:rPr>
            <w:noProof/>
            <w:webHidden/>
          </w:rPr>
          <w:tab/>
        </w:r>
        <w:r w:rsidR="00591A56">
          <w:rPr>
            <w:noProof/>
            <w:webHidden/>
          </w:rPr>
          <w:fldChar w:fldCharType="begin"/>
        </w:r>
        <w:r w:rsidR="00591A56">
          <w:rPr>
            <w:noProof/>
            <w:webHidden/>
          </w:rPr>
          <w:instrText xml:space="preserve"> PAGEREF _Toc494699127 \h </w:instrText>
        </w:r>
        <w:r w:rsidR="00591A56">
          <w:rPr>
            <w:noProof/>
            <w:webHidden/>
          </w:rPr>
        </w:r>
        <w:r w:rsidR="00591A56">
          <w:rPr>
            <w:noProof/>
            <w:webHidden/>
          </w:rPr>
          <w:fldChar w:fldCharType="separate"/>
        </w:r>
        <w:r w:rsidR="008A4C1A">
          <w:rPr>
            <w:noProof/>
            <w:webHidden/>
          </w:rPr>
          <w:t>11</w:t>
        </w:r>
        <w:r w:rsidR="00591A56">
          <w:rPr>
            <w:noProof/>
            <w:webHidden/>
          </w:rPr>
          <w:fldChar w:fldCharType="end"/>
        </w:r>
      </w:hyperlink>
    </w:p>
    <w:p w14:paraId="334DA8E6"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28" w:history="1">
        <w:r w:rsidR="00591A56" w:rsidRPr="00B76C89">
          <w:rPr>
            <w:rStyle w:val="Hyperlink"/>
            <w:noProof/>
          </w:rPr>
          <w:t>5.2</w:t>
        </w:r>
        <w:r w:rsidR="00591A56">
          <w:rPr>
            <w:rFonts w:asciiTheme="minorHAnsi" w:eastAsiaTheme="minorEastAsia" w:hAnsiTheme="minorHAnsi" w:cstheme="minorBidi"/>
            <w:iCs w:val="0"/>
            <w:noProof/>
            <w:sz w:val="22"/>
            <w:lang w:val="en-US" w:eastAsia="en-US"/>
          </w:rPr>
          <w:tab/>
        </w:r>
        <w:r w:rsidR="00591A56" w:rsidRPr="00B76C89">
          <w:rPr>
            <w:rStyle w:val="Hyperlink"/>
            <w:noProof/>
          </w:rPr>
          <w:t>Technical / Functional Evaluation Criteria</w:t>
        </w:r>
        <w:r w:rsidR="00591A56">
          <w:rPr>
            <w:noProof/>
            <w:webHidden/>
          </w:rPr>
          <w:tab/>
        </w:r>
        <w:r w:rsidR="00591A56">
          <w:rPr>
            <w:noProof/>
            <w:webHidden/>
          </w:rPr>
          <w:fldChar w:fldCharType="begin"/>
        </w:r>
        <w:r w:rsidR="00591A56">
          <w:rPr>
            <w:noProof/>
            <w:webHidden/>
          </w:rPr>
          <w:instrText xml:space="preserve"> PAGEREF _Toc494699128 \h </w:instrText>
        </w:r>
        <w:r w:rsidR="00591A56">
          <w:rPr>
            <w:noProof/>
            <w:webHidden/>
          </w:rPr>
        </w:r>
        <w:r w:rsidR="00591A56">
          <w:rPr>
            <w:noProof/>
            <w:webHidden/>
          </w:rPr>
          <w:fldChar w:fldCharType="separate"/>
        </w:r>
        <w:r w:rsidR="008A4C1A">
          <w:rPr>
            <w:noProof/>
            <w:webHidden/>
          </w:rPr>
          <w:t>12</w:t>
        </w:r>
        <w:r w:rsidR="00591A56">
          <w:rPr>
            <w:noProof/>
            <w:webHidden/>
          </w:rPr>
          <w:fldChar w:fldCharType="end"/>
        </w:r>
      </w:hyperlink>
    </w:p>
    <w:p w14:paraId="45555220"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29" w:history="1">
        <w:r w:rsidR="00591A56" w:rsidRPr="00B76C89">
          <w:rPr>
            <w:rStyle w:val="Hyperlink"/>
            <w:noProof/>
          </w:rPr>
          <w:t>5.3</w:t>
        </w:r>
        <w:r w:rsidR="00591A56">
          <w:rPr>
            <w:rFonts w:asciiTheme="minorHAnsi" w:eastAsiaTheme="minorEastAsia" w:hAnsiTheme="minorHAnsi" w:cstheme="minorBidi"/>
            <w:iCs w:val="0"/>
            <w:noProof/>
            <w:sz w:val="22"/>
            <w:lang w:val="en-US" w:eastAsia="en-US"/>
          </w:rPr>
          <w:tab/>
        </w:r>
        <w:r w:rsidR="00591A56" w:rsidRPr="00B76C89">
          <w:rPr>
            <w:rStyle w:val="Hyperlink"/>
            <w:noProof/>
          </w:rPr>
          <w:t>Tenders to be evaluated on functionality (B-BBEE and Price Evaluation Criteria)</w:t>
        </w:r>
        <w:r w:rsidR="00591A56">
          <w:rPr>
            <w:noProof/>
            <w:webHidden/>
          </w:rPr>
          <w:tab/>
        </w:r>
        <w:r w:rsidR="00591A56">
          <w:rPr>
            <w:noProof/>
            <w:webHidden/>
          </w:rPr>
          <w:fldChar w:fldCharType="begin"/>
        </w:r>
        <w:r w:rsidR="00591A56">
          <w:rPr>
            <w:noProof/>
            <w:webHidden/>
          </w:rPr>
          <w:instrText xml:space="preserve"> PAGEREF _Toc494699129 \h </w:instrText>
        </w:r>
        <w:r w:rsidR="00591A56">
          <w:rPr>
            <w:noProof/>
            <w:webHidden/>
          </w:rPr>
        </w:r>
        <w:r w:rsidR="00591A56">
          <w:rPr>
            <w:noProof/>
            <w:webHidden/>
          </w:rPr>
          <w:fldChar w:fldCharType="separate"/>
        </w:r>
        <w:r w:rsidR="008A4C1A">
          <w:rPr>
            <w:noProof/>
            <w:webHidden/>
          </w:rPr>
          <w:t>13</w:t>
        </w:r>
        <w:r w:rsidR="00591A56">
          <w:rPr>
            <w:noProof/>
            <w:webHidden/>
          </w:rPr>
          <w:fldChar w:fldCharType="end"/>
        </w:r>
      </w:hyperlink>
    </w:p>
    <w:p w14:paraId="753C75E8"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30" w:history="1">
        <w:r w:rsidR="00591A56" w:rsidRPr="00B76C89">
          <w:rPr>
            <w:rStyle w:val="Hyperlink"/>
            <w:noProof/>
          </w:rPr>
          <w:t>5.4</w:t>
        </w:r>
        <w:r w:rsidR="00591A56">
          <w:rPr>
            <w:rFonts w:asciiTheme="minorHAnsi" w:eastAsiaTheme="minorEastAsia" w:hAnsiTheme="minorHAnsi" w:cstheme="minorBidi"/>
            <w:iCs w:val="0"/>
            <w:noProof/>
            <w:sz w:val="22"/>
            <w:lang w:val="en-US" w:eastAsia="en-US"/>
          </w:rPr>
          <w:tab/>
        </w:r>
        <w:r w:rsidR="00591A56" w:rsidRPr="00B76C89">
          <w:rPr>
            <w:rStyle w:val="Hyperlink"/>
            <w:noProof/>
          </w:rPr>
          <w:t>80/20 preference point system for acquisition of goods or services for Rand value equal to or above R30 000 and up to R50 million</w:t>
        </w:r>
        <w:r w:rsidR="00591A56">
          <w:rPr>
            <w:noProof/>
            <w:webHidden/>
          </w:rPr>
          <w:tab/>
        </w:r>
        <w:r w:rsidR="00591A56">
          <w:rPr>
            <w:noProof/>
            <w:webHidden/>
          </w:rPr>
          <w:fldChar w:fldCharType="begin"/>
        </w:r>
        <w:r w:rsidR="00591A56">
          <w:rPr>
            <w:noProof/>
            <w:webHidden/>
          </w:rPr>
          <w:instrText xml:space="preserve"> PAGEREF _Toc494699130 \h </w:instrText>
        </w:r>
        <w:r w:rsidR="00591A56">
          <w:rPr>
            <w:noProof/>
            <w:webHidden/>
          </w:rPr>
        </w:r>
        <w:r w:rsidR="00591A56">
          <w:rPr>
            <w:noProof/>
            <w:webHidden/>
          </w:rPr>
          <w:fldChar w:fldCharType="separate"/>
        </w:r>
        <w:r w:rsidR="008A4C1A">
          <w:rPr>
            <w:noProof/>
            <w:webHidden/>
          </w:rPr>
          <w:t>13</w:t>
        </w:r>
        <w:r w:rsidR="00591A56">
          <w:rPr>
            <w:noProof/>
            <w:webHidden/>
          </w:rPr>
          <w:fldChar w:fldCharType="end"/>
        </w:r>
      </w:hyperlink>
    </w:p>
    <w:p w14:paraId="2B842EC8" w14:textId="77777777" w:rsidR="00591A56" w:rsidRDefault="00FD62D7">
      <w:pPr>
        <w:pStyle w:val="TOC1"/>
        <w:tabs>
          <w:tab w:val="right" w:leader="dot" w:pos="9627"/>
        </w:tabs>
        <w:rPr>
          <w:rFonts w:asciiTheme="minorHAnsi" w:eastAsiaTheme="minorEastAsia" w:hAnsiTheme="minorHAnsi" w:cstheme="minorBidi"/>
          <w:b w:val="0"/>
          <w:iCs w:val="0"/>
          <w:noProof/>
          <w:sz w:val="22"/>
          <w:lang w:val="en-US" w:eastAsia="en-US"/>
        </w:rPr>
      </w:pPr>
      <w:hyperlink w:anchor="_Toc494699131" w:history="1">
        <w:r w:rsidR="00591A56" w:rsidRPr="00B76C89">
          <w:rPr>
            <w:rStyle w:val="Hyperlink"/>
            <w:noProof/>
          </w:rPr>
          <w:t>SECTION 3</w:t>
        </w:r>
        <w:r w:rsidR="00591A56">
          <w:rPr>
            <w:noProof/>
            <w:webHidden/>
          </w:rPr>
          <w:tab/>
        </w:r>
        <w:r w:rsidR="00591A56">
          <w:rPr>
            <w:noProof/>
            <w:webHidden/>
          </w:rPr>
          <w:fldChar w:fldCharType="begin"/>
        </w:r>
        <w:r w:rsidR="00591A56">
          <w:rPr>
            <w:noProof/>
            <w:webHidden/>
          </w:rPr>
          <w:instrText xml:space="preserve"> PAGEREF _Toc494699131 \h </w:instrText>
        </w:r>
        <w:r w:rsidR="00591A56">
          <w:rPr>
            <w:noProof/>
            <w:webHidden/>
          </w:rPr>
        </w:r>
        <w:r w:rsidR="00591A56">
          <w:rPr>
            <w:noProof/>
            <w:webHidden/>
          </w:rPr>
          <w:fldChar w:fldCharType="separate"/>
        </w:r>
        <w:r w:rsidR="008A4C1A">
          <w:rPr>
            <w:noProof/>
            <w:webHidden/>
          </w:rPr>
          <w:t>17</w:t>
        </w:r>
        <w:r w:rsidR="00591A56">
          <w:rPr>
            <w:noProof/>
            <w:webHidden/>
          </w:rPr>
          <w:fldChar w:fldCharType="end"/>
        </w:r>
      </w:hyperlink>
    </w:p>
    <w:p w14:paraId="09037EE8" w14:textId="77777777" w:rsidR="00591A56" w:rsidRDefault="00FD62D7">
      <w:pPr>
        <w:pStyle w:val="TOC2"/>
        <w:tabs>
          <w:tab w:val="right" w:leader="dot" w:pos="9627"/>
        </w:tabs>
        <w:rPr>
          <w:rFonts w:asciiTheme="minorHAnsi" w:eastAsiaTheme="minorEastAsia" w:hAnsiTheme="minorHAnsi" w:cstheme="minorBidi"/>
          <w:b w:val="0"/>
          <w:iCs w:val="0"/>
          <w:noProof/>
          <w:sz w:val="22"/>
          <w:lang w:val="en-US" w:eastAsia="en-US"/>
        </w:rPr>
      </w:pPr>
      <w:hyperlink w:anchor="_Toc494699132" w:history="1">
        <w:r w:rsidR="00591A56" w:rsidRPr="00B76C89">
          <w:rPr>
            <w:rStyle w:val="Hyperlink"/>
            <w:rFonts w:ascii="Arial Bold" w:hAnsi="Arial Bold"/>
            <w:noProof/>
          </w:rPr>
          <w:t>6.</w:t>
        </w:r>
        <w:r w:rsidR="00591A56">
          <w:rPr>
            <w:rFonts w:asciiTheme="minorHAnsi" w:eastAsiaTheme="minorEastAsia" w:hAnsiTheme="minorHAnsi" w:cstheme="minorBidi"/>
            <w:b w:val="0"/>
            <w:iCs w:val="0"/>
            <w:noProof/>
            <w:sz w:val="22"/>
            <w:lang w:val="en-US" w:eastAsia="en-US"/>
          </w:rPr>
          <w:tab/>
        </w:r>
        <w:r w:rsidR="00591A56" w:rsidRPr="00B76C89">
          <w:rPr>
            <w:rStyle w:val="Hyperlink"/>
            <w:noProof/>
          </w:rPr>
          <w:t>Returnable documents Checklist</w:t>
        </w:r>
        <w:r w:rsidR="00591A56">
          <w:rPr>
            <w:noProof/>
            <w:webHidden/>
          </w:rPr>
          <w:tab/>
        </w:r>
        <w:r w:rsidR="00591A56">
          <w:rPr>
            <w:noProof/>
            <w:webHidden/>
          </w:rPr>
          <w:fldChar w:fldCharType="begin"/>
        </w:r>
        <w:r w:rsidR="00591A56">
          <w:rPr>
            <w:noProof/>
            <w:webHidden/>
          </w:rPr>
          <w:instrText xml:space="preserve"> PAGEREF _Toc494699132 \h </w:instrText>
        </w:r>
        <w:r w:rsidR="00591A56">
          <w:rPr>
            <w:noProof/>
            <w:webHidden/>
          </w:rPr>
        </w:r>
        <w:r w:rsidR="00591A56">
          <w:rPr>
            <w:noProof/>
            <w:webHidden/>
          </w:rPr>
          <w:fldChar w:fldCharType="separate"/>
        </w:r>
        <w:r w:rsidR="008A4C1A">
          <w:rPr>
            <w:noProof/>
            <w:webHidden/>
          </w:rPr>
          <w:t>17</w:t>
        </w:r>
        <w:r w:rsidR="00591A56">
          <w:rPr>
            <w:noProof/>
            <w:webHidden/>
          </w:rPr>
          <w:fldChar w:fldCharType="end"/>
        </w:r>
      </w:hyperlink>
    </w:p>
    <w:p w14:paraId="6628525C"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33" w:history="1">
        <w:r w:rsidR="00591A56" w:rsidRPr="00B76C89">
          <w:rPr>
            <w:rStyle w:val="Hyperlink"/>
            <w:noProof/>
          </w:rPr>
          <w:t>6.1</w:t>
        </w:r>
        <w:r w:rsidR="00591A56">
          <w:rPr>
            <w:rFonts w:asciiTheme="minorHAnsi" w:eastAsiaTheme="minorEastAsia" w:hAnsiTheme="minorHAnsi" w:cstheme="minorBidi"/>
            <w:iCs w:val="0"/>
            <w:noProof/>
            <w:sz w:val="22"/>
            <w:lang w:val="en-US" w:eastAsia="en-US"/>
          </w:rPr>
          <w:tab/>
        </w:r>
        <w:r w:rsidR="00591A56" w:rsidRPr="00B76C89">
          <w:rPr>
            <w:rStyle w:val="Hyperlink"/>
            <w:noProof/>
          </w:rPr>
          <w:t>Mandatory Documents</w:t>
        </w:r>
        <w:r w:rsidR="00591A56">
          <w:rPr>
            <w:noProof/>
            <w:webHidden/>
          </w:rPr>
          <w:tab/>
        </w:r>
        <w:r w:rsidR="00591A56">
          <w:rPr>
            <w:noProof/>
            <w:webHidden/>
          </w:rPr>
          <w:fldChar w:fldCharType="begin"/>
        </w:r>
        <w:r w:rsidR="00591A56">
          <w:rPr>
            <w:noProof/>
            <w:webHidden/>
          </w:rPr>
          <w:instrText xml:space="preserve"> PAGEREF _Toc494699133 \h </w:instrText>
        </w:r>
        <w:r w:rsidR="00591A56">
          <w:rPr>
            <w:noProof/>
            <w:webHidden/>
          </w:rPr>
        </w:r>
        <w:r w:rsidR="00591A56">
          <w:rPr>
            <w:noProof/>
            <w:webHidden/>
          </w:rPr>
          <w:fldChar w:fldCharType="separate"/>
        </w:r>
        <w:r w:rsidR="008A4C1A">
          <w:rPr>
            <w:noProof/>
            <w:webHidden/>
          </w:rPr>
          <w:t>17</w:t>
        </w:r>
        <w:r w:rsidR="00591A56">
          <w:rPr>
            <w:noProof/>
            <w:webHidden/>
          </w:rPr>
          <w:fldChar w:fldCharType="end"/>
        </w:r>
      </w:hyperlink>
    </w:p>
    <w:p w14:paraId="33EC8996"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34" w:history="1">
        <w:r w:rsidR="00591A56" w:rsidRPr="00B76C89">
          <w:rPr>
            <w:rStyle w:val="Hyperlink"/>
            <w:noProof/>
          </w:rPr>
          <w:t>6.2</w:t>
        </w:r>
        <w:r w:rsidR="00591A56">
          <w:rPr>
            <w:rFonts w:asciiTheme="minorHAnsi" w:eastAsiaTheme="minorEastAsia" w:hAnsiTheme="minorHAnsi" w:cstheme="minorBidi"/>
            <w:iCs w:val="0"/>
            <w:noProof/>
            <w:sz w:val="22"/>
            <w:lang w:val="en-US" w:eastAsia="en-US"/>
          </w:rPr>
          <w:tab/>
        </w:r>
        <w:r w:rsidR="00591A56" w:rsidRPr="00B76C89">
          <w:rPr>
            <w:rStyle w:val="Hyperlink"/>
            <w:noProof/>
          </w:rPr>
          <w:t>Price</w:t>
        </w:r>
        <w:r w:rsidR="00591A56">
          <w:rPr>
            <w:noProof/>
            <w:webHidden/>
          </w:rPr>
          <w:tab/>
        </w:r>
        <w:r w:rsidR="00591A56">
          <w:rPr>
            <w:noProof/>
            <w:webHidden/>
          </w:rPr>
          <w:fldChar w:fldCharType="begin"/>
        </w:r>
        <w:r w:rsidR="00591A56">
          <w:rPr>
            <w:noProof/>
            <w:webHidden/>
          </w:rPr>
          <w:instrText xml:space="preserve"> PAGEREF _Toc494699134 \h </w:instrText>
        </w:r>
        <w:r w:rsidR="00591A56">
          <w:rPr>
            <w:noProof/>
            <w:webHidden/>
          </w:rPr>
        </w:r>
        <w:r w:rsidR="00591A56">
          <w:rPr>
            <w:noProof/>
            <w:webHidden/>
          </w:rPr>
          <w:fldChar w:fldCharType="separate"/>
        </w:r>
        <w:r w:rsidR="008A4C1A">
          <w:rPr>
            <w:noProof/>
            <w:webHidden/>
          </w:rPr>
          <w:t>17</w:t>
        </w:r>
        <w:r w:rsidR="00591A56">
          <w:rPr>
            <w:noProof/>
            <w:webHidden/>
          </w:rPr>
          <w:fldChar w:fldCharType="end"/>
        </w:r>
      </w:hyperlink>
    </w:p>
    <w:p w14:paraId="14670421" w14:textId="77777777" w:rsidR="00591A56" w:rsidRDefault="00FD62D7">
      <w:pPr>
        <w:pStyle w:val="TOC3"/>
        <w:tabs>
          <w:tab w:val="right" w:leader="dot" w:pos="9627"/>
        </w:tabs>
        <w:rPr>
          <w:rFonts w:asciiTheme="minorHAnsi" w:eastAsiaTheme="minorEastAsia" w:hAnsiTheme="minorHAnsi" w:cstheme="minorBidi"/>
          <w:iCs w:val="0"/>
          <w:noProof/>
          <w:sz w:val="22"/>
          <w:lang w:val="en-US" w:eastAsia="en-US"/>
        </w:rPr>
      </w:pPr>
      <w:hyperlink w:anchor="_Toc494699135" w:history="1">
        <w:r w:rsidR="00591A56" w:rsidRPr="00B76C89">
          <w:rPr>
            <w:rStyle w:val="Hyperlink"/>
            <w:noProof/>
          </w:rPr>
          <w:t>6.3</w:t>
        </w:r>
        <w:r w:rsidR="00591A56">
          <w:rPr>
            <w:rFonts w:asciiTheme="minorHAnsi" w:eastAsiaTheme="minorEastAsia" w:hAnsiTheme="minorHAnsi" w:cstheme="minorBidi"/>
            <w:iCs w:val="0"/>
            <w:noProof/>
            <w:sz w:val="22"/>
            <w:lang w:val="en-US" w:eastAsia="en-US"/>
          </w:rPr>
          <w:tab/>
        </w:r>
        <w:r w:rsidR="00591A56" w:rsidRPr="00B76C89">
          <w:rPr>
            <w:rStyle w:val="Hyperlink"/>
            <w:noProof/>
          </w:rPr>
          <w:t>Compliance Documents</w:t>
        </w:r>
        <w:r w:rsidR="00591A56">
          <w:rPr>
            <w:noProof/>
            <w:webHidden/>
          </w:rPr>
          <w:tab/>
        </w:r>
        <w:r w:rsidR="00591A56">
          <w:rPr>
            <w:noProof/>
            <w:webHidden/>
          </w:rPr>
          <w:fldChar w:fldCharType="begin"/>
        </w:r>
        <w:r w:rsidR="00591A56">
          <w:rPr>
            <w:noProof/>
            <w:webHidden/>
          </w:rPr>
          <w:instrText xml:space="preserve"> PAGEREF _Toc494699135 \h </w:instrText>
        </w:r>
        <w:r w:rsidR="00591A56">
          <w:rPr>
            <w:noProof/>
            <w:webHidden/>
          </w:rPr>
        </w:r>
        <w:r w:rsidR="00591A56">
          <w:rPr>
            <w:noProof/>
            <w:webHidden/>
          </w:rPr>
          <w:fldChar w:fldCharType="separate"/>
        </w:r>
        <w:r w:rsidR="008A4C1A">
          <w:rPr>
            <w:noProof/>
            <w:webHidden/>
          </w:rPr>
          <w:t>17</w:t>
        </w:r>
        <w:r w:rsidR="00591A56">
          <w:rPr>
            <w:noProof/>
            <w:webHidden/>
          </w:rPr>
          <w:fldChar w:fldCharType="end"/>
        </w:r>
      </w:hyperlink>
    </w:p>
    <w:p w14:paraId="4F162826" w14:textId="77777777" w:rsidR="00591A56" w:rsidRDefault="00FD62D7">
      <w:pPr>
        <w:pStyle w:val="TOC2"/>
        <w:tabs>
          <w:tab w:val="right" w:leader="dot" w:pos="9627"/>
        </w:tabs>
        <w:rPr>
          <w:rFonts w:asciiTheme="minorHAnsi" w:eastAsiaTheme="minorEastAsia" w:hAnsiTheme="minorHAnsi" w:cstheme="minorBidi"/>
          <w:b w:val="0"/>
          <w:iCs w:val="0"/>
          <w:noProof/>
          <w:sz w:val="22"/>
          <w:lang w:val="en-US" w:eastAsia="en-US"/>
        </w:rPr>
      </w:pPr>
      <w:hyperlink w:anchor="_Toc494699136" w:history="1">
        <w:r w:rsidR="00591A56" w:rsidRPr="00B76C89">
          <w:rPr>
            <w:rStyle w:val="Hyperlink"/>
            <w:rFonts w:ascii="Arial Bold" w:hAnsi="Arial Bold"/>
            <w:noProof/>
          </w:rPr>
          <w:t>7.</w:t>
        </w:r>
        <w:r w:rsidR="00591A56">
          <w:rPr>
            <w:rFonts w:asciiTheme="minorHAnsi" w:eastAsiaTheme="minorEastAsia" w:hAnsiTheme="minorHAnsi" w:cstheme="minorBidi"/>
            <w:b w:val="0"/>
            <w:iCs w:val="0"/>
            <w:noProof/>
            <w:sz w:val="22"/>
            <w:lang w:val="en-US" w:eastAsia="en-US"/>
          </w:rPr>
          <w:tab/>
        </w:r>
        <w:r w:rsidR="00591A56" w:rsidRPr="00B76C89">
          <w:rPr>
            <w:rStyle w:val="Hyperlink"/>
            <w:noProof/>
          </w:rPr>
          <w:t>Bidder Information</w:t>
        </w:r>
        <w:r w:rsidR="00591A56">
          <w:rPr>
            <w:noProof/>
            <w:webHidden/>
          </w:rPr>
          <w:tab/>
        </w:r>
        <w:r w:rsidR="00591A56">
          <w:rPr>
            <w:noProof/>
            <w:webHidden/>
          </w:rPr>
          <w:fldChar w:fldCharType="begin"/>
        </w:r>
        <w:r w:rsidR="00591A56">
          <w:rPr>
            <w:noProof/>
            <w:webHidden/>
          </w:rPr>
          <w:instrText xml:space="preserve"> PAGEREF _Toc494699136 \h </w:instrText>
        </w:r>
        <w:r w:rsidR="00591A56">
          <w:rPr>
            <w:noProof/>
            <w:webHidden/>
          </w:rPr>
        </w:r>
        <w:r w:rsidR="00591A56">
          <w:rPr>
            <w:noProof/>
            <w:webHidden/>
          </w:rPr>
          <w:fldChar w:fldCharType="separate"/>
        </w:r>
        <w:r w:rsidR="008A4C1A">
          <w:rPr>
            <w:noProof/>
            <w:webHidden/>
          </w:rPr>
          <w:t>18</w:t>
        </w:r>
        <w:r w:rsidR="00591A56">
          <w:rPr>
            <w:noProof/>
            <w:webHidden/>
          </w:rPr>
          <w:fldChar w:fldCharType="end"/>
        </w:r>
      </w:hyperlink>
    </w:p>
    <w:p w14:paraId="200F228F" w14:textId="77777777" w:rsidR="00213098" w:rsidRDefault="00826386">
      <w:pPr>
        <w:widowControl/>
        <w:spacing w:before="0" w:after="200"/>
        <w:outlineLvl w:val="9"/>
      </w:pPr>
      <w:r>
        <w:rPr>
          <w:rFonts w:ascii="Arial Bold" w:hAnsi="Arial Bold"/>
          <w:sz w:val="28"/>
        </w:rPr>
        <w:fldChar w:fldCharType="end"/>
      </w:r>
    </w:p>
    <w:p w14:paraId="7FAD78E0" w14:textId="77777777" w:rsidR="003D5ADD" w:rsidRDefault="003D5ADD">
      <w:pPr>
        <w:widowControl/>
        <w:spacing w:before="0" w:after="200"/>
        <w:outlineLvl w:val="9"/>
        <w:rPr>
          <w:noProof/>
          <w:color w:val="007C9E"/>
          <w:lang w:val="en-ZA"/>
        </w:rPr>
      </w:pPr>
      <w:r>
        <w:br w:type="page"/>
      </w:r>
    </w:p>
    <w:p w14:paraId="3D031AAB" w14:textId="77777777" w:rsidR="00D6488C" w:rsidRDefault="00D6488C" w:rsidP="00D6488C">
      <w:pPr>
        <w:pStyle w:val="Index1"/>
      </w:pPr>
      <w:bookmarkStart w:id="3" w:name="_Toc494699101"/>
      <w:bookmarkEnd w:id="3"/>
    </w:p>
    <w:p w14:paraId="3B22DE2D" w14:textId="77777777" w:rsidR="00484FDB" w:rsidRPr="00FB1E06" w:rsidRDefault="00484FDB" w:rsidP="00E7099B">
      <w:pPr>
        <w:pStyle w:val="Index2"/>
      </w:pPr>
      <w:bookmarkStart w:id="4" w:name="_Toc494699102"/>
      <w:r w:rsidRPr="00FB1E06">
        <w:t>Introduction</w:t>
      </w:r>
      <w:bookmarkEnd w:id="4"/>
    </w:p>
    <w:p w14:paraId="43B225D6" w14:textId="77777777" w:rsidR="009D79A3" w:rsidRPr="00FB1E06" w:rsidRDefault="009D79A3" w:rsidP="002E3842">
      <w:pPr>
        <w:pStyle w:val="Index3"/>
      </w:pPr>
      <w:bookmarkStart w:id="5" w:name="_Toc494699103"/>
      <w:r w:rsidRPr="00FB1E06">
        <w:t>Company Overview</w:t>
      </w:r>
      <w:bookmarkEnd w:id="5"/>
    </w:p>
    <w:p w14:paraId="24625324"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B1C6218"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321A11">
        <w:t>c</w:t>
      </w:r>
      <w:r>
        <w:t>hange for South Africa and are among the best in their field in their respective world markets.</w:t>
      </w:r>
    </w:p>
    <w:p w14:paraId="3AEC20A4"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FACF90A"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79DAB6B7" w14:textId="77777777" w:rsidR="00FB1E06" w:rsidRDefault="00FB1E06" w:rsidP="002E3842">
      <w:pPr>
        <w:pStyle w:val="Index3"/>
      </w:pPr>
      <w:bookmarkStart w:id="6" w:name="_Toc494699104"/>
      <w:r w:rsidRPr="00905AE4">
        <w:t>Background</w:t>
      </w:r>
      <w:bookmarkEnd w:id="6"/>
    </w:p>
    <w:p w14:paraId="56A092A0" w14:textId="77777777" w:rsidR="005565CF" w:rsidRPr="000F5EFE" w:rsidRDefault="005565CF" w:rsidP="00135FAB">
      <w:pPr>
        <w:pStyle w:val="ListParagraph"/>
        <w:autoSpaceDE w:val="0"/>
        <w:autoSpaceDN w:val="0"/>
        <w:adjustRightInd w:val="0"/>
        <w:spacing w:line="336" w:lineRule="auto"/>
        <w:ind w:left="851"/>
        <w:jc w:val="both"/>
        <w:rPr>
          <w:color w:val="000000" w:themeColor="text1"/>
        </w:rPr>
      </w:pPr>
      <w:r w:rsidRPr="000F5EFE">
        <w:rPr>
          <w:rStyle w:val="Emphasis"/>
          <w:color w:val="000000" w:themeColor="text1"/>
        </w:rPr>
        <w:t xml:space="preserve">Necsa renews its coal contract every three (3) years and gives opportunity to suppliers to tender </w:t>
      </w:r>
      <w:r w:rsidR="00321A11">
        <w:rPr>
          <w:rStyle w:val="Emphasis"/>
          <w:color w:val="000000" w:themeColor="text1"/>
        </w:rPr>
        <w:t xml:space="preserve">for efficient and effective </w:t>
      </w:r>
      <w:r w:rsidRPr="000F5EFE">
        <w:rPr>
          <w:rStyle w:val="Emphasis"/>
          <w:color w:val="000000" w:themeColor="text1"/>
        </w:rPr>
        <w:t>deliver</w:t>
      </w:r>
      <w:r w:rsidR="00321A11">
        <w:rPr>
          <w:rStyle w:val="Emphasis"/>
          <w:color w:val="000000" w:themeColor="text1"/>
        </w:rPr>
        <w:t>y</w:t>
      </w:r>
      <w:r w:rsidRPr="000F5EFE">
        <w:rPr>
          <w:rStyle w:val="Emphasis"/>
          <w:color w:val="000000" w:themeColor="text1"/>
        </w:rPr>
        <w:t xml:space="preserve"> </w:t>
      </w:r>
      <w:r w:rsidR="00321A11">
        <w:rPr>
          <w:rStyle w:val="Emphasis"/>
          <w:color w:val="000000" w:themeColor="text1"/>
        </w:rPr>
        <w:t xml:space="preserve">of </w:t>
      </w:r>
      <w:r w:rsidRPr="000F5EFE">
        <w:rPr>
          <w:rStyle w:val="Emphasis"/>
          <w:color w:val="000000" w:themeColor="text1"/>
        </w:rPr>
        <w:t>coal.</w:t>
      </w:r>
      <w:r w:rsidRPr="000F5EFE">
        <w:rPr>
          <w:color w:val="000000" w:themeColor="text1"/>
        </w:rPr>
        <w:t xml:space="preserve"> Necsa uses the coal to generate steam that is used for process heat at its various processes and facilities.</w:t>
      </w:r>
    </w:p>
    <w:p w14:paraId="6925DF9C" w14:textId="77777777" w:rsidR="005565CF" w:rsidRPr="000F5EFE" w:rsidRDefault="005565CF" w:rsidP="00135FAB">
      <w:pPr>
        <w:pStyle w:val="ListParagraph"/>
        <w:autoSpaceDE w:val="0"/>
        <w:autoSpaceDN w:val="0"/>
        <w:adjustRightInd w:val="0"/>
        <w:spacing w:line="336" w:lineRule="auto"/>
        <w:ind w:left="851"/>
        <w:jc w:val="both"/>
        <w:rPr>
          <w:color w:val="000000" w:themeColor="text1"/>
        </w:rPr>
      </w:pPr>
    </w:p>
    <w:p w14:paraId="6D005B8E" w14:textId="77777777" w:rsidR="005565CF" w:rsidRPr="000F5EFE" w:rsidRDefault="005565CF" w:rsidP="00135FAB">
      <w:pPr>
        <w:pStyle w:val="ListParagraph"/>
        <w:autoSpaceDE w:val="0"/>
        <w:autoSpaceDN w:val="0"/>
        <w:adjustRightInd w:val="0"/>
        <w:spacing w:line="336" w:lineRule="auto"/>
        <w:ind w:left="851"/>
        <w:jc w:val="both"/>
        <w:rPr>
          <w:color w:val="000000" w:themeColor="text1"/>
        </w:rPr>
      </w:pPr>
      <w:r w:rsidRPr="000F5EFE">
        <w:rPr>
          <w:color w:val="000000" w:themeColor="text1"/>
        </w:rPr>
        <w:t xml:space="preserve">Coal must be supplied to following boilers: </w:t>
      </w:r>
    </w:p>
    <w:p w14:paraId="41C54867" w14:textId="77777777" w:rsidR="005565CF" w:rsidRPr="000F5EFE" w:rsidRDefault="005565CF" w:rsidP="00135FAB">
      <w:pPr>
        <w:pStyle w:val="ListParagraph"/>
        <w:widowControl/>
        <w:autoSpaceDE w:val="0"/>
        <w:autoSpaceDN w:val="0"/>
        <w:adjustRightInd w:val="0"/>
        <w:spacing w:before="0" w:after="0" w:line="336" w:lineRule="auto"/>
        <w:ind w:left="2451"/>
        <w:jc w:val="both"/>
        <w:outlineLvl w:val="9"/>
        <w:rPr>
          <w:color w:val="000000" w:themeColor="text1"/>
        </w:rPr>
      </w:pPr>
      <w:r w:rsidRPr="000F5EFE">
        <w:rPr>
          <w:color w:val="000000" w:themeColor="text1"/>
        </w:rPr>
        <w:t xml:space="preserve">V12 boiler plant situated at </w:t>
      </w:r>
      <w:proofErr w:type="spellStart"/>
      <w:r w:rsidRPr="000F5EFE">
        <w:rPr>
          <w:color w:val="000000" w:themeColor="text1"/>
        </w:rPr>
        <w:t>Pelindaba</w:t>
      </w:r>
      <w:proofErr w:type="spellEnd"/>
      <w:r w:rsidRPr="000F5EFE">
        <w:rPr>
          <w:color w:val="000000" w:themeColor="text1"/>
        </w:rPr>
        <w:t xml:space="preserve"> </w:t>
      </w:r>
      <w:r w:rsidR="00321A11">
        <w:rPr>
          <w:color w:val="000000" w:themeColor="text1"/>
        </w:rPr>
        <w:t>East</w:t>
      </w:r>
      <w:r w:rsidRPr="000F5EFE">
        <w:rPr>
          <w:color w:val="000000" w:themeColor="text1"/>
        </w:rPr>
        <w:t xml:space="preserve">; and </w:t>
      </w:r>
    </w:p>
    <w:p w14:paraId="48776DF6" w14:textId="77777777" w:rsidR="005565CF" w:rsidRPr="000F5EFE" w:rsidRDefault="005565CF" w:rsidP="00135FAB">
      <w:pPr>
        <w:pStyle w:val="ListParagraph"/>
        <w:widowControl/>
        <w:autoSpaceDE w:val="0"/>
        <w:autoSpaceDN w:val="0"/>
        <w:adjustRightInd w:val="0"/>
        <w:spacing w:before="0" w:after="0" w:line="336" w:lineRule="auto"/>
        <w:ind w:left="2451"/>
        <w:jc w:val="both"/>
        <w:outlineLvl w:val="9"/>
        <w:rPr>
          <w:color w:val="000000" w:themeColor="text1"/>
        </w:rPr>
      </w:pPr>
      <w:r w:rsidRPr="000F5EFE">
        <w:rPr>
          <w:color w:val="000000" w:themeColor="text1"/>
        </w:rPr>
        <w:t xml:space="preserve">B-H4 boiler plant situated at </w:t>
      </w:r>
      <w:proofErr w:type="spellStart"/>
      <w:r w:rsidRPr="000F5EFE">
        <w:rPr>
          <w:color w:val="000000" w:themeColor="text1"/>
        </w:rPr>
        <w:t>Pelindaba</w:t>
      </w:r>
      <w:proofErr w:type="spellEnd"/>
      <w:r w:rsidRPr="000F5EFE">
        <w:rPr>
          <w:color w:val="000000" w:themeColor="text1"/>
        </w:rPr>
        <w:t xml:space="preserve"> </w:t>
      </w:r>
      <w:r w:rsidR="00321A11">
        <w:rPr>
          <w:color w:val="000000" w:themeColor="text1"/>
        </w:rPr>
        <w:t>West</w:t>
      </w:r>
      <w:r w:rsidR="00321A11" w:rsidRPr="000F5EFE">
        <w:rPr>
          <w:color w:val="000000" w:themeColor="text1"/>
        </w:rPr>
        <w:t xml:space="preserve"> </w:t>
      </w:r>
      <w:r w:rsidRPr="000F5EFE">
        <w:rPr>
          <w:color w:val="000000" w:themeColor="text1"/>
        </w:rPr>
        <w:t xml:space="preserve">Site. </w:t>
      </w:r>
    </w:p>
    <w:p w14:paraId="28C24857" w14:textId="77777777" w:rsidR="005565CF" w:rsidRPr="000F5EFE" w:rsidRDefault="005565CF" w:rsidP="00135FAB">
      <w:pPr>
        <w:pStyle w:val="1Paragraph"/>
        <w:rPr>
          <w:rStyle w:val="Emphasis"/>
          <w:color w:val="000000" w:themeColor="text1"/>
        </w:rPr>
      </w:pPr>
      <w:r w:rsidRPr="000F5EFE">
        <w:rPr>
          <w:color w:val="000000" w:themeColor="text1"/>
        </w:rPr>
        <w:t xml:space="preserve">These two facilities are situated on the </w:t>
      </w:r>
      <w:proofErr w:type="spellStart"/>
      <w:r w:rsidRPr="000F5EFE">
        <w:rPr>
          <w:color w:val="000000" w:themeColor="text1"/>
        </w:rPr>
        <w:t>Pelindaba</w:t>
      </w:r>
      <w:proofErr w:type="spellEnd"/>
      <w:r w:rsidRPr="000F5EFE">
        <w:rPr>
          <w:color w:val="000000" w:themeColor="text1"/>
        </w:rPr>
        <w:t xml:space="preserve"> site in the North West province; 25 kilometres west of Pretoria</w:t>
      </w:r>
      <w:r w:rsidR="00321A11">
        <w:rPr>
          <w:color w:val="000000" w:themeColor="text1"/>
        </w:rPr>
        <w:t xml:space="preserve">. </w:t>
      </w:r>
    </w:p>
    <w:p w14:paraId="405E0081" w14:textId="77777777" w:rsidR="00CE4976" w:rsidRDefault="005565CF" w:rsidP="00135FAB">
      <w:pPr>
        <w:pStyle w:val="1Paragraph"/>
        <w:rPr>
          <w:color w:val="000000" w:themeColor="text1"/>
        </w:rPr>
      </w:pPr>
      <w:r w:rsidRPr="000F5EFE">
        <w:rPr>
          <w:color w:val="000000" w:themeColor="text1"/>
        </w:rPr>
        <w:br/>
        <w:t xml:space="preserve">In South Africa thermal coal is supplied from the mines either with beneficiation or without it. Beneficiated coal is screened, crushed and hand-picked to requirements. This enables the suppliers to deliver a coal with the correct specifications, and to secure, consolidate, and maintain a long-term off-take relationship between the producer and consumer through customer satisfaction. There </w:t>
      </w:r>
      <w:proofErr w:type="gramStart"/>
      <w:r w:rsidRPr="000F5EFE">
        <w:rPr>
          <w:color w:val="000000" w:themeColor="text1"/>
        </w:rPr>
        <w:t>is</w:t>
      </w:r>
      <w:proofErr w:type="gramEnd"/>
      <w:r w:rsidRPr="000F5EFE">
        <w:rPr>
          <w:color w:val="000000" w:themeColor="text1"/>
        </w:rPr>
        <w:t xml:space="preserve"> therefore chemical and physical properties that have to be complied with in order to satisfy the client’s specification and needs.</w:t>
      </w:r>
    </w:p>
    <w:p w14:paraId="714638F7" w14:textId="77777777" w:rsidR="005565CF" w:rsidRPr="000F5EFE" w:rsidRDefault="00321A11" w:rsidP="00135FAB">
      <w:pPr>
        <w:pStyle w:val="1Paragraph"/>
        <w:rPr>
          <w:color w:val="000000" w:themeColor="text1"/>
        </w:rPr>
      </w:pPr>
      <w:r w:rsidRPr="007B143E">
        <w:t xml:space="preserve">To this end, the coal supplied to Necsa needs to adhere to </w:t>
      </w:r>
      <w:proofErr w:type="spellStart"/>
      <w:r w:rsidRPr="007B143E">
        <w:t>Necsa’s</w:t>
      </w:r>
      <w:proofErr w:type="spellEnd"/>
      <w:r w:rsidRPr="007B143E">
        <w:t xml:space="preserve"> specification, failing which immediate termination of the contract will be done. A coal </w:t>
      </w:r>
      <w:r w:rsidR="002A30B7" w:rsidRPr="007B143E">
        <w:t xml:space="preserve">analysis report </w:t>
      </w:r>
      <w:r w:rsidRPr="007B143E">
        <w:t xml:space="preserve">for the </w:t>
      </w:r>
      <w:r w:rsidR="00F31DC4" w:rsidRPr="007B143E">
        <w:t xml:space="preserve">beneficiated </w:t>
      </w:r>
      <w:r w:rsidRPr="007B143E">
        <w:t xml:space="preserve">coal is required, indicating the relevant </w:t>
      </w:r>
      <w:r w:rsidR="002A30B7" w:rsidRPr="007B143E">
        <w:t>batch of coal</w:t>
      </w:r>
      <w:r w:rsidRPr="007B143E">
        <w:t xml:space="preserve"> for which this is valid. Should this not be verifiable, or should a non-conformance occur, there will be immediate </w:t>
      </w:r>
      <w:r w:rsidRPr="007B143E">
        <w:lastRenderedPageBreak/>
        <w:t>termination of the contract.</w:t>
      </w:r>
      <w:r w:rsidR="001A60EF" w:rsidRPr="007B143E">
        <w:t xml:space="preserve">  </w:t>
      </w:r>
      <w:r w:rsidR="001A60EF">
        <w:rPr>
          <w:color w:val="000000" w:themeColor="text1"/>
        </w:rPr>
        <w:t>In cases were the service provider appointed for the supply and delivery of coal</w:t>
      </w:r>
      <w:r w:rsidR="002A30B7">
        <w:rPr>
          <w:color w:val="000000" w:themeColor="text1"/>
        </w:rPr>
        <w:t xml:space="preserve"> </w:t>
      </w:r>
      <w:r w:rsidR="001A60EF">
        <w:rPr>
          <w:color w:val="000000" w:themeColor="text1"/>
        </w:rPr>
        <w:t>within the Necsa terms, an alternative will be sourced and money deducted from the total value of the applicable contract amount.</w:t>
      </w:r>
    </w:p>
    <w:p w14:paraId="2E044F59" w14:textId="77777777" w:rsidR="005565CF" w:rsidRDefault="005565CF" w:rsidP="005565CF">
      <w:pPr>
        <w:pStyle w:val="ListParagraph"/>
        <w:widowControl/>
        <w:numPr>
          <w:ilvl w:val="1"/>
          <w:numId w:val="23"/>
        </w:numPr>
        <w:autoSpaceDE w:val="0"/>
        <w:autoSpaceDN w:val="0"/>
        <w:adjustRightInd w:val="0"/>
        <w:spacing w:before="0" w:after="0" w:line="240" w:lineRule="auto"/>
        <w:ind w:left="851"/>
        <w:outlineLvl w:val="9"/>
        <w:rPr>
          <w:color w:val="000000" w:themeColor="text1"/>
        </w:rPr>
      </w:pPr>
      <w:r w:rsidRPr="000F5EFE">
        <w:rPr>
          <w:color w:val="000000" w:themeColor="text1"/>
        </w:rPr>
        <w:t xml:space="preserve">Chemical properties refer to the following: Calorific </w:t>
      </w:r>
      <w:r w:rsidR="00F31DC4">
        <w:rPr>
          <w:color w:val="000000" w:themeColor="text1"/>
        </w:rPr>
        <w:t>V</w:t>
      </w:r>
      <w:r w:rsidR="00F31DC4" w:rsidRPr="000F5EFE">
        <w:rPr>
          <w:color w:val="000000" w:themeColor="text1"/>
        </w:rPr>
        <w:t>alue</w:t>
      </w:r>
      <w:r w:rsidRPr="000F5EFE">
        <w:rPr>
          <w:color w:val="000000" w:themeColor="text1"/>
        </w:rPr>
        <w:t xml:space="preserve">, Fixed Carbon, Volatile matter, Inherent moisture, Ash content, etc. The </w:t>
      </w:r>
      <w:r w:rsidR="0019440B">
        <w:rPr>
          <w:color w:val="000000" w:themeColor="text1"/>
        </w:rPr>
        <w:t xml:space="preserve">relevant </w:t>
      </w:r>
      <w:r w:rsidRPr="000F5EFE">
        <w:rPr>
          <w:color w:val="000000" w:themeColor="text1"/>
        </w:rPr>
        <w:t>domestic coal grade</w:t>
      </w:r>
      <w:r w:rsidR="0019440B">
        <w:rPr>
          <w:color w:val="000000" w:themeColor="text1"/>
        </w:rPr>
        <w:t>s for Necsa</w:t>
      </w:r>
      <w:r w:rsidR="00F31DC4">
        <w:rPr>
          <w:color w:val="000000" w:themeColor="text1"/>
        </w:rPr>
        <w:t xml:space="preserve"> </w:t>
      </w:r>
      <w:r w:rsidRPr="000F5EFE">
        <w:rPr>
          <w:color w:val="000000" w:themeColor="text1"/>
        </w:rPr>
        <w:t>is graded as follows.</w:t>
      </w:r>
    </w:p>
    <w:p w14:paraId="7664C74B" w14:textId="77777777" w:rsidR="005565CF" w:rsidRPr="000F5EFE" w:rsidRDefault="005565CF" w:rsidP="00591A56">
      <w:pPr>
        <w:pStyle w:val="Caption"/>
        <w:keepNext/>
        <w:spacing w:after="0"/>
        <w:ind w:left="284"/>
        <w:rPr>
          <w:color w:val="000000" w:themeColor="text1"/>
        </w:rPr>
      </w:pPr>
    </w:p>
    <w:tbl>
      <w:tblPr>
        <w:tblStyle w:val="TableGrid"/>
        <w:tblW w:w="0" w:type="auto"/>
        <w:tblInd w:w="666" w:type="dxa"/>
        <w:tblLook w:val="04A0" w:firstRow="1" w:lastRow="0" w:firstColumn="1" w:lastColumn="0" w:noHBand="0" w:noVBand="1"/>
      </w:tblPr>
      <w:tblGrid>
        <w:gridCol w:w="2300"/>
        <w:gridCol w:w="2693"/>
        <w:gridCol w:w="1559"/>
      </w:tblGrid>
      <w:tr w:rsidR="007B143E" w:rsidRPr="00CE4976" w14:paraId="366C5823" w14:textId="77777777" w:rsidTr="00D4654A">
        <w:tc>
          <w:tcPr>
            <w:tcW w:w="2300" w:type="dxa"/>
          </w:tcPr>
          <w:p w14:paraId="133E90C5" w14:textId="77777777" w:rsidR="007B143E" w:rsidRPr="00CE4976" w:rsidRDefault="007B143E" w:rsidP="005565CF">
            <w:pPr>
              <w:pStyle w:val="ListParagraph"/>
              <w:autoSpaceDE w:val="0"/>
              <w:autoSpaceDN w:val="0"/>
              <w:adjustRightInd w:val="0"/>
              <w:ind w:left="0"/>
              <w:rPr>
                <w:color w:val="000000" w:themeColor="text1"/>
              </w:rPr>
            </w:pPr>
            <w:r w:rsidRPr="00CE4976">
              <w:rPr>
                <w:b/>
                <w:bCs/>
                <w:color w:val="000000" w:themeColor="text1"/>
              </w:rPr>
              <w:t>Parameter</w:t>
            </w:r>
            <w:r>
              <w:rPr>
                <w:b/>
                <w:bCs/>
                <w:color w:val="000000" w:themeColor="text1"/>
              </w:rPr>
              <w:t xml:space="preserve"> (Air Dried Basis)</w:t>
            </w:r>
          </w:p>
        </w:tc>
        <w:tc>
          <w:tcPr>
            <w:tcW w:w="2693" w:type="dxa"/>
          </w:tcPr>
          <w:p w14:paraId="6244873E" w14:textId="77777777" w:rsidR="007B143E" w:rsidRPr="00CE4976" w:rsidRDefault="007B143E" w:rsidP="005565CF">
            <w:pPr>
              <w:pStyle w:val="ListParagraph"/>
              <w:autoSpaceDE w:val="0"/>
              <w:autoSpaceDN w:val="0"/>
              <w:adjustRightInd w:val="0"/>
              <w:ind w:left="0"/>
              <w:rPr>
                <w:color w:val="000000" w:themeColor="text1"/>
              </w:rPr>
            </w:pPr>
            <w:r w:rsidRPr="00CE4976">
              <w:rPr>
                <w:b/>
                <w:bCs/>
                <w:color w:val="000000" w:themeColor="text1"/>
              </w:rPr>
              <w:t>Units</w:t>
            </w:r>
          </w:p>
        </w:tc>
        <w:tc>
          <w:tcPr>
            <w:tcW w:w="1559" w:type="dxa"/>
          </w:tcPr>
          <w:p w14:paraId="7A053FC5" w14:textId="77777777" w:rsidR="007B143E" w:rsidRPr="00CE4976" w:rsidRDefault="007B143E" w:rsidP="005565CF">
            <w:pPr>
              <w:pStyle w:val="ListParagraph"/>
              <w:autoSpaceDE w:val="0"/>
              <w:autoSpaceDN w:val="0"/>
              <w:adjustRightInd w:val="0"/>
              <w:ind w:left="0"/>
              <w:rPr>
                <w:color w:val="000000" w:themeColor="text1"/>
              </w:rPr>
            </w:pPr>
            <w:r w:rsidRPr="00CE4976">
              <w:rPr>
                <w:b/>
                <w:bCs/>
                <w:color w:val="000000" w:themeColor="text1"/>
              </w:rPr>
              <w:t>B grade</w:t>
            </w:r>
          </w:p>
        </w:tc>
      </w:tr>
      <w:tr w:rsidR="007B143E" w:rsidRPr="00CE4976" w14:paraId="63EEA6E3" w14:textId="77777777" w:rsidTr="00D4654A">
        <w:tc>
          <w:tcPr>
            <w:tcW w:w="2300" w:type="dxa"/>
          </w:tcPr>
          <w:p w14:paraId="757DFC05" w14:textId="77777777" w:rsidR="007B143E" w:rsidRPr="00CE4976" w:rsidRDefault="007B143E" w:rsidP="005565CF">
            <w:pPr>
              <w:pStyle w:val="ListParagraph"/>
              <w:autoSpaceDE w:val="0"/>
              <w:autoSpaceDN w:val="0"/>
              <w:adjustRightInd w:val="0"/>
              <w:ind w:left="0"/>
              <w:rPr>
                <w:color w:val="000000" w:themeColor="text1"/>
              </w:rPr>
            </w:pPr>
            <w:r w:rsidRPr="00CE4976">
              <w:rPr>
                <w:color w:val="000000" w:themeColor="text1"/>
              </w:rPr>
              <w:t>Calorific value</w:t>
            </w:r>
          </w:p>
        </w:tc>
        <w:tc>
          <w:tcPr>
            <w:tcW w:w="2693" w:type="dxa"/>
          </w:tcPr>
          <w:p w14:paraId="7D3A4CB1" w14:textId="77777777" w:rsidR="007B143E" w:rsidRPr="00CE4976" w:rsidRDefault="007B143E" w:rsidP="005565CF">
            <w:pPr>
              <w:pStyle w:val="ListParagraph"/>
              <w:autoSpaceDE w:val="0"/>
              <w:autoSpaceDN w:val="0"/>
              <w:adjustRightInd w:val="0"/>
              <w:ind w:left="0"/>
              <w:rPr>
                <w:color w:val="000000" w:themeColor="text1"/>
              </w:rPr>
            </w:pPr>
            <w:r w:rsidRPr="00CE4976">
              <w:rPr>
                <w:color w:val="000000" w:themeColor="text1"/>
              </w:rPr>
              <w:t xml:space="preserve">MJ /kg </w:t>
            </w:r>
          </w:p>
        </w:tc>
        <w:tc>
          <w:tcPr>
            <w:tcW w:w="1559" w:type="dxa"/>
          </w:tcPr>
          <w:p w14:paraId="409D0C53" w14:textId="77777777" w:rsidR="007B143E" w:rsidRPr="00CE4976" w:rsidRDefault="007B143E" w:rsidP="005565CF">
            <w:pPr>
              <w:pStyle w:val="ListParagraph"/>
              <w:autoSpaceDE w:val="0"/>
              <w:autoSpaceDN w:val="0"/>
              <w:adjustRightInd w:val="0"/>
              <w:ind w:left="0"/>
              <w:rPr>
                <w:color w:val="000000" w:themeColor="text1"/>
              </w:rPr>
            </w:pPr>
            <w:r w:rsidRPr="00CE4976">
              <w:rPr>
                <w:color w:val="000000" w:themeColor="text1"/>
              </w:rPr>
              <w:t>&gt;26.5</w:t>
            </w:r>
          </w:p>
        </w:tc>
      </w:tr>
      <w:tr w:rsidR="007B143E" w:rsidRPr="00CE4976" w14:paraId="193D1D7F" w14:textId="77777777" w:rsidTr="00D4654A">
        <w:tc>
          <w:tcPr>
            <w:tcW w:w="2300" w:type="dxa"/>
          </w:tcPr>
          <w:p w14:paraId="55855164" w14:textId="77777777" w:rsidR="007B143E" w:rsidRPr="00CE4976" w:rsidRDefault="007B143E" w:rsidP="005565CF">
            <w:pPr>
              <w:pStyle w:val="ListParagraph"/>
              <w:autoSpaceDE w:val="0"/>
              <w:autoSpaceDN w:val="0"/>
              <w:adjustRightInd w:val="0"/>
              <w:ind w:left="0"/>
              <w:rPr>
                <w:color w:val="000000" w:themeColor="text1"/>
              </w:rPr>
            </w:pPr>
            <w:r w:rsidRPr="00CE4976">
              <w:rPr>
                <w:color w:val="000000" w:themeColor="text1"/>
              </w:rPr>
              <w:t>Total moisture</w:t>
            </w:r>
          </w:p>
        </w:tc>
        <w:tc>
          <w:tcPr>
            <w:tcW w:w="2693" w:type="dxa"/>
          </w:tcPr>
          <w:p w14:paraId="76905DFD" w14:textId="77777777" w:rsidR="007B143E" w:rsidRPr="00CE4976" w:rsidRDefault="007B143E" w:rsidP="005565CF">
            <w:pPr>
              <w:pStyle w:val="ListParagraph"/>
              <w:autoSpaceDE w:val="0"/>
              <w:autoSpaceDN w:val="0"/>
              <w:adjustRightInd w:val="0"/>
              <w:ind w:left="0"/>
              <w:rPr>
                <w:color w:val="000000" w:themeColor="text1"/>
              </w:rPr>
            </w:pPr>
            <w:r w:rsidRPr="00CE4976">
              <w:rPr>
                <w:color w:val="000000" w:themeColor="text1"/>
              </w:rPr>
              <w:t>Maximum % (AR)</w:t>
            </w:r>
          </w:p>
        </w:tc>
        <w:tc>
          <w:tcPr>
            <w:tcW w:w="1559" w:type="dxa"/>
          </w:tcPr>
          <w:p w14:paraId="1B72ABFF" w14:textId="77777777" w:rsidR="007B143E" w:rsidRPr="00CE4976" w:rsidRDefault="007B143E" w:rsidP="005565CF">
            <w:pPr>
              <w:pStyle w:val="ListParagraph"/>
              <w:autoSpaceDE w:val="0"/>
              <w:autoSpaceDN w:val="0"/>
              <w:adjustRightInd w:val="0"/>
              <w:ind w:left="0"/>
              <w:rPr>
                <w:color w:val="000000" w:themeColor="text1"/>
              </w:rPr>
            </w:pPr>
            <w:r>
              <w:rPr>
                <w:color w:val="000000" w:themeColor="text1"/>
              </w:rPr>
              <w:t>4</w:t>
            </w:r>
            <w:r w:rsidRPr="00CE4976">
              <w:rPr>
                <w:color w:val="000000" w:themeColor="text1"/>
              </w:rPr>
              <w:t>.0</w:t>
            </w:r>
          </w:p>
        </w:tc>
      </w:tr>
      <w:tr w:rsidR="007B143E" w:rsidRPr="00CE4976" w14:paraId="3ED83EBE" w14:textId="77777777" w:rsidTr="00D4654A">
        <w:tc>
          <w:tcPr>
            <w:tcW w:w="2300" w:type="dxa"/>
          </w:tcPr>
          <w:p w14:paraId="58A14C07" w14:textId="77777777" w:rsidR="007B143E" w:rsidRPr="00CE4976" w:rsidRDefault="007B143E" w:rsidP="005565CF">
            <w:pPr>
              <w:pStyle w:val="ListParagraph"/>
              <w:autoSpaceDE w:val="0"/>
              <w:autoSpaceDN w:val="0"/>
              <w:adjustRightInd w:val="0"/>
              <w:ind w:left="0"/>
              <w:rPr>
                <w:color w:val="000000" w:themeColor="text1"/>
              </w:rPr>
            </w:pPr>
            <w:r w:rsidRPr="00CE4976">
              <w:rPr>
                <w:color w:val="000000" w:themeColor="text1"/>
              </w:rPr>
              <w:t>Ash</w:t>
            </w:r>
          </w:p>
        </w:tc>
        <w:tc>
          <w:tcPr>
            <w:tcW w:w="2693" w:type="dxa"/>
          </w:tcPr>
          <w:p w14:paraId="3EEE9FE7" w14:textId="77777777" w:rsidR="007B143E" w:rsidRPr="00CE4976" w:rsidRDefault="007B143E" w:rsidP="005565CF">
            <w:pPr>
              <w:pStyle w:val="ListParagraph"/>
              <w:autoSpaceDE w:val="0"/>
              <w:autoSpaceDN w:val="0"/>
              <w:adjustRightInd w:val="0"/>
              <w:ind w:left="0"/>
              <w:rPr>
                <w:color w:val="000000" w:themeColor="text1"/>
              </w:rPr>
            </w:pPr>
            <w:r w:rsidRPr="00CE4976">
              <w:rPr>
                <w:color w:val="000000" w:themeColor="text1"/>
              </w:rPr>
              <w:t>Maximum % (AR)</w:t>
            </w:r>
          </w:p>
        </w:tc>
        <w:tc>
          <w:tcPr>
            <w:tcW w:w="1559" w:type="dxa"/>
          </w:tcPr>
          <w:p w14:paraId="63794851" w14:textId="77777777" w:rsidR="007B143E" w:rsidRPr="00CE4976" w:rsidRDefault="007B143E" w:rsidP="007B143E">
            <w:pPr>
              <w:pStyle w:val="ListParagraph"/>
              <w:autoSpaceDE w:val="0"/>
              <w:autoSpaceDN w:val="0"/>
              <w:adjustRightInd w:val="0"/>
              <w:ind w:left="0"/>
              <w:rPr>
                <w:color w:val="000000" w:themeColor="text1"/>
              </w:rPr>
            </w:pPr>
            <w:r w:rsidRPr="00CE4976">
              <w:rPr>
                <w:color w:val="000000" w:themeColor="text1"/>
              </w:rPr>
              <w:t>1</w:t>
            </w:r>
            <w:r>
              <w:rPr>
                <w:color w:val="000000" w:themeColor="text1"/>
              </w:rPr>
              <w:t>8</w:t>
            </w:r>
            <w:r w:rsidRPr="00CE4976">
              <w:rPr>
                <w:color w:val="000000" w:themeColor="text1"/>
              </w:rPr>
              <w:t>.0</w:t>
            </w:r>
          </w:p>
        </w:tc>
      </w:tr>
      <w:tr w:rsidR="007B143E" w:rsidRPr="00CE4976" w14:paraId="5DE720AC" w14:textId="77777777" w:rsidTr="00D4654A">
        <w:tc>
          <w:tcPr>
            <w:tcW w:w="2300" w:type="dxa"/>
          </w:tcPr>
          <w:p w14:paraId="08EBC768" w14:textId="77777777" w:rsidR="007B143E" w:rsidRPr="00CE4976" w:rsidRDefault="007B143E" w:rsidP="005565CF">
            <w:pPr>
              <w:pStyle w:val="ListParagraph"/>
              <w:autoSpaceDE w:val="0"/>
              <w:autoSpaceDN w:val="0"/>
              <w:adjustRightInd w:val="0"/>
              <w:ind w:left="0"/>
              <w:rPr>
                <w:color w:val="000000" w:themeColor="text1"/>
              </w:rPr>
            </w:pPr>
            <w:r w:rsidRPr="00CE4976">
              <w:rPr>
                <w:color w:val="000000" w:themeColor="text1"/>
              </w:rPr>
              <w:t>Volatile matter</w:t>
            </w:r>
          </w:p>
        </w:tc>
        <w:tc>
          <w:tcPr>
            <w:tcW w:w="2693" w:type="dxa"/>
          </w:tcPr>
          <w:p w14:paraId="584DA617" w14:textId="77777777" w:rsidR="007B143E" w:rsidRPr="00CE4976" w:rsidRDefault="007B143E" w:rsidP="005565CF">
            <w:pPr>
              <w:pStyle w:val="ListParagraph"/>
              <w:autoSpaceDE w:val="0"/>
              <w:autoSpaceDN w:val="0"/>
              <w:adjustRightInd w:val="0"/>
              <w:ind w:left="0"/>
              <w:rPr>
                <w:color w:val="000000" w:themeColor="text1"/>
              </w:rPr>
            </w:pPr>
            <w:r w:rsidRPr="00CE4976">
              <w:rPr>
                <w:color w:val="000000" w:themeColor="text1"/>
              </w:rPr>
              <w:t>Minimum % (AR)</w:t>
            </w:r>
          </w:p>
        </w:tc>
        <w:tc>
          <w:tcPr>
            <w:tcW w:w="1559" w:type="dxa"/>
          </w:tcPr>
          <w:p w14:paraId="35E99ADF" w14:textId="77777777" w:rsidR="007B143E" w:rsidRPr="00CE4976" w:rsidRDefault="007B143E" w:rsidP="005565CF">
            <w:pPr>
              <w:pStyle w:val="ListParagraph"/>
              <w:autoSpaceDE w:val="0"/>
              <w:autoSpaceDN w:val="0"/>
              <w:adjustRightInd w:val="0"/>
              <w:ind w:left="0"/>
              <w:rPr>
                <w:color w:val="000000" w:themeColor="text1"/>
              </w:rPr>
            </w:pPr>
            <w:r w:rsidRPr="00CE4976">
              <w:rPr>
                <w:color w:val="000000" w:themeColor="text1"/>
              </w:rPr>
              <w:t>23.0</w:t>
            </w:r>
          </w:p>
        </w:tc>
      </w:tr>
      <w:tr w:rsidR="007B143E" w:rsidRPr="00CE4976" w14:paraId="5F70C773" w14:textId="77777777" w:rsidTr="00D4654A">
        <w:tc>
          <w:tcPr>
            <w:tcW w:w="2300" w:type="dxa"/>
          </w:tcPr>
          <w:p w14:paraId="06DD4127" w14:textId="77777777" w:rsidR="007B143E" w:rsidRPr="00CE4976" w:rsidRDefault="007B143E" w:rsidP="005565CF">
            <w:pPr>
              <w:pStyle w:val="ListParagraph"/>
              <w:autoSpaceDE w:val="0"/>
              <w:autoSpaceDN w:val="0"/>
              <w:adjustRightInd w:val="0"/>
              <w:ind w:left="0"/>
              <w:rPr>
                <w:color w:val="000000" w:themeColor="text1"/>
              </w:rPr>
            </w:pPr>
            <w:r w:rsidRPr="00CE4976">
              <w:rPr>
                <w:color w:val="000000" w:themeColor="text1"/>
              </w:rPr>
              <w:t>Sulphur</w:t>
            </w:r>
          </w:p>
        </w:tc>
        <w:tc>
          <w:tcPr>
            <w:tcW w:w="2693" w:type="dxa"/>
          </w:tcPr>
          <w:p w14:paraId="71192066" w14:textId="77777777" w:rsidR="007B143E" w:rsidRPr="00CE4976" w:rsidRDefault="007B143E" w:rsidP="005565CF">
            <w:pPr>
              <w:pStyle w:val="ListParagraph"/>
              <w:autoSpaceDE w:val="0"/>
              <w:autoSpaceDN w:val="0"/>
              <w:adjustRightInd w:val="0"/>
              <w:ind w:left="0"/>
              <w:rPr>
                <w:color w:val="000000" w:themeColor="text1"/>
              </w:rPr>
            </w:pPr>
            <w:r w:rsidRPr="00CE4976">
              <w:rPr>
                <w:color w:val="000000" w:themeColor="text1"/>
              </w:rPr>
              <w:t>Maximum % (AR)</w:t>
            </w:r>
          </w:p>
        </w:tc>
        <w:tc>
          <w:tcPr>
            <w:tcW w:w="1559" w:type="dxa"/>
          </w:tcPr>
          <w:p w14:paraId="6BFCE1D6" w14:textId="77777777" w:rsidR="007B143E" w:rsidRPr="00CE4976" w:rsidRDefault="007B143E" w:rsidP="005565CF">
            <w:pPr>
              <w:pStyle w:val="ListParagraph"/>
              <w:autoSpaceDE w:val="0"/>
              <w:autoSpaceDN w:val="0"/>
              <w:adjustRightInd w:val="0"/>
              <w:ind w:left="0"/>
              <w:rPr>
                <w:color w:val="000000" w:themeColor="text1"/>
              </w:rPr>
            </w:pPr>
            <w:r>
              <w:rPr>
                <w:color w:val="000000" w:themeColor="text1"/>
              </w:rPr>
              <w:t>0</w:t>
            </w:r>
            <w:r w:rsidRPr="00CE4976">
              <w:rPr>
                <w:color w:val="000000" w:themeColor="text1"/>
              </w:rPr>
              <w:t>.0</w:t>
            </w:r>
            <w:r>
              <w:rPr>
                <w:color w:val="000000" w:themeColor="text1"/>
              </w:rPr>
              <w:t>2</w:t>
            </w:r>
          </w:p>
        </w:tc>
      </w:tr>
    </w:tbl>
    <w:p w14:paraId="04A07899" w14:textId="77777777" w:rsidR="005565CF" w:rsidRDefault="005565CF" w:rsidP="005565CF">
      <w:pPr>
        <w:widowControl/>
        <w:autoSpaceDE w:val="0"/>
        <w:autoSpaceDN w:val="0"/>
        <w:adjustRightInd w:val="0"/>
        <w:spacing w:before="0" w:after="0" w:line="240" w:lineRule="auto"/>
        <w:outlineLvl w:val="9"/>
        <w:rPr>
          <w:color w:val="000000" w:themeColor="text1"/>
        </w:rPr>
      </w:pPr>
      <w:r w:rsidRPr="000F5EFE">
        <w:rPr>
          <w:b/>
          <w:bCs/>
          <w:color w:val="000000" w:themeColor="text1"/>
          <w:sz w:val="14"/>
          <w:szCs w:val="14"/>
        </w:rPr>
        <w:tab/>
        <w:t>Domestic coal specifications</w:t>
      </w:r>
      <w:r w:rsidRPr="000F5EFE">
        <w:rPr>
          <w:color w:val="000000" w:themeColor="text1"/>
          <w:sz w:val="14"/>
          <w:szCs w:val="14"/>
        </w:rPr>
        <w:t xml:space="preserve"> (Source: South African Classification, 2009)</w:t>
      </w:r>
      <w:r w:rsidRPr="000F5EFE">
        <w:rPr>
          <w:color w:val="000000" w:themeColor="text1"/>
          <w:sz w:val="14"/>
          <w:szCs w:val="14"/>
        </w:rPr>
        <w:br/>
      </w:r>
    </w:p>
    <w:p w14:paraId="62FB6BF0" w14:textId="7508F2BD" w:rsidR="005565CF" w:rsidRPr="00CE4976" w:rsidRDefault="001A60EF" w:rsidP="00036E6E">
      <w:pPr>
        <w:widowControl/>
        <w:autoSpaceDE w:val="0"/>
        <w:autoSpaceDN w:val="0"/>
        <w:adjustRightInd w:val="0"/>
        <w:spacing w:before="0" w:after="0" w:line="240" w:lineRule="auto"/>
        <w:outlineLvl w:val="9"/>
        <w:rPr>
          <w:color w:val="000000" w:themeColor="text1"/>
        </w:rPr>
      </w:pPr>
      <w:r>
        <w:rPr>
          <w:color w:val="000000" w:themeColor="text1"/>
        </w:rPr>
        <w:t xml:space="preserve">Necsa requires </w:t>
      </w:r>
      <w:r w:rsidR="00316C87">
        <w:rPr>
          <w:color w:val="000000" w:themeColor="text1"/>
        </w:rPr>
        <w:t xml:space="preserve">Grade </w:t>
      </w:r>
      <w:r>
        <w:rPr>
          <w:color w:val="000000" w:themeColor="text1"/>
        </w:rPr>
        <w:t xml:space="preserve">B </w:t>
      </w:r>
      <w:r w:rsidR="00316C87">
        <w:rPr>
          <w:color w:val="000000" w:themeColor="text1"/>
        </w:rPr>
        <w:t xml:space="preserve">Coal Peas </w:t>
      </w:r>
      <w:r>
        <w:rPr>
          <w:color w:val="000000" w:themeColor="text1"/>
        </w:rPr>
        <w:t xml:space="preserve">according to the specification provided. </w:t>
      </w:r>
      <w:r w:rsidR="00316C87">
        <w:rPr>
          <w:color w:val="000000" w:themeColor="text1"/>
        </w:rPr>
        <w:t xml:space="preserve"> </w:t>
      </w:r>
      <w:r w:rsidR="005565CF" w:rsidRPr="00CE4976">
        <w:rPr>
          <w:color w:val="000000" w:themeColor="text1"/>
        </w:rPr>
        <w:t>Physical properties undergo active screening. Three coal products, according to size are consumed domestically:</w:t>
      </w:r>
    </w:p>
    <w:p w14:paraId="6268CF92" w14:textId="77777777" w:rsidR="005565CF" w:rsidRPr="00CE4976" w:rsidRDefault="005565CF" w:rsidP="005565CF">
      <w:pPr>
        <w:pStyle w:val="ListParagraph"/>
        <w:widowControl/>
        <w:autoSpaceDE w:val="0"/>
        <w:autoSpaceDN w:val="0"/>
        <w:adjustRightInd w:val="0"/>
        <w:spacing w:before="0" w:after="0" w:line="240" w:lineRule="auto"/>
        <w:ind w:left="851"/>
        <w:outlineLvl w:val="9"/>
        <w:rPr>
          <w:color w:val="000000" w:themeColor="text1"/>
        </w:rPr>
      </w:pPr>
    </w:p>
    <w:p w14:paraId="69EFF7C4" w14:textId="77777777" w:rsidR="005565CF" w:rsidRPr="00CE4976" w:rsidRDefault="005565CF" w:rsidP="005565CF">
      <w:pPr>
        <w:pStyle w:val="ListParagraph"/>
        <w:widowControl/>
        <w:numPr>
          <w:ilvl w:val="0"/>
          <w:numId w:val="25"/>
        </w:numPr>
        <w:tabs>
          <w:tab w:val="left" w:pos="851"/>
        </w:tabs>
        <w:autoSpaceDE w:val="0"/>
        <w:autoSpaceDN w:val="0"/>
        <w:adjustRightInd w:val="0"/>
        <w:spacing w:before="0" w:after="0" w:line="240" w:lineRule="auto"/>
        <w:ind w:left="1276" w:hanging="425"/>
        <w:outlineLvl w:val="9"/>
        <w:rPr>
          <w:color w:val="000000" w:themeColor="text1"/>
        </w:rPr>
      </w:pPr>
      <w:r w:rsidRPr="00CE4976">
        <w:rPr>
          <w:color w:val="000000" w:themeColor="text1"/>
        </w:rPr>
        <w:t>Duff – 0 to 6 mm</w:t>
      </w:r>
    </w:p>
    <w:p w14:paraId="36011157" w14:textId="77777777" w:rsidR="005565CF" w:rsidRPr="00CE4976" w:rsidRDefault="005565CF" w:rsidP="005565CF">
      <w:pPr>
        <w:pStyle w:val="ListParagraph"/>
        <w:widowControl/>
        <w:numPr>
          <w:ilvl w:val="0"/>
          <w:numId w:val="25"/>
        </w:numPr>
        <w:tabs>
          <w:tab w:val="left" w:pos="851"/>
        </w:tabs>
        <w:autoSpaceDE w:val="0"/>
        <w:autoSpaceDN w:val="0"/>
        <w:adjustRightInd w:val="0"/>
        <w:spacing w:before="0" w:after="0" w:line="240" w:lineRule="auto"/>
        <w:ind w:left="1276" w:hanging="425"/>
        <w:outlineLvl w:val="9"/>
        <w:rPr>
          <w:color w:val="000000" w:themeColor="text1"/>
        </w:rPr>
      </w:pPr>
      <w:r w:rsidRPr="00CE4976">
        <w:rPr>
          <w:color w:val="000000" w:themeColor="text1"/>
        </w:rPr>
        <w:t>Peas – 6 to 25 mm and</w:t>
      </w:r>
    </w:p>
    <w:p w14:paraId="6203091A" w14:textId="77777777" w:rsidR="005565CF" w:rsidRPr="00CE4976" w:rsidRDefault="005565CF" w:rsidP="005565CF">
      <w:pPr>
        <w:pStyle w:val="ListParagraph"/>
        <w:widowControl/>
        <w:numPr>
          <w:ilvl w:val="0"/>
          <w:numId w:val="25"/>
        </w:numPr>
        <w:tabs>
          <w:tab w:val="left" w:pos="851"/>
        </w:tabs>
        <w:autoSpaceDE w:val="0"/>
        <w:autoSpaceDN w:val="0"/>
        <w:adjustRightInd w:val="0"/>
        <w:spacing w:before="0" w:after="0" w:line="240" w:lineRule="auto"/>
        <w:ind w:left="1276" w:hanging="425"/>
        <w:outlineLvl w:val="9"/>
        <w:rPr>
          <w:color w:val="000000" w:themeColor="text1"/>
        </w:rPr>
      </w:pPr>
      <w:r w:rsidRPr="00CE4976">
        <w:rPr>
          <w:color w:val="000000" w:themeColor="text1"/>
        </w:rPr>
        <w:t>Small nuts – 25 to 40 mm</w:t>
      </w:r>
    </w:p>
    <w:p w14:paraId="298103C3" w14:textId="77777777" w:rsidR="005565CF" w:rsidRPr="000F5EFE" w:rsidRDefault="005565CF" w:rsidP="005565CF">
      <w:pPr>
        <w:widowControl/>
        <w:tabs>
          <w:tab w:val="left" w:pos="851"/>
        </w:tabs>
        <w:autoSpaceDE w:val="0"/>
        <w:autoSpaceDN w:val="0"/>
        <w:adjustRightInd w:val="0"/>
        <w:spacing w:before="0" w:after="0" w:line="240" w:lineRule="auto"/>
        <w:ind w:left="360"/>
        <w:outlineLvl w:val="9"/>
        <w:rPr>
          <w:rStyle w:val="Emphasis"/>
          <w:color w:val="000000" w:themeColor="text1"/>
        </w:rPr>
      </w:pPr>
    </w:p>
    <w:p w14:paraId="557A1718" w14:textId="77777777" w:rsidR="005565CF" w:rsidRDefault="005565CF" w:rsidP="005565CF">
      <w:pPr>
        <w:widowControl/>
        <w:tabs>
          <w:tab w:val="left" w:pos="851"/>
        </w:tabs>
        <w:autoSpaceDE w:val="0"/>
        <w:autoSpaceDN w:val="0"/>
        <w:adjustRightInd w:val="0"/>
        <w:spacing w:before="0" w:after="0" w:line="240" w:lineRule="auto"/>
        <w:ind w:left="851"/>
        <w:outlineLvl w:val="9"/>
        <w:rPr>
          <w:color w:val="000000" w:themeColor="text1"/>
        </w:rPr>
      </w:pPr>
      <w:r w:rsidRPr="000F5EFE">
        <w:rPr>
          <w:rStyle w:val="Emphasis"/>
          <w:color w:val="000000" w:themeColor="text1"/>
        </w:rPr>
        <w:t xml:space="preserve">The size distribution of the supplied coal must be as per Necsa specification </w:t>
      </w:r>
      <w:r w:rsidRPr="000F5EFE">
        <w:rPr>
          <w:color w:val="000000" w:themeColor="text1"/>
        </w:rPr>
        <w:t>US-CON-SPE-0002 Rev.</w:t>
      </w:r>
      <w:r w:rsidR="00316C87">
        <w:rPr>
          <w:color w:val="000000" w:themeColor="text1"/>
        </w:rPr>
        <w:t>02</w:t>
      </w:r>
      <w:r w:rsidR="00C174B4">
        <w:rPr>
          <w:color w:val="000000" w:themeColor="text1"/>
        </w:rPr>
        <w:t xml:space="preserve">. Necsa requires </w:t>
      </w:r>
      <w:r w:rsidR="00316C87">
        <w:rPr>
          <w:color w:val="000000" w:themeColor="text1"/>
        </w:rPr>
        <w:t xml:space="preserve">washed </w:t>
      </w:r>
      <w:r w:rsidR="00C174B4">
        <w:rPr>
          <w:color w:val="000000" w:themeColor="text1"/>
        </w:rPr>
        <w:t>Peas Coal for efficient and effective operation of its facilities.</w:t>
      </w:r>
    </w:p>
    <w:p w14:paraId="47D4E9F5" w14:textId="77777777" w:rsidR="00A35D39" w:rsidRPr="000F5EFE" w:rsidRDefault="00A35D39" w:rsidP="005565CF">
      <w:pPr>
        <w:widowControl/>
        <w:tabs>
          <w:tab w:val="left" w:pos="851"/>
        </w:tabs>
        <w:autoSpaceDE w:val="0"/>
        <w:autoSpaceDN w:val="0"/>
        <w:adjustRightInd w:val="0"/>
        <w:spacing w:before="0" w:after="0" w:line="240" w:lineRule="auto"/>
        <w:ind w:left="851"/>
        <w:outlineLvl w:val="9"/>
        <w:rPr>
          <w:color w:val="000000" w:themeColor="text1"/>
        </w:rPr>
      </w:pPr>
    </w:p>
    <w:p w14:paraId="4E20279B" w14:textId="77777777" w:rsidR="005565CF" w:rsidRDefault="00A35D39" w:rsidP="00A35D39">
      <w:pPr>
        <w:pStyle w:val="Index2"/>
      </w:pPr>
      <w:r>
        <w:t>Abbreviations</w:t>
      </w:r>
    </w:p>
    <w:p w14:paraId="429C49B6" w14:textId="77777777" w:rsidR="00A35D39" w:rsidRDefault="00A35D39" w:rsidP="002E3842">
      <w:pPr>
        <w:pStyle w:val="Index3"/>
        <w:numPr>
          <w:ilvl w:val="0"/>
          <w:numId w:val="0"/>
        </w:numPr>
        <w:ind w:left="851"/>
      </w:pPr>
    </w:p>
    <w:p w14:paraId="00C4B43F" w14:textId="77777777" w:rsidR="00BF1076" w:rsidRDefault="00BF1076" w:rsidP="008F340D">
      <w:pPr>
        <w:pStyle w:val="1Paragraph"/>
      </w:pPr>
      <w:r>
        <w:t xml:space="preserve">B-BBEE - </w:t>
      </w:r>
      <w:r w:rsidRPr="00BF1076">
        <w:t>Broad-Based Black Economic Empowerment</w:t>
      </w:r>
    </w:p>
    <w:p w14:paraId="1543824C" w14:textId="77777777" w:rsidR="00A6159F" w:rsidRDefault="00A6159F" w:rsidP="00A6159F">
      <w:pPr>
        <w:pStyle w:val="1Paragraph"/>
      </w:pPr>
      <w:r>
        <w:t xml:space="preserve">COIDA - Compensation for Occupational </w:t>
      </w:r>
    </w:p>
    <w:p w14:paraId="59EA53EF" w14:textId="77777777" w:rsidR="00A6159F" w:rsidRDefault="000C0D4E" w:rsidP="00A6159F">
      <w:pPr>
        <w:pStyle w:val="1Paragraph"/>
      </w:pPr>
      <w:r>
        <w:t xml:space="preserve">IDA - </w:t>
      </w:r>
      <w:r w:rsidR="00A6159F">
        <w:t>Injuries and Diseases Act</w:t>
      </w:r>
    </w:p>
    <w:p w14:paraId="0DA2D141" w14:textId="77777777" w:rsidR="008F340D" w:rsidRDefault="00C174B4" w:rsidP="008F340D">
      <w:pPr>
        <w:pStyle w:val="1Paragraph"/>
      </w:pPr>
      <w:r>
        <w:t>Necsa – The South African Nuclear Energy Corporation</w:t>
      </w:r>
    </w:p>
    <w:p w14:paraId="3A42691B" w14:textId="77777777" w:rsidR="009D0C1B" w:rsidRDefault="009D0C1B" w:rsidP="008F340D">
      <w:pPr>
        <w:pStyle w:val="1Paragraph"/>
      </w:pPr>
      <w:r>
        <w:t>R – South African Rands</w:t>
      </w:r>
    </w:p>
    <w:p w14:paraId="20C6F705" w14:textId="77777777" w:rsidR="00BF1076" w:rsidRDefault="00BF1076" w:rsidP="008F340D">
      <w:pPr>
        <w:pStyle w:val="1Paragraph"/>
      </w:pPr>
      <w:r>
        <w:t>RSA – Republic of South Africa</w:t>
      </w:r>
    </w:p>
    <w:p w14:paraId="0BFF35DD" w14:textId="77777777" w:rsidR="00A6159F" w:rsidRDefault="00A6159F" w:rsidP="00A6159F">
      <w:pPr>
        <w:pStyle w:val="1Paragraph"/>
      </w:pPr>
      <w:r w:rsidRPr="00A6159F">
        <w:t>SARS</w:t>
      </w:r>
      <w:r>
        <w:t xml:space="preserve"> – South African Revenue Services</w:t>
      </w:r>
    </w:p>
    <w:p w14:paraId="58C217DB" w14:textId="77777777" w:rsidR="00FF2E37" w:rsidRDefault="00FF2E37" w:rsidP="008F340D">
      <w:pPr>
        <w:pStyle w:val="1Paragraph"/>
      </w:pPr>
      <w:r>
        <w:t>SHEQ – Safety, Health, Environment and Quality</w:t>
      </w:r>
    </w:p>
    <w:p w14:paraId="291A0BB8" w14:textId="77777777" w:rsidR="008F340D" w:rsidRDefault="008F340D" w:rsidP="008F340D">
      <w:pPr>
        <w:pStyle w:val="1Paragraph"/>
      </w:pPr>
      <w:r>
        <w:t>SBD</w:t>
      </w:r>
      <w:r w:rsidR="00FE394B">
        <w:t xml:space="preserve"> – Supply Bid Document</w:t>
      </w:r>
    </w:p>
    <w:p w14:paraId="67405F8B" w14:textId="77777777" w:rsidR="008F340D" w:rsidRPr="008F340D" w:rsidRDefault="008F340D" w:rsidP="008F340D">
      <w:pPr>
        <w:pStyle w:val="1Paragraph"/>
      </w:pPr>
      <w:r>
        <w:t>IT</w:t>
      </w:r>
      <w:r w:rsidR="00081FB4">
        <w:t>B</w:t>
      </w:r>
      <w:r w:rsidR="00FE394B">
        <w:t xml:space="preserve"> – Invitation to Bid</w:t>
      </w:r>
    </w:p>
    <w:p w14:paraId="2B9E3F33" w14:textId="77777777" w:rsidR="00A35D39" w:rsidRDefault="009D0C1B" w:rsidP="00A35D39">
      <w:pPr>
        <w:pStyle w:val="1Paragraph"/>
      </w:pPr>
      <w:r>
        <w:t>VAT – Value Added Tax</w:t>
      </w:r>
    </w:p>
    <w:p w14:paraId="70EB49FC" w14:textId="77777777" w:rsidR="009D0C1B" w:rsidRDefault="009D0C1B" w:rsidP="00A35D39">
      <w:pPr>
        <w:pStyle w:val="1Paragraph"/>
      </w:pPr>
    </w:p>
    <w:p w14:paraId="0D824D2C" w14:textId="77777777" w:rsidR="00CE4976" w:rsidRDefault="00CE4976" w:rsidP="00A35D39">
      <w:pPr>
        <w:pStyle w:val="1Paragraph"/>
      </w:pPr>
    </w:p>
    <w:p w14:paraId="5AD757F1" w14:textId="77777777" w:rsidR="00CE4976" w:rsidRPr="00A35D39" w:rsidRDefault="00CE4976" w:rsidP="00A35D39">
      <w:pPr>
        <w:pStyle w:val="1Paragraph"/>
      </w:pPr>
    </w:p>
    <w:p w14:paraId="125592EB" w14:textId="77777777" w:rsidR="00A35D39" w:rsidRPr="00A35D39" w:rsidRDefault="00905AE4" w:rsidP="00A35D39">
      <w:pPr>
        <w:pStyle w:val="Index2"/>
      </w:pPr>
      <w:bookmarkStart w:id="7" w:name="_Toc494699105"/>
      <w:r>
        <w:t>Scope of Work</w:t>
      </w:r>
      <w:bookmarkEnd w:id="7"/>
    </w:p>
    <w:p w14:paraId="77F1F717" w14:textId="77777777" w:rsidR="005565CF" w:rsidRPr="005565CF" w:rsidRDefault="005565CF" w:rsidP="002E3842">
      <w:pPr>
        <w:pStyle w:val="Index3"/>
        <w:numPr>
          <w:ilvl w:val="0"/>
          <w:numId w:val="0"/>
        </w:numPr>
        <w:ind w:left="851"/>
      </w:pPr>
    </w:p>
    <w:p w14:paraId="18A136A0" w14:textId="77777777" w:rsidR="005565CF" w:rsidRPr="000F5EFE" w:rsidRDefault="005565CF" w:rsidP="00D4654A">
      <w:pPr>
        <w:widowControl/>
        <w:spacing w:before="0" w:after="200"/>
        <w:ind w:left="851"/>
        <w:jc w:val="both"/>
        <w:outlineLvl w:val="9"/>
        <w:rPr>
          <w:color w:val="000000" w:themeColor="text1"/>
        </w:rPr>
      </w:pPr>
      <w:r w:rsidRPr="000F5EFE">
        <w:rPr>
          <w:color w:val="000000" w:themeColor="text1"/>
        </w:rPr>
        <w:lastRenderedPageBreak/>
        <w:t xml:space="preserve">The service required is for a Supplier to provide coal to Necsa according to the Specification as required </w:t>
      </w:r>
      <w:r w:rsidR="00A35D39">
        <w:rPr>
          <w:color w:val="000000" w:themeColor="text1"/>
        </w:rPr>
        <w:t>in subsection 3</w:t>
      </w:r>
      <w:r w:rsidRPr="000F5EFE">
        <w:rPr>
          <w:color w:val="000000" w:themeColor="text1"/>
        </w:rPr>
        <w:t xml:space="preserve">.1 of this Document. </w:t>
      </w:r>
      <w:r w:rsidRPr="00CE4976">
        <w:rPr>
          <w:color w:val="000000" w:themeColor="text1"/>
        </w:rPr>
        <w:t xml:space="preserve">The Supplier will supply </w:t>
      </w:r>
      <w:r w:rsidR="000C0D4E">
        <w:rPr>
          <w:color w:val="000000" w:themeColor="text1"/>
        </w:rPr>
        <w:t>coal analysis report</w:t>
      </w:r>
      <w:r w:rsidRPr="00CE4976">
        <w:rPr>
          <w:color w:val="000000" w:themeColor="text1"/>
        </w:rPr>
        <w:t xml:space="preserve"> that indicates both physical and chemical characteristics of the coal offered. The prices will be supplied per metric ton of coal and according to the </w:t>
      </w:r>
      <w:r w:rsidR="0062799F" w:rsidRPr="00CE4976">
        <w:rPr>
          <w:color w:val="000000" w:themeColor="text1"/>
        </w:rPr>
        <w:t xml:space="preserve">required </w:t>
      </w:r>
      <w:r w:rsidRPr="00CE4976">
        <w:rPr>
          <w:color w:val="000000" w:themeColor="text1"/>
        </w:rPr>
        <w:t>grade of the coal on offer.</w:t>
      </w:r>
      <w:r w:rsidRPr="000F5EFE">
        <w:rPr>
          <w:color w:val="000000" w:themeColor="text1"/>
        </w:rPr>
        <w:t xml:space="preserve"> </w:t>
      </w:r>
    </w:p>
    <w:p w14:paraId="7BB968F8" w14:textId="77777777" w:rsidR="005565CF" w:rsidRPr="000F5EFE" w:rsidRDefault="005565CF" w:rsidP="00D4654A">
      <w:pPr>
        <w:widowControl/>
        <w:spacing w:before="0" w:after="200"/>
        <w:ind w:left="851"/>
        <w:jc w:val="both"/>
        <w:outlineLvl w:val="9"/>
        <w:rPr>
          <w:color w:val="000000" w:themeColor="text1"/>
        </w:rPr>
      </w:pPr>
      <w:r w:rsidRPr="000F5EFE">
        <w:rPr>
          <w:color w:val="000000" w:themeColor="text1"/>
        </w:rPr>
        <w:t xml:space="preserve">A supply contract for three (3) years to deliver quality coal will be signed with </w:t>
      </w:r>
      <w:r w:rsidR="000C0D4E">
        <w:rPr>
          <w:color w:val="000000" w:themeColor="text1"/>
        </w:rPr>
        <w:t xml:space="preserve">a panel </w:t>
      </w:r>
      <w:proofErr w:type="gramStart"/>
      <w:r w:rsidR="000C0D4E">
        <w:rPr>
          <w:color w:val="000000" w:themeColor="text1"/>
        </w:rPr>
        <w:t xml:space="preserve">of </w:t>
      </w:r>
      <w:r w:rsidRPr="000F5EFE">
        <w:rPr>
          <w:color w:val="000000" w:themeColor="text1"/>
        </w:rPr>
        <w:t xml:space="preserve"> preferred</w:t>
      </w:r>
      <w:proofErr w:type="gramEnd"/>
      <w:r w:rsidRPr="000F5EFE">
        <w:rPr>
          <w:color w:val="000000" w:themeColor="text1"/>
        </w:rPr>
        <w:t xml:space="preserve"> bidder</w:t>
      </w:r>
      <w:r w:rsidR="000C0D4E">
        <w:rPr>
          <w:color w:val="000000" w:themeColor="text1"/>
        </w:rPr>
        <w:t>s</w:t>
      </w:r>
      <w:r w:rsidR="00C75B53">
        <w:rPr>
          <w:color w:val="000000" w:themeColor="text1"/>
        </w:rPr>
        <w:t>(the three highest scoring suppliers)</w:t>
      </w:r>
      <w:r w:rsidRPr="000F5EFE">
        <w:rPr>
          <w:color w:val="000000" w:themeColor="text1"/>
        </w:rPr>
        <w:t>.</w:t>
      </w:r>
      <w:r w:rsidR="000C0D4E">
        <w:rPr>
          <w:color w:val="000000" w:themeColor="text1"/>
        </w:rPr>
        <w:t xml:space="preserve">  The panel of preferred bidders will at least be two (2) to ensure that there is security of supply consistently to Necsa.  Over the 3 years period, the full contract will be apportioned </w:t>
      </w:r>
      <w:r w:rsidR="00691D2C">
        <w:rPr>
          <w:color w:val="000000" w:themeColor="text1"/>
        </w:rPr>
        <w:t>equally between the selected bidders.  Delivery schedules will be discussed and agreed upon with the appointed bidders.</w:t>
      </w:r>
      <w:r w:rsidR="00C75B53">
        <w:rPr>
          <w:color w:val="000000" w:themeColor="text1"/>
        </w:rPr>
        <w:t xml:space="preserve"> </w:t>
      </w:r>
    </w:p>
    <w:p w14:paraId="12FCF1ED" w14:textId="77777777" w:rsidR="005565CF" w:rsidRPr="000F5EFE" w:rsidRDefault="005565CF" w:rsidP="00D4654A">
      <w:pPr>
        <w:widowControl/>
        <w:spacing w:before="0" w:after="200"/>
        <w:ind w:left="851"/>
        <w:jc w:val="both"/>
        <w:outlineLvl w:val="9"/>
        <w:rPr>
          <w:color w:val="000000" w:themeColor="text1"/>
        </w:rPr>
      </w:pPr>
      <w:r w:rsidRPr="00CE4976">
        <w:rPr>
          <w:color w:val="000000" w:themeColor="text1"/>
        </w:rPr>
        <w:t xml:space="preserve">All consignments of coal supplied in terms of this agreement will be mass-measured by using </w:t>
      </w:r>
      <w:proofErr w:type="spellStart"/>
      <w:r w:rsidRPr="00CE4976">
        <w:rPr>
          <w:color w:val="000000" w:themeColor="text1"/>
        </w:rPr>
        <w:t>Necsa’s</w:t>
      </w:r>
      <w:proofErr w:type="spellEnd"/>
      <w:r w:rsidRPr="00CE4976">
        <w:rPr>
          <w:color w:val="000000" w:themeColor="text1"/>
        </w:rPr>
        <w:t xml:space="preserve"> weighbridge. Masses so determined will be recorded on the Supplier’s delivery note as well as on </w:t>
      </w:r>
      <w:proofErr w:type="spellStart"/>
      <w:r w:rsidRPr="00CE4976">
        <w:rPr>
          <w:color w:val="000000" w:themeColor="text1"/>
        </w:rPr>
        <w:t>Necsa’s</w:t>
      </w:r>
      <w:proofErr w:type="spellEnd"/>
      <w:r w:rsidRPr="00CE4976">
        <w:rPr>
          <w:color w:val="000000" w:themeColor="text1"/>
        </w:rPr>
        <w:t xml:space="preserve"> receipt, and a copy of the weighbridge certificate must be affixed to each of these documents.</w:t>
      </w:r>
      <w:r w:rsidR="001A60EF">
        <w:rPr>
          <w:color w:val="000000" w:themeColor="text1"/>
        </w:rPr>
        <w:t xml:space="preserve"> The transporters should note that the delivery trucks must not be back tippers due to height restrictions at the offloading points.  The maximum allowable length of the horse and trailer is 20m to allow for the weighing of coal by Necsa.</w:t>
      </w:r>
      <w:r w:rsidR="00691D2C">
        <w:rPr>
          <w:color w:val="000000" w:themeColor="text1"/>
        </w:rPr>
        <w:t xml:space="preserve">  In cases were the horse and trailer exceed 20m, an alternative weighing by Necsa will be done and this will be accepted by the bidder as correct.</w:t>
      </w:r>
    </w:p>
    <w:p w14:paraId="0CD9C015" w14:textId="77777777" w:rsidR="005565CF" w:rsidRPr="000A39A9" w:rsidRDefault="005565CF" w:rsidP="00D4654A">
      <w:pPr>
        <w:widowControl/>
        <w:spacing w:before="0" w:after="200"/>
        <w:ind w:left="851"/>
        <w:jc w:val="both"/>
        <w:outlineLvl w:val="9"/>
        <w:rPr>
          <w:color w:val="000000" w:themeColor="text1"/>
        </w:rPr>
      </w:pPr>
      <w:r w:rsidRPr="00CE4976">
        <w:rPr>
          <w:color w:val="000000" w:themeColor="text1"/>
        </w:rPr>
        <w:t xml:space="preserve">The Supplier shall provide Necsa with coal analysis (chemical and physical) </w:t>
      </w:r>
      <w:r w:rsidR="0064408D">
        <w:rPr>
          <w:color w:val="000000" w:themeColor="text1"/>
        </w:rPr>
        <w:t xml:space="preserve">from an accredited laboratory </w:t>
      </w:r>
      <w:r w:rsidRPr="00CE4976">
        <w:rPr>
          <w:color w:val="000000" w:themeColor="text1"/>
        </w:rPr>
        <w:t xml:space="preserve">with reference to </w:t>
      </w:r>
      <w:proofErr w:type="spellStart"/>
      <w:r w:rsidRPr="00CE4976">
        <w:rPr>
          <w:color w:val="000000" w:themeColor="text1"/>
        </w:rPr>
        <w:t>Necsa’s</w:t>
      </w:r>
      <w:proofErr w:type="spellEnd"/>
      <w:r w:rsidRPr="00CE4976">
        <w:rPr>
          <w:color w:val="000000" w:themeColor="text1"/>
        </w:rPr>
        <w:t xml:space="preserve"> specification</w:t>
      </w:r>
      <w:r w:rsidR="0062799F" w:rsidRPr="00CE4976">
        <w:rPr>
          <w:color w:val="000000" w:themeColor="text1"/>
        </w:rPr>
        <w:t xml:space="preserve">, referencing the </w:t>
      </w:r>
      <w:r w:rsidR="0064408D">
        <w:rPr>
          <w:color w:val="000000" w:themeColor="text1"/>
        </w:rPr>
        <w:t>batch of coal</w:t>
      </w:r>
      <w:r w:rsidR="0062799F" w:rsidRPr="00CE4976">
        <w:rPr>
          <w:color w:val="000000" w:themeColor="text1"/>
        </w:rPr>
        <w:t xml:space="preserve"> for which this is valid</w:t>
      </w:r>
      <w:r w:rsidRPr="00CE4976">
        <w:rPr>
          <w:color w:val="000000" w:themeColor="text1"/>
        </w:rPr>
        <w:t>.</w:t>
      </w:r>
    </w:p>
    <w:p w14:paraId="18AA94D6" w14:textId="77777777" w:rsidR="005565CF" w:rsidRPr="00CE4976" w:rsidRDefault="005565CF" w:rsidP="00D4654A">
      <w:pPr>
        <w:widowControl/>
        <w:spacing w:before="0" w:after="200"/>
        <w:ind w:left="851"/>
        <w:jc w:val="both"/>
        <w:outlineLvl w:val="9"/>
        <w:rPr>
          <w:color w:val="000000" w:themeColor="text1"/>
        </w:rPr>
      </w:pPr>
      <w:r w:rsidRPr="00CE4976">
        <w:rPr>
          <w:color w:val="000000" w:themeColor="text1"/>
        </w:rPr>
        <w:t xml:space="preserve">Coal must be supplied </w:t>
      </w:r>
      <w:r w:rsidR="0062799F" w:rsidRPr="00CE4976">
        <w:rPr>
          <w:color w:val="000000" w:themeColor="text1"/>
        </w:rPr>
        <w:t>from a mine that is registered for the provision of such coal with the Department of Mineral</w:t>
      </w:r>
      <w:r w:rsidR="0064408D">
        <w:rPr>
          <w:color w:val="000000" w:themeColor="text1"/>
        </w:rPr>
        <w:t xml:space="preserve"> </w:t>
      </w:r>
      <w:proofErr w:type="gramStart"/>
      <w:r w:rsidR="0064408D">
        <w:rPr>
          <w:color w:val="000000" w:themeColor="text1"/>
        </w:rPr>
        <w:t xml:space="preserve">Resources </w:t>
      </w:r>
      <w:r w:rsidR="000A39A9">
        <w:rPr>
          <w:color w:val="000000" w:themeColor="text1"/>
        </w:rPr>
        <w:t xml:space="preserve"> and</w:t>
      </w:r>
      <w:proofErr w:type="gramEnd"/>
      <w:r w:rsidR="000A39A9">
        <w:rPr>
          <w:color w:val="000000" w:themeColor="text1"/>
        </w:rPr>
        <w:t xml:space="preserve"> Energy</w:t>
      </w:r>
      <w:r w:rsidR="0062799F" w:rsidRPr="00CE4976">
        <w:rPr>
          <w:color w:val="000000" w:themeColor="text1"/>
        </w:rPr>
        <w:t xml:space="preserve">. </w:t>
      </w:r>
      <w:r w:rsidR="0064408D">
        <w:rPr>
          <w:color w:val="000000" w:themeColor="text1"/>
        </w:rPr>
        <w:t xml:space="preserve"> </w:t>
      </w:r>
      <w:r w:rsidRPr="00CE4976">
        <w:rPr>
          <w:color w:val="000000" w:themeColor="text1"/>
        </w:rPr>
        <w:t xml:space="preserve">The supplier must provide proof of official </w:t>
      </w:r>
      <w:r w:rsidR="0064408D">
        <w:rPr>
          <w:color w:val="000000" w:themeColor="text1"/>
        </w:rPr>
        <w:t>agreement</w:t>
      </w:r>
      <w:r w:rsidR="0064408D" w:rsidRPr="00CE4976">
        <w:rPr>
          <w:color w:val="000000" w:themeColor="text1"/>
        </w:rPr>
        <w:t xml:space="preserve"> </w:t>
      </w:r>
      <w:r w:rsidRPr="00CE4976">
        <w:rPr>
          <w:color w:val="000000" w:themeColor="text1"/>
        </w:rPr>
        <w:t xml:space="preserve">made with the Producer or Mine indicating their commitment to supply the supplier with the required coal quality and volumes. If a problem </w:t>
      </w:r>
      <w:proofErr w:type="gramStart"/>
      <w:r w:rsidRPr="00CE4976">
        <w:rPr>
          <w:color w:val="000000" w:themeColor="text1"/>
        </w:rPr>
        <w:t>arise</w:t>
      </w:r>
      <w:proofErr w:type="gramEnd"/>
      <w:r w:rsidRPr="00CE4976">
        <w:rPr>
          <w:color w:val="000000" w:themeColor="text1"/>
        </w:rPr>
        <w:t xml:space="preserve"> for what so ever reason Necsa should be informed immediately.</w:t>
      </w:r>
      <w:r w:rsidR="000A39A9">
        <w:rPr>
          <w:color w:val="000000" w:themeColor="text1"/>
        </w:rPr>
        <w:t xml:space="preserve">  </w:t>
      </w:r>
      <w:r w:rsidR="0064408D">
        <w:rPr>
          <w:color w:val="000000" w:themeColor="text1"/>
        </w:rPr>
        <w:t>The</w:t>
      </w:r>
      <w:r w:rsidR="000A39A9">
        <w:rPr>
          <w:color w:val="000000" w:themeColor="text1"/>
        </w:rPr>
        <w:t xml:space="preserve"> mine should confirm </w:t>
      </w:r>
      <w:proofErr w:type="gramStart"/>
      <w:r w:rsidR="0064408D">
        <w:rPr>
          <w:color w:val="000000" w:themeColor="text1"/>
        </w:rPr>
        <w:t xml:space="preserve">availability </w:t>
      </w:r>
      <w:r w:rsidR="000A39A9">
        <w:rPr>
          <w:color w:val="000000" w:themeColor="text1"/>
        </w:rPr>
        <w:t xml:space="preserve"> of</w:t>
      </w:r>
      <w:proofErr w:type="gramEnd"/>
      <w:r w:rsidR="000A39A9">
        <w:rPr>
          <w:color w:val="000000" w:themeColor="text1"/>
        </w:rPr>
        <w:t xml:space="preserve"> the required quantity and quality of coal</w:t>
      </w:r>
      <w:r w:rsidR="0064408D">
        <w:rPr>
          <w:color w:val="000000" w:themeColor="text1"/>
        </w:rPr>
        <w:t xml:space="preserve"> for the duration of the supplier agreement with Necsa, in this case, 3 year period</w:t>
      </w:r>
      <w:r w:rsidR="000A39A9">
        <w:rPr>
          <w:color w:val="000000" w:themeColor="text1"/>
        </w:rPr>
        <w:t>.</w:t>
      </w:r>
    </w:p>
    <w:p w14:paraId="631C99DA" w14:textId="77777777" w:rsidR="005565CF" w:rsidRPr="000F5EFE" w:rsidRDefault="005565CF" w:rsidP="00D4654A">
      <w:pPr>
        <w:widowControl/>
        <w:spacing w:before="0" w:after="200"/>
        <w:ind w:left="851"/>
        <w:jc w:val="both"/>
        <w:outlineLvl w:val="9"/>
        <w:rPr>
          <w:color w:val="000000" w:themeColor="text1"/>
        </w:rPr>
      </w:pPr>
      <w:r w:rsidRPr="00CE4976">
        <w:rPr>
          <w:color w:val="000000" w:themeColor="text1"/>
        </w:rPr>
        <w:t xml:space="preserve">Necsa reserves the right to refuse acceptance of any consignment of coal which, in its opinion, does not conform to the specification and as laid out in this document, provided that in the event of a dispute between the parties arising from such refusal, the test results of a mutually acceptable independent </w:t>
      </w:r>
      <w:r w:rsidR="0064408D">
        <w:rPr>
          <w:color w:val="000000" w:themeColor="text1"/>
        </w:rPr>
        <w:t xml:space="preserve">accredited </w:t>
      </w:r>
      <w:r w:rsidRPr="00CE4976">
        <w:rPr>
          <w:color w:val="000000" w:themeColor="text1"/>
        </w:rPr>
        <w:t>laboratory shall be decisive.</w:t>
      </w:r>
    </w:p>
    <w:p w14:paraId="5B471E4E" w14:textId="77777777" w:rsidR="005565CF" w:rsidRPr="000F5EFE" w:rsidRDefault="005565CF" w:rsidP="00D4654A">
      <w:pPr>
        <w:widowControl/>
        <w:spacing w:before="0" w:after="200"/>
        <w:ind w:left="851"/>
        <w:jc w:val="both"/>
        <w:outlineLvl w:val="9"/>
        <w:rPr>
          <w:color w:val="000000" w:themeColor="text1"/>
        </w:rPr>
      </w:pPr>
      <w:r w:rsidRPr="000F5EFE">
        <w:rPr>
          <w:color w:val="000000" w:themeColor="text1"/>
        </w:rPr>
        <w:t xml:space="preserve">During this dispute period Necsa retains the right to obtain coal from </w:t>
      </w:r>
      <w:r w:rsidR="0058176B">
        <w:rPr>
          <w:color w:val="000000" w:themeColor="text1"/>
        </w:rPr>
        <w:t>any</w:t>
      </w:r>
      <w:r w:rsidRPr="000F5EFE">
        <w:rPr>
          <w:color w:val="000000" w:themeColor="text1"/>
        </w:rPr>
        <w:t xml:space="preserve"> </w:t>
      </w:r>
      <w:r w:rsidR="000A39A9">
        <w:rPr>
          <w:color w:val="000000" w:themeColor="text1"/>
        </w:rPr>
        <w:t>alternative</w:t>
      </w:r>
      <w:r w:rsidR="000A39A9" w:rsidRPr="000F5EFE">
        <w:rPr>
          <w:color w:val="000000" w:themeColor="text1"/>
        </w:rPr>
        <w:t xml:space="preserve"> </w:t>
      </w:r>
      <w:r w:rsidRPr="000F5EFE">
        <w:rPr>
          <w:color w:val="000000" w:themeColor="text1"/>
        </w:rPr>
        <w:t>supplier.</w:t>
      </w:r>
    </w:p>
    <w:p w14:paraId="52627592" w14:textId="77777777" w:rsidR="005565CF" w:rsidRPr="000F5EFE" w:rsidRDefault="005565CF" w:rsidP="00D4654A">
      <w:pPr>
        <w:widowControl/>
        <w:spacing w:before="0" w:after="200"/>
        <w:ind w:left="851"/>
        <w:jc w:val="both"/>
        <w:outlineLvl w:val="9"/>
        <w:rPr>
          <w:color w:val="000000" w:themeColor="text1"/>
        </w:rPr>
      </w:pPr>
      <w:r w:rsidRPr="00CE4976">
        <w:rPr>
          <w:color w:val="000000" w:themeColor="text1"/>
        </w:rPr>
        <w:t xml:space="preserve">Delivery by the supplier will only take place on weekdays between </w:t>
      </w:r>
      <w:r w:rsidR="000A39A9" w:rsidRPr="00CE4976">
        <w:rPr>
          <w:color w:val="000000" w:themeColor="text1"/>
        </w:rPr>
        <w:t>9</w:t>
      </w:r>
      <w:r w:rsidRPr="00CE4976">
        <w:rPr>
          <w:color w:val="000000" w:themeColor="text1"/>
        </w:rPr>
        <w:t>:00 and 15:00 and after complying with these requirements, will be allowed to off-load in the bunkers provided for this purpose at the East and West sites. In the case of unforeseen circumstances where delivery cannot be made accordingly, arrangements must be made with applicable boiler house’s supervisor</w:t>
      </w:r>
      <w:r w:rsidR="00FF2E37" w:rsidRPr="00CE4976">
        <w:rPr>
          <w:color w:val="000000" w:themeColor="text1"/>
        </w:rPr>
        <w:t xml:space="preserve"> and/or Utilities Manager</w:t>
      </w:r>
      <w:r w:rsidRPr="00CE4976">
        <w:rPr>
          <w:color w:val="000000" w:themeColor="text1"/>
        </w:rPr>
        <w:t xml:space="preserve">; who will ensure that there </w:t>
      </w:r>
      <w:proofErr w:type="gramStart"/>
      <w:r w:rsidRPr="00CE4976">
        <w:rPr>
          <w:color w:val="000000" w:themeColor="text1"/>
        </w:rPr>
        <w:t>is</w:t>
      </w:r>
      <w:proofErr w:type="gramEnd"/>
      <w:r w:rsidRPr="00CE4976">
        <w:rPr>
          <w:color w:val="000000" w:themeColor="text1"/>
        </w:rPr>
        <w:t xml:space="preserve"> quality inspections on all deliveries</w:t>
      </w:r>
      <w:r w:rsidR="0058176B" w:rsidRPr="00CE4976">
        <w:rPr>
          <w:color w:val="000000" w:themeColor="text1"/>
        </w:rPr>
        <w:t xml:space="preserve"> as well as the weighing of the coal</w:t>
      </w:r>
      <w:r w:rsidRPr="00CE4976">
        <w:rPr>
          <w:color w:val="000000" w:themeColor="text1"/>
        </w:rPr>
        <w:t>.</w:t>
      </w:r>
    </w:p>
    <w:p w14:paraId="264536B6" w14:textId="77777777" w:rsidR="005565CF" w:rsidRPr="000F5EFE" w:rsidRDefault="005565CF" w:rsidP="00D4654A">
      <w:pPr>
        <w:widowControl/>
        <w:spacing w:before="0" w:after="200"/>
        <w:ind w:left="851"/>
        <w:jc w:val="both"/>
        <w:outlineLvl w:val="9"/>
        <w:rPr>
          <w:color w:val="000000" w:themeColor="text1"/>
        </w:rPr>
      </w:pPr>
      <w:r w:rsidRPr="000F5EFE">
        <w:rPr>
          <w:color w:val="000000" w:themeColor="text1"/>
        </w:rPr>
        <w:t xml:space="preserve">The Supplier must comply with </w:t>
      </w:r>
      <w:proofErr w:type="spellStart"/>
      <w:r w:rsidRPr="000F5EFE">
        <w:rPr>
          <w:color w:val="000000" w:themeColor="text1"/>
        </w:rPr>
        <w:t>Necsa’s</w:t>
      </w:r>
      <w:proofErr w:type="spellEnd"/>
      <w:r w:rsidRPr="000F5EFE">
        <w:rPr>
          <w:color w:val="000000" w:themeColor="text1"/>
        </w:rPr>
        <w:t xml:space="preserve"> SHEQ and Security regulations as applicable.</w:t>
      </w:r>
      <w:r w:rsidR="0058176B">
        <w:rPr>
          <w:color w:val="000000" w:themeColor="text1"/>
        </w:rPr>
        <w:t xml:space="preserve"> To this end, should the trucking company have drivers that are non-South Africans that will be delivering coal, this should be indicated in the bid document as a security screening will be required and until such time that this is done, the drivers will </w:t>
      </w:r>
      <w:r w:rsidR="0064408D">
        <w:rPr>
          <w:color w:val="000000" w:themeColor="text1"/>
        </w:rPr>
        <w:t xml:space="preserve">not be allowed into the Necsa site. All coal delivery trucks will </w:t>
      </w:r>
      <w:r w:rsidR="00FF2E37">
        <w:rPr>
          <w:color w:val="000000" w:themeColor="text1"/>
        </w:rPr>
        <w:t xml:space="preserve">be escorted by security </w:t>
      </w:r>
      <w:r w:rsidR="0064408D">
        <w:rPr>
          <w:color w:val="000000" w:themeColor="text1"/>
        </w:rPr>
        <w:t xml:space="preserve">or Necsa personnel </w:t>
      </w:r>
      <w:r w:rsidR="00FF2E37">
        <w:rPr>
          <w:color w:val="000000" w:themeColor="text1"/>
        </w:rPr>
        <w:t xml:space="preserve">at all times in order to </w:t>
      </w:r>
      <w:r w:rsidR="003C4B3D">
        <w:rPr>
          <w:color w:val="000000" w:themeColor="text1"/>
        </w:rPr>
        <w:t>offload coal</w:t>
      </w:r>
      <w:r w:rsidR="0058176B">
        <w:rPr>
          <w:color w:val="000000" w:themeColor="text1"/>
        </w:rPr>
        <w:t>.</w:t>
      </w:r>
      <w:r w:rsidR="00FF2E37">
        <w:rPr>
          <w:color w:val="000000" w:themeColor="text1"/>
        </w:rPr>
        <w:t xml:space="preserve"> </w:t>
      </w:r>
      <w:r w:rsidR="003C4B3D">
        <w:rPr>
          <w:color w:val="000000" w:themeColor="text1"/>
        </w:rPr>
        <w:t xml:space="preserve">The ID or Passport </w:t>
      </w:r>
      <w:r w:rsidR="00616F82">
        <w:rPr>
          <w:color w:val="000000" w:themeColor="text1"/>
        </w:rPr>
        <w:t xml:space="preserve">(whichever applicable) </w:t>
      </w:r>
      <w:r w:rsidR="003C4B3D">
        <w:rPr>
          <w:color w:val="000000" w:themeColor="text1"/>
        </w:rPr>
        <w:t xml:space="preserve">of the drivers are required to </w:t>
      </w:r>
      <w:r w:rsidR="00B81BCE">
        <w:rPr>
          <w:color w:val="000000" w:themeColor="text1"/>
        </w:rPr>
        <w:t>be sent</w:t>
      </w:r>
      <w:r w:rsidR="00616F82">
        <w:rPr>
          <w:color w:val="000000" w:themeColor="text1"/>
        </w:rPr>
        <w:t xml:space="preserve"> prior to delivery and originals presented </w:t>
      </w:r>
      <w:r w:rsidR="00FE652A">
        <w:rPr>
          <w:color w:val="000000" w:themeColor="text1"/>
        </w:rPr>
        <w:t>at the security gate</w:t>
      </w:r>
      <w:r w:rsidR="0064408D">
        <w:rPr>
          <w:color w:val="000000" w:themeColor="text1"/>
        </w:rPr>
        <w:t xml:space="preserve"> reception</w:t>
      </w:r>
      <w:r w:rsidR="00FE652A">
        <w:rPr>
          <w:color w:val="000000" w:themeColor="text1"/>
        </w:rPr>
        <w:t>.</w:t>
      </w:r>
    </w:p>
    <w:p w14:paraId="4850A155" w14:textId="77777777" w:rsidR="005565CF" w:rsidRPr="000F5EFE" w:rsidRDefault="005565CF" w:rsidP="00D4654A">
      <w:pPr>
        <w:widowControl/>
        <w:spacing w:before="0" w:after="200"/>
        <w:ind w:left="851"/>
        <w:jc w:val="both"/>
        <w:outlineLvl w:val="9"/>
        <w:rPr>
          <w:color w:val="000000" w:themeColor="text1"/>
        </w:rPr>
      </w:pPr>
      <w:r w:rsidRPr="000F5EFE">
        <w:rPr>
          <w:color w:val="000000" w:themeColor="text1"/>
        </w:rPr>
        <w:lastRenderedPageBreak/>
        <w:t xml:space="preserve">Price per metric ton of coal </w:t>
      </w:r>
      <w:r w:rsidR="0058176B">
        <w:rPr>
          <w:color w:val="000000" w:themeColor="text1"/>
        </w:rPr>
        <w:t>must</w:t>
      </w:r>
      <w:r w:rsidR="0058176B" w:rsidRPr="000F5EFE">
        <w:rPr>
          <w:color w:val="000000" w:themeColor="text1"/>
        </w:rPr>
        <w:t xml:space="preserve"> </w:t>
      </w:r>
      <w:r w:rsidRPr="000F5EFE">
        <w:rPr>
          <w:color w:val="000000" w:themeColor="text1"/>
        </w:rPr>
        <w:t>also indicate the transport component in the price.</w:t>
      </w:r>
    </w:p>
    <w:p w14:paraId="584A2314" w14:textId="77777777" w:rsidR="005565CF" w:rsidRDefault="005565CF" w:rsidP="00E7728F">
      <w:pPr>
        <w:pStyle w:val="1Paragraph"/>
      </w:pPr>
    </w:p>
    <w:p w14:paraId="2F309101" w14:textId="77777777" w:rsidR="00E87E22" w:rsidRDefault="00905AE4">
      <w:pPr>
        <w:pStyle w:val="1Paragraph"/>
      </w:pPr>
      <w:r>
        <w:t>The Scope of Work shall include the performance of all work necessary to achieve the objectives of the bid, whether uniquely specified or not.</w:t>
      </w:r>
    </w:p>
    <w:p w14:paraId="7537ABED" w14:textId="77777777" w:rsidR="005565CF" w:rsidRDefault="00905AE4" w:rsidP="002E3842">
      <w:pPr>
        <w:pStyle w:val="Index3"/>
      </w:pPr>
      <w:bookmarkStart w:id="8" w:name="_Toc494699106"/>
      <w:r>
        <w:t>Specification / Technical Requirements</w:t>
      </w:r>
      <w:bookmarkEnd w:id="8"/>
    </w:p>
    <w:p w14:paraId="73CB97C2" w14:textId="77777777" w:rsidR="005565CF" w:rsidRPr="000F5EFE" w:rsidRDefault="005565CF" w:rsidP="00E7728F">
      <w:pPr>
        <w:pStyle w:val="1Paragraph"/>
        <w:rPr>
          <w:color w:val="000000" w:themeColor="text1"/>
        </w:rPr>
      </w:pPr>
      <w:r w:rsidRPr="000F5EFE">
        <w:rPr>
          <w:color w:val="000000" w:themeColor="text1"/>
        </w:rPr>
        <w:t>Refer to Necsa specification: US-CON-SPE-0002 Rev.0</w:t>
      </w:r>
      <w:r w:rsidR="000A2987">
        <w:rPr>
          <w:color w:val="000000" w:themeColor="text1"/>
        </w:rPr>
        <w:t>2</w:t>
      </w:r>
      <w:r w:rsidRPr="000F5EFE">
        <w:rPr>
          <w:color w:val="000000" w:themeColor="text1"/>
        </w:rPr>
        <w:t xml:space="preserve"> (PROCUREMENT REQUIREMENTS OF COAL SPECIFICATION FOR NECSA)</w:t>
      </w:r>
    </w:p>
    <w:p w14:paraId="6489E6A2" w14:textId="063C2A9A" w:rsidR="005565CF" w:rsidRDefault="005565CF" w:rsidP="00D4654A">
      <w:pPr>
        <w:pStyle w:val="aDSPara"/>
        <w:spacing w:before="60" w:after="60"/>
        <w:ind w:left="851"/>
        <w:rPr>
          <w:rFonts w:cs="Arial"/>
          <w:bCs/>
          <w:color w:val="000000" w:themeColor="text1"/>
          <w:szCs w:val="22"/>
        </w:rPr>
      </w:pPr>
      <w:r w:rsidRPr="00CE4976">
        <w:rPr>
          <w:color w:val="000000" w:themeColor="text1"/>
        </w:rPr>
        <w:t>The boilers ar</w:t>
      </w:r>
      <w:r w:rsidR="00036E6E">
        <w:rPr>
          <w:color w:val="000000" w:themeColor="text1"/>
        </w:rPr>
        <w:t>e designed to burn grade B Peas</w:t>
      </w:r>
      <w:r w:rsidRPr="00CE4976">
        <w:rPr>
          <w:rFonts w:cs="Arial"/>
          <w:bCs/>
          <w:color w:val="000000" w:themeColor="text1"/>
          <w:szCs w:val="22"/>
        </w:rPr>
        <w:t xml:space="preserve">. The coal must also comply with the other requirements like </w:t>
      </w:r>
      <w:r w:rsidR="0064408D">
        <w:rPr>
          <w:rFonts w:cs="Arial"/>
          <w:bCs/>
          <w:color w:val="000000" w:themeColor="text1"/>
          <w:szCs w:val="22"/>
        </w:rPr>
        <w:t xml:space="preserve">inherent </w:t>
      </w:r>
      <w:r w:rsidRPr="00CE4976">
        <w:rPr>
          <w:rFonts w:cs="Arial"/>
          <w:bCs/>
          <w:color w:val="000000" w:themeColor="text1"/>
          <w:szCs w:val="22"/>
        </w:rPr>
        <w:t>moisture, ash content,voliti</w:t>
      </w:r>
      <w:r w:rsidR="001E2406" w:rsidRPr="00CE4976">
        <w:rPr>
          <w:rFonts w:cs="Arial"/>
          <w:bCs/>
          <w:color w:val="000000" w:themeColor="text1"/>
          <w:szCs w:val="22"/>
        </w:rPr>
        <w:t>l</w:t>
      </w:r>
      <w:r w:rsidRPr="00CE4976">
        <w:rPr>
          <w:rFonts w:cs="Arial"/>
          <w:bCs/>
          <w:color w:val="000000" w:themeColor="text1"/>
          <w:szCs w:val="22"/>
        </w:rPr>
        <w:t>e matter, fixed carbon, etc. as required in the specification.</w:t>
      </w:r>
    </w:p>
    <w:p w14:paraId="1961CA1E" w14:textId="77777777" w:rsidR="000F6C24" w:rsidRPr="00CE4976" w:rsidRDefault="000F6C24" w:rsidP="000F6C24">
      <w:pPr>
        <w:pStyle w:val="aDSPara"/>
        <w:spacing w:before="60" w:after="60"/>
        <w:ind w:left="851"/>
        <w:rPr>
          <w:rFonts w:cs="Arial"/>
          <w:bCs/>
          <w:color w:val="000000" w:themeColor="text1"/>
          <w:szCs w:val="22"/>
        </w:rPr>
      </w:pPr>
      <w:r w:rsidRPr="00CE4976">
        <w:rPr>
          <w:rFonts w:cs="Arial"/>
          <w:bCs/>
          <w:color w:val="000000" w:themeColor="text1"/>
          <w:szCs w:val="22"/>
        </w:rPr>
        <w:t xml:space="preserve">“ Service providers can submit tenders for Supply and delivery of coal to Necsa Necsa reserves the right to: select </w:t>
      </w:r>
    </w:p>
    <w:p w14:paraId="57939EA3" w14:textId="77777777" w:rsidR="000F6C24" w:rsidRPr="00CE4976" w:rsidRDefault="000F6C24" w:rsidP="000F6C24">
      <w:pPr>
        <w:pStyle w:val="aDSPara"/>
        <w:spacing w:before="60" w:after="60"/>
        <w:ind w:left="851"/>
        <w:rPr>
          <w:rFonts w:cs="Arial"/>
          <w:bCs/>
          <w:color w:val="000000" w:themeColor="text1"/>
          <w:szCs w:val="22"/>
        </w:rPr>
      </w:pPr>
      <w:r w:rsidRPr="00CE4976">
        <w:rPr>
          <w:rFonts w:cs="Arial"/>
          <w:bCs/>
          <w:color w:val="000000" w:themeColor="text1"/>
          <w:szCs w:val="22"/>
        </w:rPr>
        <w:t xml:space="preserve">  </w:t>
      </w:r>
      <w:r w:rsidR="0064408D">
        <w:rPr>
          <w:rFonts w:cs="Arial"/>
          <w:bCs/>
          <w:color w:val="000000" w:themeColor="text1"/>
          <w:szCs w:val="22"/>
        </w:rPr>
        <w:t>A minimum of two</w:t>
      </w:r>
      <w:r w:rsidR="0064408D" w:rsidRPr="00CE4976">
        <w:rPr>
          <w:rFonts w:cs="Arial"/>
          <w:bCs/>
          <w:color w:val="000000" w:themeColor="text1"/>
          <w:szCs w:val="22"/>
        </w:rPr>
        <w:t xml:space="preserve"> </w:t>
      </w:r>
      <w:r w:rsidRPr="00CE4976">
        <w:rPr>
          <w:rFonts w:cs="Arial"/>
          <w:bCs/>
          <w:color w:val="000000" w:themeColor="text1"/>
          <w:szCs w:val="22"/>
        </w:rPr>
        <w:t>service provider</w:t>
      </w:r>
      <w:r w:rsidR="0064408D">
        <w:rPr>
          <w:rFonts w:cs="Arial"/>
          <w:bCs/>
          <w:color w:val="000000" w:themeColor="text1"/>
          <w:szCs w:val="22"/>
        </w:rPr>
        <w:t>s</w:t>
      </w:r>
      <w:r w:rsidRPr="00CE4976">
        <w:rPr>
          <w:rFonts w:cs="Arial"/>
          <w:bCs/>
          <w:color w:val="000000" w:themeColor="text1"/>
          <w:szCs w:val="22"/>
        </w:rPr>
        <w:t xml:space="preserve"> for </w:t>
      </w:r>
      <w:r w:rsidR="0064408D">
        <w:rPr>
          <w:rFonts w:cs="Arial"/>
          <w:bCs/>
          <w:color w:val="000000" w:themeColor="text1"/>
          <w:szCs w:val="22"/>
        </w:rPr>
        <w:t>the</w:t>
      </w:r>
      <w:r w:rsidR="0064408D" w:rsidRPr="00CE4976">
        <w:rPr>
          <w:rFonts w:cs="Arial"/>
          <w:bCs/>
          <w:color w:val="000000" w:themeColor="text1"/>
          <w:szCs w:val="22"/>
        </w:rPr>
        <w:t xml:space="preserve"> </w:t>
      </w:r>
      <w:r w:rsidRPr="00CE4976">
        <w:rPr>
          <w:rFonts w:cs="Arial"/>
          <w:bCs/>
          <w:color w:val="000000" w:themeColor="text1"/>
          <w:szCs w:val="22"/>
        </w:rPr>
        <w:t>supply and delivery of coal</w:t>
      </w:r>
    </w:p>
    <w:p w14:paraId="5539C6D4" w14:textId="77777777" w:rsidR="000F6C24" w:rsidRPr="00CE4976" w:rsidRDefault="000F6C24" w:rsidP="000F6C24">
      <w:pPr>
        <w:pStyle w:val="aDSPara"/>
        <w:spacing w:before="60" w:after="60"/>
        <w:ind w:left="851"/>
        <w:rPr>
          <w:rFonts w:cs="Arial"/>
          <w:bCs/>
          <w:color w:val="000000" w:themeColor="text1"/>
          <w:szCs w:val="22"/>
        </w:rPr>
      </w:pPr>
      <w:r w:rsidRPr="00CE4976">
        <w:rPr>
          <w:rFonts w:cs="Arial"/>
          <w:bCs/>
          <w:color w:val="000000" w:themeColor="text1"/>
          <w:szCs w:val="22"/>
        </w:rPr>
        <w:t xml:space="preserve">  </w:t>
      </w:r>
      <w:r w:rsidR="00813B0A">
        <w:rPr>
          <w:rFonts w:cs="Arial"/>
          <w:bCs/>
          <w:color w:val="000000" w:themeColor="text1"/>
          <w:szCs w:val="22"/>
        </w:rPr>
        <w:t>O</w:t>
      </w:r>
      <w:r w:rsidR="00813B0A" w:rsidRPr="00CE4976">
        <w:rPr>
          <w:rFonts w:cs="Arial"/>
          <w:bCs/>
          <w:color w:val="000000" w:themeColor="text1"/>
          <w:szCs w:val="22"/>
        </w:rPr>
        <w:t xml:space="preserve">ne </w:t>
      </w:r>
      <w:r w:rsidRPr="00CE4976">
        <w:rPr>
          <w:rFonts w:cs="Arial"/>
          <w:bCs/>
          <w:color w:val="000000" w:themeColor="text1"/>
          <w:szCs w:val="22"/>
        </w:rPr>
        <w:t xml:space="preserve">service provider for the supply </w:t>
      </w:r>
      <w:r w:rsidR="00813B0A">
        <w:rPr>
          <w:rFonts w:cs="Arial"/>
          <w:bCs/>
          <w:color w:val="000000" w:themeColor="text1"/>
          <w:szCs w:val="22"/>
        </w:rPr>
        <w:t xml:space="preserve">and delivery </w:t>
      </w:r>
      <w:r w:rsidRPr="00CE4976">
        <w:rPr>
          <w:rFonts w:cs="Arial"/>
          <w:bCs/>
          <w:color w:val="000000" w:themeColor="text1"/>
          <w:szCs w:val="22"/>
        </w:rPr>
        <w:t xml:space="preserve">of coal </w:t>
      </w:r>
      <w:r w:rsidR="00813B0A">
        <w:rPr>
          <w:rFonts w:cs="Arial"/>
          <w:bCs/>
          <w:color w:val="000000" w:themeColor="text1"/>
          <w:szCs w:val="22"/>
        </w:rPr>
        <w:t>should there not be a qualifying additional service provider (s)</w:t>
      </w:r>
    </w:p>
    <w:p w14:paraId="248D9746" w14:textId="77777777" w:rsidR="005565CF" w:rsidRDefault="005565CF" w:rsidP="00E2616F">
      <w:pPr>
        <w:pStyle w:val="Index4"/>
        <w:numPr>
          <w:ilvl w:val="0"/>
          <w:numId w:val="0"/>
        </w:numPr>
      </w:pPr>
    </w:p>
    <w:p w14:paraId="66F10D41" w14:textId="77777777" w:rsidR="00554C52" w:rsidRDefault="00554C52" w:rsidP="00844159">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 and it will include this into the price of the work to be performed and submit it for negotiation.</w:t>
      </w:r>
    </w:p>
    <w:p w14:paraId="489652A0" w14:textId="77777777" w:rsidR="00554C52" w:rsidRPr="003424E6" w:rsidRDefault="00554C52" w:rsidP="00844159">
      <w:pPr>
        <w:pStyle w:val="Index4"/>
      </w:pPr>
      <w:r w:rsidRPr="003424E6">
        <w:t xml:space="preserve">The bidder shall strictly comply with all technical and commercial requirements of this </w:t>
      </w:r>
      <w:r>
        <w:t>bid</w:t>
      </w:r>
      <w:r w:rsidRPr="003424E6">
        <w:t>.</w:t>
      </w:r>
    </w:p>
    <w:p w14:paraId="49ECA010" w14:textId="77777777" w:rsidR="00554C52" w:rsidRDefault="00554C52" w:rsidP="00844159">
      <w:pPr>
        <w:pStyle w:val="Index4"/>
      </w:pPr>
      <w:r w:rsidRPr="003424E6">
        <w:t>A bid with a deviation shall be considered as an alternative bid. These may be evaluated provided that the main bid complies with all requirements supplied.</w:t>
      </w:r>
    </w:p>
    <w:p w14:paraId="15C55AC9" w14:textId="77777777" w:rsidR="00EC22C1" w:rsidRDefault="009B06AF" w:rsidP="002E3842">
      <w:pPr>
        <w:pStyle w:val="Index3"/>
        <w:rPr>
          <w:color w:val="FF0000"/>
        </w:rPr>
      </w:pPr>
      <w:bookmarkStart w:id="9" w:name="_Toc494699107"/>
      <w:r>
        <w:t>Bill of Quantities</w:t>
      </w:r>
      <w:bookmarkEnd w:id="9"/>
    </w:p>
    <w:p w14:paraId="4F3883BF" w14:textId="77777777" w:rsidR="00E2616F" w:rsidRPr="000F5EFE" w:rsidRDefault="00E2616F" w:rsidP="00E2616F">
      <w:pPr>
        <w:pStyle w:val="1Paragraph"/>
        <w:rPr>
          <w:color w:val="000000" w:themeColor="text1"/>
        </w:rPr>
      </w:pPr>
      <w:r w:rsidRPr="000F5EFE">
        <w:rPr>
          <w:color w:val="000000" w:themeColor="text1"/>
        </w:rPr>
        <w:t>Coal need</w:t>
      </w:r>
      <w:r w:rsidR="00E7728F">
        <w:rPr>
          <w:color w:val="000000" w:themeColor="text1"/>
        </w:rPr>
        <w:t>s</w:t>
      </w:r>
      <w:r w:rsidRPr="000F5EFE">
        <w:rPr>
          <w:color w:val="000000" w:themeColor="text1"/>
        </w:rPr>
        <w:t xml:space="preserve"> to be supplied during the period of the </w:t>
      </w:r>
      <w:proofErr w:type="gramStart"/>
      <w:r w:rsidRPr="000F5EFE">
        <w:rPr>
          <w:color w:val="000000" w:themeColor="text1"/>
        </w:rPr>
        <w:t>three year</w:t>
      </w:r>
      <w:proofErr w:type="gramEnd"/>
      <w:r w:rsidRPr="000F5EFE">
        <w:rPr>
          <w:color w:val="000000" w:themeColor="text1"/>
        </w:rPr>
        <w:t xml:space="preserve"> contract. The consumption of the boilers will depend on the calorific value of the coal supplied. If the calorific value is lower more coal needs to be </w:t>
      </w:r>
      <w:r w:rsidR="00F31DC4">
        <w:rPr>
          <w:color w:val="000000" w:themeColor="text1"/>
        </w:rPr>
        <w:t>fed/</w:t>
      </w:r>
      <w:r w:rsidRPr="000F5EFE">
        <w:rPr>
          <w:color w:val="000000" w:themeColor="text1"/>
        </w:rPr>
        <w:t>burned to obtain the required energy for steam production. It also depends on steam demand.</w:t>
      </w:r>
    </w:p>
    <w:p w14:paraId="46230F1A" w14:textId="77777777" w:rsidR="00E2616F" w:rsidRPr="000F5EFE" w:rsidRDefault="00E2616F" w:rsidP="00E2616F">
      <w:pPr>
        <w:pStyle w:val="1Paragraph"/>
        <w:rPr>
          <w:color w:val="000000" w:themeColor="text1"/>
        </w:rPr>
      </w:pPr>
      <w:r w:rsidRPr="000F5EFE">
        <w:rPr>
          <w:color w:val="000000" w:themeColor="text1"/>
        </w:rPr>
        <w:t xml:space="preserve">The coal usage </w:t>
      </w:r>
      <w:r w:rsidR="00214253">
        <w:rPr>
          <w:color w:val="000000" w:themeColor="text1"/>
        </w:rPr>
        <w:t>estimations are as specified in the Necsa specification for coal US-CON-SPE-0002 Rev.</w:t>
      </w:r>
      <w:r w:rsidR="00214253" w:rsidRPr="00214253">
        <w:rPr>
          <w:color w:val="000000" w:themeColor="text1"/>
        </w:rPr>
        <w:t>02</w:t>
      </w:r>
      <w:r w:rsidR="00214253">
        <w:rPr>
          <w:color w:val="000000" w:themeColor="text1"/>
        </w:rPr>
        <w:t>.</w:t>
      </w:r>
    </w:p>
    <w:p w14:paraId="4A0734AF" w14:textId="62EA6262" w:rsidR="00E2616F" w:rsidRDefault="00214253" w:rsidP="00E2616F">
      <w:pPr>
        <w:pStyle w:val="1Paragraph"/>
        <w:rPr>
          <w:color w:val="000000" w:themeColor="text1"/>
        </w:rPr>
      </w:pPr>
      <w:r>
        <w:rPr>
          <w:color w:val="000000" w:themeColor="text1"/>
        </w:rPr>
        <w:t>The</w:t>
      </w:r>
      <w:r w:rsidR="00E2616F" w:rsidRPr="000F5EFE">
        <w:rPr>
          <w:color w:val="000000" w:themeColor="text1"/>
        </w:rPr>
        <w:t xml:space="preserve"> estimated coal consumption for the next three years </w:t>
      </w:r>
      <w:r w:rsidR="001E2406">
        <w:rPr>
          <w:color w:val="000000" w:themeColor="text1"/>
        </w:rPr>
        <w:t>is estimated to</w:t>
      </w:r>
      <w:r w:rsidR="001E2406" w:rsidRPr="000F5EFE">
        <w:rPr>
          <w:color w:val="000000" w:themeColor="text1"/>
        </w:rPr>
        <w:t xml:space="preserve"> </w:t>
      </w:r>
      <w:r w:rsidR="00E2616F" w:rsidRPr="000F5EFE">
        <w:rPr>
          <w:color w:val="000000" w:themeColor="text1"/>
        </w:rPr>
        <w:t>be</w:t>
      </w:r>
      <w:r w:rsidR="00ED5928">
        <w:rPr>
          <w:color w:val="000000" w:themeColor="text1"/>
        </w:rPr>
        <w:t xml:space="preserve"> </w:t>
      </w:r>
      <w:r w:rsidR="001D0DA4">
        <w:rPr>
          <w:color w:val="000000" w:themeColor="text1"/>
        </w:rPr>
        <w:t>500</w:t>
      </w:r>
      <w:r w:rsidR="001E2406" w:rsidRPr="000F5EFE">
        <w:rPr>
          <w:color w:val="000000" w:themeColor="text1"/>
        </w:rPr>
        <w:t xml:space="preserve"> </w:t>
      </w:r>
      <w:r w:rsidR="00ED5928">
        <w:rPr>
          <w:color w:val="000000" w:themeColor="text1"/>
        </w:rPr>
        <w:t xml:space="preserve">Tons/month x 36 </w:t>
      </w:r>
      <w:r w:rsidR="00E2616F" w:rsidRPr="000F5EFE">
        <w:rPr>
          <w:color w:val="000000" w:themeColor="text1"/>
        </w:rPr>
        <w:t>(</w:t>
      </w:r>
      <w:r w:rsidR="00ED5928">
        <w:rPr>
          <w:color w:val="000000" w:themeColor="text1"/>
        </w:rPr>
        <w:t>months</w:t>
      </w:r>
      <w:r w:rsidR="00E2616F" w:rsidRPr="000F5EFE">
        <w:rPr>
          <w:color w:val="000000" w:themeColor="text1"/>
        </w:rPr>
        <w:t xml:space="preserve">) = </w:t>
      </w:r>
      <w:r w:rsidR="001D0DA4">
        <w:rPr>
          <w:color w:val="000000" w:themeColor="text1"/>
        </w:rPr>
        <w:t>18 000</w:t>
      </w:r>
      <w:r w:rsidR="001E2406" w:rsidRPr="000F5EFE">
        <w:rPr>
          <w:color w:val="000000" w:themeColor="text1"/>
        </w:rPr>
        <w:t xml:space="preserve"> </w:t>
      </w:r>
      <w:r w:rsidR="00E2616F" w:rsidRPr="000F5EFE">
        <w:rPr>
          <w:color w:val="000000" w:themeColor="text1"/>
        </w:rPr>
        <w:t>Tons</w:t>
      </w:r>
      <w:r w:rsidR="001D0DA4">
        <w:rPr>
          <w:color w:val="000000" w:themeColor="text1"/>
        </w:rPr>
        <w:t xml:space="preserve"> on average as per</w:t>
      </w:r>
      <w:r w:rsidR="001D0DA4" w:rsidRPr="001D0DA4">
        <w:t xml:space="preserve"> </w:t>
      </w:r>
      <w:r w:rsidR="001D0DA4" w:rsidRPr="001D0DA4">
        <w:rPr>
          <w:color w:val="000000" w:themeColor="text1"/>
        </w:rPr>
        <w:t>US-CON-SPE-0002 Rev.02</w:t>
      </w:r>
      <w:r w:rsidR="001D0DA4">
        <w:rPr>
          <w:color w:val="000000" w:themeColor="text1"/>
        </w:rPr>
        <w:t xml:space="preserve">. </w:t>
      </w:r>
    </w:p>
    <w:p w14:paraId="117CE80E" w14:textId="52A76994" w:rsidR="00E2616F" w:rsidRPr="000F5EFE" w:rsidRDefault="001E2406" w:rsidP="00E2616F">
      <w:pPr>
        <w:pStyle w:val="1Paragraph"/>
        <w:rPr>
          <w:color w:val="000000" w:themeColor="text1"/>
        </w:rPr>
      </w:pPr>
      <w:r>
        <w:rPr>
          <w:color w:val="000000" w:themeColor="text1"/>
        </w:rPr>
        <w:t xml:space="preserve">At least </w:t>
      </w:r>
      <w:r w:rsidR="001D0DA4">
        <w:rPr>
          <w:color w:val="000000" w:themeColor="text1"/>
        </w:rPr>
        <w:t>1</w:t>
      </w:r>
      <w:r w:rsidR="009214E0">
        <w:rPr>
          <w:color w:val="000000" w:themeColor="text1"/>
        </w:rPr>
        <w:t>5</w:t>
      </w:r>
      <w:r>
        <w:rPr>
          <w:color w:val="000000" w:themeColor="text1"/>
        </w:rPr>
        <w:t xml:space="preserve"> loads </w:t>
      </w:r>
      <w:r w:rsidR="00214253">
        <w:rPr>
          <w:color w:val="000000" w:themeColor="text1"/>
        </w:rPr>
        <w:t>in total</w:t>
      </w:r>
      <w:r w:rsidR="001D0DA4">
        <w:rPr>
          <w:color w:val="000000" w:themeColor="text1"/>
        </w:rPr>
        <w:t xml:space="preserve"> need to be delivered monthly </w:t>
      </w:r>
      <w:r w:rsidR="009214E0">
        <w:rPr>
          <w:color w:val="000000" w:themeColor="text1"/>
        </w:rPr>
        <w:t xml:space="preserve">on average </w:t>
      </w:r>
      <w:r w:rsidR="001D0DA4">
        <w:rPr>
          <w:color w:val="000000" w:themeColor="text1"/>
        </w:rPr>
        <w:t>(the estimated amount per load is 35T)</w:t>
      </w:r>
      <w:r w:rsidR="00E2616F" w:rsidRPr="000F5EFE">
        <w:rPr>
          <w:color w:val="000000" w:themeColor="text1"/>
        </w:rPr>
        <w:t xml:space="preserve">. </w:t>
      </w:r>
      <w:r>
        <w:rPr>
          <w:color w:val="000000" w:themeColor="text1"/>
        </w:rPr>
        <w:t xml:space="preserve">However, the bunkers should all be completely filled up to ensure that should there be any challenges encountered at the source mine, Necsa is not hugely affected by this. The supplier should keep Necsa informed should any challenges be encountered to ensure that both Necsa and the Supplier agree on the mitigating action. Should Necsa need to source coal from another supplier, the cost of such will be deducted from the Supplier contract cost. </w:t>
      </w:r>
      <w:r w:rsidR="00E2616F" w:rsidRPr="000F5EFE">
        <w:rPr>
          <w:color w:val="000000" w:themeColor="text1"/>
        </w:rPr>
        <w:t xml:space="preserve">The Supplier must however </w:t>
      </w:r>
      <w:r>
        <w:rPr>
          <w:color w:val="000000" w:themeColor="text1"/>
        </w:rPr>
        <w:t xml:space="preserve">also </w:t>
      </w:r>
      <w:r w:rsidR="00E2616F" w:rsidRPr="000F5EFE">
        <w:rPr>
          <w:color w:val="000000" w:themeColor="text1"/>
        </w:rPr>
        <w:t>make its own estimates and schedule, according to maximum, minimum an</w:t>
      </w:r>
      <w:r w:rsidR="00F31DC4">
        <w:rPr>
          <w:color w:val="000000" w:themeColor="text1"/>
        </w:rPr>
        <w:t>d</w:t>
      </w:r>
      <w:r w:rsidR="00E2616F" w:rsidRPr="000F5EFE">
        <w:rPr>
          <w:color w:val="000000" w:themeColor="text1"/>
        </w:rPr>
        <w:t xml:space="preserve"> average consumption as indicated </w:t>
      </w:r>
      <w:r w:rsidR="00A17959">
        <w:rPr>
          <w:color w:val="000000" w:themeColor="text1"/>
        </w:rPr>
        <w:t xml:space="preserve">in </w:t>
      </w:r>
      <w:r w:rsidR="00A17959" w:rsidRPr="00A17959">
        <w:rPr>
          <w:color w:val="000000" w:themeColor="text1"/>
        </w:rPr>
        <w:t>US-CON-SPE-0002 Rev.02</w:t>
      </w:r>
      <w:r w:rsidR="00A17959">
        <w:rPr>
          <w:color w:val="000000" w:themeColor="text1"/>
        </w:rPr>
        <w:t xml:space="preserve"> </w:t>
      </w:r>
      <w:r w:rsidR="00E2616F" w:rsidRPr="000F5EFE">
        <w:rPr>
          <w:color w:val="000000" w:themeColor="text1"/>
        </w:rPr>
        <w:t>to have the coal readily available</w:t>
      </w:r>
      <w:r>
        <w:rPr>
          <w:color w:val="000000" w:themeColor="text1"/>
        </w:rPr>
        <w:t xml:space="preserve"> in Necsa</w:t>
      </w:r>
      <w:r w:rsidR="00E2616F" w:rsidRPr="000F5EFE">
        <w:rPr>
          <w:color w:val="000000" w:themeColor="text1"/>
        </w:rPr>
        <w:t xml:space="preserve">. During December and other holidays or in a </w:t>
      </w:r>
      <w:proofErr w:type="gramStart"/>
      <w:r w:rsidR="00E2616F" w:rsidRPr="000F5EFE">
        <w:rPr>
          <w:color w:val="000000" w:themeColor="text1"/>
        </w:rPr>
        <w:t>strike situations</w:t>
      </w:r>
      <w:proofErr w:type="gramEnd"/>
      <w:r w:rsidR="00E2616F" w:rsidRPr="000F5EFE">
        <w:rPr>
          <w:color w:val="000000" w:themeColor="text1"/>
        </w:rPr>
        <w:t xml:space="preserve"> it </w:t>
      </w:r>
      <w:r w:rsidR="00371754">
        <w:rPr>
          <w:color w:val="000000" w:themeColor="text1"/>
        </w:rPr>
        <w:t xml:space="preserve">will </w:t>
      </w:r>
      <w:r w:rsidR="00E014D9">
        <w:rPr>
          <w:color w:val="000000" w:themeColor="text1"/>
        </w:rPr>
        <w:t xml:space="preserve">be </w:t>
      </w:r>
      <w:r w:rsidR="00E014D9" w:rsidRPr="000F5EFE">
        <w:rPr>
          <w:color w:val="000000" w:themeColor="text1"/>
        </w:rPr>
        <w:t>necessary</w:t>
      </w:r>
      <w:r w:rsidR="00E2616F" w:rsidRPr="000F5EFE">
        <w:rPr>
          <w:color w:val="000000" w:themeColor="text1"/>
        </w:rPr>
        <w:t xml:space="preserve"> to stockpile coal in the bunker houses to make provision for continuous operation during these periods.</w:t>
      </w:r>
      <w:r w:rsidR="00371754">
        <w:rPr>
          <w:color w:val="000000" w:themeColor="text1"/>
        </w:rPr>
        <w:t xml:space="preserve"> This will need to be done prior to the applicable anticipated disruption of the supply of coal to Necsa.</w:t>
      </w:r>
    </w:p>
    <w:p w14:paraId="7FDF29B0" w14:textId="77777777" w:rsidR="00E2616F" w:rsidRPr="00081FB4" w:rsidRDefault="00E2616F" w:rsidP="00E2616F">
      <w:pPr>
        <w:pStyle w:val="1Paragraph"/>
        <w:rPr>
          <w:color w:val="000000" w:themeColor="text1"/>
        </w:rPr>
      </w:pPr>
      <w:r w:rsidRPr="000F5EFE">
        <w:rPr>
          <w:color w:val="000000" w:themeColor="text1"/>
        </w:rPr>
        <w:t xml:space="preserve">Necsa requires the most </w:t>
      </w:r>
      <w:proofErr w:type="gramStart"/>
      <w:r w:rsidRPr="000F5EFE">
        <w:rPr>
          <w:color w:val="000000" w:themeColor="text1"/>
        </w:rPr>
        <w:t>cost effective</w:t>
      </w:r>
      <w:proofErr w:type="gramEnd"/>
      <w:r w:rsidRPr="000F5EFE">
        <w:rPr>
          <w:color w:val="000000" w:themeColor="text1"/>
        </w:rPr>
        <w:t xml:space="preserve"> steam production option</w:t>
      </w:r>
      <w:r w:rsidRPr="00081FB4">
        <w:rPr>
          <w:color w:val="000000" w:themeColor="text1"/>
        </w:rPr>
        <w:t xml:space="preserve">. The supplier will make its </w:t>
      </w:r>
      <w:r w:rsidRPr="00081FB4">
        <w:rPr>
          <w:color w:val="000000" w:themeColor="text1"/>
        </w:rPr>
        <w:lastRenderedPageBreak/>
        <w:t>submission in the table below.</w:t>
      </w:r>
    </w:p>
    <w:tbl>
      <w:tblPr>
        <w:tblStyle w:val="TableGrid"/>
        <w:tblW w:w="0" w:type="auto"/>
        <w:tblInd w:w="817" w:type="dxa"/>
        <w:tblLook w:val="04A0" w:firstRow="1" w:lastRow="0" w:firstColumn="1" w:lastColumn="0" w:noHBand="0" w:noVBand="1"/>
      </w:tblPr>
      <w:tblGrid>
        <w:gridCol w:w="1318"/>
        <w:gridCol w:w="795"/>
        <w:gridCol w:w="1365"/>
        <w:gridCol w:w="2715"/>
        <w:gridCol w:w="2617"/>
      </w:tblGrid>
      <w:tr w:rsidR="00A17959" w:rsidRPr="00081FB4" w14:paraId="2423134C" w14:textId="77777777" w:rsidTr="00A80364">
        <w:tc>
          <w:tcPr>
            <w:tcW w:w="0" w:type="auto"/>
            <w:shd w:val="clear" w:color="auto" w:fill="ECE8D3"/>
          </w:tcPr>
          <w:p w14:paraId="2F4F4584" w14:textId="77777777" w:rsidR="00A17959" w:rsidRPr="00081FB4" w:rsidRDefault="00A17959" w:rsidP="00A80364">
            <w:pPr>
              <w:pStyle w:val="aDSPara"/>
              <w:spacing w:before="60" w:after="60"/>
              <w:ind w:left="0"/>
              <w:jc w:val="left"/>
              <w:rPr>
                <w:b/>
                <w:color w:val="000000" w:themeColor="text1"/>
                <w:sz w:val="20"/>
                <w:szCs w:val="20"/>
              </w:rPr>
            </w:pPr>
            <w:bookmarkStart w:id="10" w:name="_Hlk172707086"/>
            <w:bookmarkStart w:id="11" w:name="_GoBack"/>
            <w:r w:rsidRPr="00081FB4">
              <w:rPr>
                <w:b/>
                <w:color w:val="000000" w:themeColor="text1"/>
                <w:sz w:val="20"/>
                <w:szCs w:val="20"/>
              </w:rPr>
              <w:t>Description</w:t>
            </w:r>
          </w:p>
        </w:tc>
        <w:tc>
          <w:tcPr>
            <w:tcW w:w="0" w:type="auto"/>
            <w:shd w:val="clear" w:color="auto" w:fill="ECE8D3"/>
          </w:tcPr>
          <w:p w14:paraId="0F2AA71B" w14:textId="77777777" w:rsidR="00A17959" w:rsidRPr="00081FB4" w:rsidRDefault="00A17959" w:rsidP="00A80364">
            <w:pPr>
              <w:pStyle w:val="aDSPara"/>
              <w:spacing w:before="60" w:after="60"/>
              <w:ind w:left="0"/>
              <w:jc w:val="left"/>
              <w:rPr>
                <w:b/>
                <w:color w:val="000000" w:themeColor="text1"/>
                <w:sz w:val="20"/>
                <w:szCs w:val="20"/>
              </w:rPr>
            </w:pPr>
            <w:r w:rsidRPr="00081FB4">
              <w:rPr>
                <w:b/>
                <w:color w:val="000000" w:themeColor="text1"/>
                <w:sz w:val="20"/>
                <w:szCs w:val="20"/>
              </w:rPr>
              <w:t>Grade</w:t>
            </w:r>
          </w:p>
        </w:tc>
        <w:tc>
          <w:tcPr>
            <w:tcW w:w="0" w:type="auto"/>
            <w:shd w:val="clear" w:color="auto" w:fill="ECE8D3"/>
          </w:tcPr>
          <w:p w14:paraId="72597B97" w14:textId="77777777" w:rsidR="00A17959" w:rsidRPr="00081FB4" w:rsidRDefault="00A17959" w:rsidP="00A80364">
            <w:pPr>
              <w:widowControl/>
              <w:autoSpaceDE w:val="0"/>
              <w:autoSpaceDN w:val="0"/>
              <w:adjustRightInd w:val="0"/>
              <w:spacing w:before="0" w:after="0"/>
              <w:outlineLvl w:val="9"/>
              <w:rPr>
                <w:rFonts w:ascii="Arial-BoldMT" w:hAnsi="Arial-BoldMT" w:cs="Arial-BoldMT"/>
                <w:b/>
                <w:bCs/>
                <w:iCs w:val="0"/>
                <w:sz w:val="20"/>
                <w:szCs w:val="20"/>
                <w:lang w:val="en-ZA" w:eastAsia="en-US"/>
              </w:rPr>
            </w:pPr>
            <w:r w:rsidRPr="00081FB4">
              <w:rPr>
                <w:rFonts w:ascii="Arial-BoldMT" w:hAnsi="Arial-BoldMT" w:cs="Arial-BoldMT"/>
                <w:b/>
                <w:bCs/>
                <w:iCs w:val="0"/>
                <w:sz w:val="20"/>
                <w:szCs w:val="20"/>
                <w:lang w:val="en-ZA" w:eastAsia="en-US"/>
              </w:rPr>
              <w:t>Estimated Quantity</w:t>
            </w:r>
          </w:p>
          <w:p w14:paraId="6DE74651" w14:textId="77777777" w:rsidR="00A17959" w:rsidRPr="00081FB4" w:rsidRDefault="00A17959" w:rsidP="00A80364">
            <w:pPr>
              <w:pStyle w:val="aDSPara"/>
              <w:spacing w:before="60" w:after="60"/>
              <w:ind w:left="0"/>
              <w:jc w:val="left"/>
              <w:rPr>
                <w:b/>
                <w:color w:val="000000" w:themeColor="text1"/>
                <w:sz w:val="20"/>
                <w:szCs w:val="20"/>
              </w:rPr>
            </w:pPr>
          </w:p>
        </w:tc>
        <w:tc>
          <w:tcPr>
            <w:tcW w:w="0" w:type="auto"/>
            <w:shd w:val="clear" w:color="auto" w:fill="ECE8D3"/>
          </w:tcPr>
          <w:p w14:paraId="5C817202" w14:textId="77777777" w:rsidR="00A17959" w:rsidRPr="00081FB4" w:rsidRDefault="00A17959" w:rsidP="00A17959">
            <w:pPr>
              <w:pStyle w:val="aDSPara"/>
              <w:spacing w:before="60" w:after="60"/>
              <w:ind w:left="0"/>
              <w:jc w:val="left"/>
              <w:rPr>
                <w:b/>
                <w:color w:val="000000" w:themeColor="text1"/>
                <w:sz w:val="20"/>
                <w:szCs w:val="20"/>
              </w:rPr>
            </w:pPr>
            <w:r w:rsidRPr="00081FB4">
              <w:rPr>
                <w:b/>
                <w:color w:val="000000" w:themeColor="text1"/>
                <w:sz w:val="20"/>
                <w:szCs w:val="20"/>
              </w:rPr>
              <w:t>Price</w:t>
            </w:r>
            <w:r>
              <w:rPr>
                <w:b/>
                <w:color w:val="000000" w:themeColor="text1"/>
                <w:sz w:val="20"/>
                <w:szCs w:val="20"/>
              </w:rPr>
              <w:t>/Ton</w:t>
            </w:r>
            <w:r w:rsidRPr="00081FB4">
              <w:rPr>
                <w:b/>
                <w:color w:val="000000" w:themeColor="text1"/>
                <w:sz w:val="20"/>
                <w:szCs w:val="20"/>
              </w:rPr>
              <w:t xml:space="preserve"> in </w:t>
            </w:r>
            <w:r>
              <w:rPr>
                <w:b/>
                <w:color w:val="000000" w:themeColor="text1"/>
                <w:sz w:val="20"/>
                <w:szCs w:val="20"/>
              </w:rPr>
              <w:t>South African R</w:t>
            </w:r>
            <w:r w:rsidRPr="00081FB4">
              <w:rPr>
                <w:b/>
                <w:color w:val="000000" w:themeColor="text1"/>
                <w:sz w:val="20"/>
                <w:szCs w:val="20"/>
              </w:rPr>
              <w:t>ands</w:t>
            </w:r>
            <w:r>
              <w:rPr>
                <w:b/>
                <w:color w:val="000000" w:themeColor="text1"/>
                <w:sz w:val="20"/>
                <w:szCs w:val="20"/>
              </w:rPr>
              <w:t>(ZAR)</w:t>
            </w:r>
            <w:r w:rsidRPr="00081FB4">
              <w:rPr>
                <w:b/>
                <w:color w:val="000000" w:themeColor="text1"/>
                <w:sz w:val="20"/>
                <w:szCs w:val="20"/>
              </w:rPr>
              <w:t xml:space="preserve"> including transport (</w:t>
            </w:r>
            <w:r>
              <w:rPr>
                <w:b/>
                <w:color w:val="000000" w:themeColor="text1"/>
                <w:sz w:val="20"/>
                <w:szCs w:val="20"/>
              </w:rPr>
              <w:t>excluding</w:t>
            </w:r>
            <w:r w:rsidRPr="00081FB4">
              <w:rPr>
                <w:b/>
                <w:color w:val="000000" w:themeColor="text1"/>
                <w:sz w:val="20"/>
                <w:szCs w:val="20"/>
              </w:rPr>
              <w:t xml:space="preserve"> VAT)</w:t>
            </w:r>
          </w:p>
        </w:tc>
        <w:tc>
          <w:tcPr>
            <w:tcW w:w="0" w:type="auto"/>
            <w:shd w:val="clear" w:color="auto" w:fill="ECE8D3"/>
          </w:tcPr>
          <w:p w14:paraId="6CFF95CF" w14:textId="77777777" w:rsidR="00A17959" w:rsidRPr="00081FB4" w:rsidRDefault="00A17959" w:rsidP="00A17959">
            <w:pPr>
              <w:widowControl/>
              <w:autoSpaceDE w:val="0"/>
              <w:autoSpaceDN w:val="0"/>
              <w:adjustRightInd w:val="0"/>
              <w:spacing w:before="0" w:after="0"/>
              <w:outlineLvl w:val="9"/>
              <w:rPr>
                <w:b/>
                <w:color w:val="000000" w:themeColor="text1"/>
                <w:sz w:val="20"/>
                <w:szCs w:val="20"/>
              </w:rPr>
            </w:pPr>
            <w:r>
              <w:rPr>
                <w:rFonts w:ascii="Arial-BoldMT" w:hAnsi="Arial-BoldMT" w:cs="Arial-BoldMT"/>
                <w:b/>
                <w:bCs/>
                <w:iCs w:val="0"/>
                <w:sz w:val="20"/>
                <w:szCs w:val="20"/>
                <w:lang w:val="en-ZA" w:eastAsia="en-US"/>
              </w:rPr>
              <w:t xml:space="preserve">Price/Ton in South African </w:t>
            </w:r>
            <w:r w:rsidRPr="00A17959">
              <w:rPr>
                <w:rFonts w:ascii="Arial-BoldMT" w:hAnsi="Arial-BoldMT" w:cs="Arial-BoldMT"/>
                <w:b/>
                <w:bCs/>
                <w:iCs w:val="0"/>
                <w:sz w:val="20"/>
                <w:szCs w:val="20"/>
                <w:lang w:val="en-ZA" w:eastAsia="en-US"/>
              </w:rPr>
              <w:t>Rands</w:t>
            </w:r>
            <w:r>
              <w:rPr>
                <w:rFonts w:ascii="Arial-BoldMT" w:hAnsi="Arial-BoldMT" w:cs="Arial-BoldMT"/>
                <w:b/>
                <w:bCs/>
                <w:iCs w:val="0"/>
                <w:sz w:val="20"/>
                <w:szCs w:val="20"/>
                <w:lang w:val="en-ZA" w:eastAsia="en-US"/>
              </w:rPr>
              <w:t xml:space="preserve"> (ZAR) including transport (in</w:t>
            </w:r>
            <w:r w:rsidRPr="00A17959">
              <w:rPr>
                <w:rFonts w:ascii="Arial-BoldMT" w:hAnsi="Arial-BoldMT" w:cs="Arial-BoldMT"/>
                <w:b/>
                <w:bCs/>
                <w:iCs w:val="0"/>
                <w:sz w:val="20"/>
                <w:szCs w:val="20"/>
                <w:lang w:val="en-ZA" w:eastAsia="en-US"/>
              </w:rPr>
              <w:t>cluding. VAT)</w:t>
            </w:r>
          </w:p>
        </w:tc>
      </w:tr>
      <w:tr w:rsidR="00A17959" w:rsidRPr="00A80364" w14:paraId="252C1B37" w14:textId="77777777" w:rsidTr="00A80364">
        <w:tc>
          <w:tcPr>
            <w:tcW w:w="0" w:type="auto"/>
            <w:vAlign w:val="center"/>
          </w:tcPr>
          <w:p w14:paraId="70A81011" w14:textId="77777777" w:rsidR="00A17959" w:rsidRPr="00081FB4" w:rsidRDefault="00A17959" w:rsidP="00591A56">
            <w:pPr>
              <w:pStyle w:val="1Paragraph"/>
              <w:ind w:left="0"/>
              <w:jc w:val="left"/>
              <w:rPr>
                <w:color w:val="000000" w:themeColor="text1"/>
                <w:sz w:val="20"/>
                <w:szCs w:val="20"/>
              </w:rPr>
            </w:pPr>
            <w:r w:rsidRPr="00081FB4">
              <w:rPr>
                <w:color w:val="000000" w:themeColor="text1"/>
                <w:sz w:val="20"/>
                <w:szCs w:val="20"/>
              </w:rPr>
              <w:t>Coal Peas</w:t>
            </w:r>
          </w:p>
        </w:tc>
        <w:tc>
          <w:tcPr>
            <w:tcW w:w="0" w:type="auto"/>
            <w:vAlign w:val="center"/>
          </w:tcPr>
          <w:p w14:paraId="7A7D449F" w14:textId="6C6F6B35" w:rsidR="00A17959" w:rsidRPr="00081FB4" w:rsidRDefault="00A17959" w:rsidP="00591A56">
            <w:pPr>
              <w:pStyle w:val="1Paragraph"/>
              <w:ind w:left="0"/>
              <w:jc w:val="left"/>
              <w:rPr>
                <w:color w:val="000000" w:themeColor="text1"/>
                <w:sz w:val="20"/>
                <w:szCs w:val="20"/>
              </w:rPr>
            </w:pPr>
            <w:r w:rsidRPr="00081FB4">
              <w:rPr>
                <w:color w:val="000000" w:themeColor="text1"/>
                <w:sz w:val="20"/>
                <w:szCs w:val="20"/>
              </w:rPr>
              <w:t>B</w:t>
            </w:r>
          </w:p>
        </w:tc>
        <w:tc>
          <w:tcPr>
            <w:tcW w:w="0" w:type="auto"/>
          </w:tcPr>
          <w:p w14:paraId="32BE900F" w14:textId="2E9FAF03" w:rsidR="00A17959" w:rsidRPr="00A80364" w:rsidRDefault="009214E0" w:rsidP="00591A56">
            <w:pPr>
              <w:pStyle w:val="1Paragraph"/>
              <w:ind w:left="0"/>
              <w:jc w:val="right"/>
              <w:rPr>
                <w:color w:val="000000" w:themeColor="text1"/>
                <w:sz w:val="20"/>
                <w:szCs w:val="20"/>
              </w:rPr>
            </w:pPr>
            <w:r>
              <w:rPr>
                <w:color w:val="000000" w:themeColor="text1"/>
                <w:sz w:val="20"/>
                <w:szCs w:val="20"/>
              </w:rPr>
              <w:t>18000</w:t>
            </w:r>
          </w:p>
        </w:tc>
        <w:tc>
          <w:tcPr>
            <w:tcW w:w="0" w:type="auto"/>
            <w:vAlign w:val="center"/>
          </w:tcPr>
          <w:p w14:paraId="53A95282" w14:textId="77777777" w:rsidR="00A17959" w:rsidRPr="00A80364" w:rsidRDefault="00A17959" w:rsidP="00591A56">
            <w:pPr>
              <w:pStyle w:val="1Paragraph"/>
              <w:ind w:left="0"/>
              <w:jc w:val="right"/>
              <w:rPr>
                <w:color w:val="000000" w:themeColor="text1"/>
                <w:sz w:val="20"/>
                <w:szCs w:val="20"/>
              </w:rPr>
            </w:pPr>
          </w:p>
        </w:tc>
        <w:tc>
          <w:tcPr>
            <w:tcW w:w="0" w:type="auto"/>
          </w:tcPr>
          <w:p w14:paraId="21CF34DF" w14:textId="77777777" w:rsidR="00A17959" w:rsidRPr="00A80364" w:rsidRDefault="00A17959" w:rsidP="00591A56">
            <w:pPr>
              <w:pStyle w:val="1Paragraph"/>
              <w:ind w:left="0"/>
              <w:jc w:val="right"/>
              <w:rPr>
                <w:color w:val="000000" w:themeColor="text1"/>
                <w:sz w:val="20"/>
                <w:szCs w:val="20"/>
              </w:rPr>
            </w:pPr>
          </w:p>
        </w:tc>
      </w:tr>
    </w:tbl>
    <w:p w14:paraId="764049EF" w14:textId="77777777" w:rsidR="00E2616F" w:rsidRPr="000F5EFE" w:rsidRDefault="00E2616F" w:rsidP="002E3842">
      <w:pPr>
        <w:pStyle w:val="Index3"/>
      </w:pPr>
      <w:bookmarkStart w:id="12" w:name="_Toc493062436"/>
      <w:bookmarkStart w:id="13" w:name="_Toc494699108"/>
      <w:bookmarkEnd w:id="10"/>
      <w:bookmarkEnd w:id="11"/>
      <w:r w:rsidRPr="000F5EFE">
        <w:t>Schedule</w:t>
      </w:r>
      <w:bookmarkEnd w:id="12"/>
      <w:bookmarkEnd w:id="13"/>
    </w:p>
    <w:p w14:paraId="1B6152F5" w14:textId="77777777" w:rsidR="00E2616F" w:rsidRPr="000F5EFE" w:rsidRDefault="00E2616F" w:rsidP="00E2616F">
      <w:pPr>
        <w:pStyle w:val="Index4"/>
        <w:rPr>
          <w:color w:val="000000" w:themeColor="text1"/>
        </w:rPr>
      </w:pPr>
      <w:r w:rsidRPr="000F5EFE">
        <w:rPr>
          <w:color w:val="000000" w:themeColor="text1"/>
        </w:rPr>
        <w:t xml:space="preserve">The bidder is required to provide a schedule based on estimated delivery periods. </w:t>
      </w:r>
      <w:r w:rsidR="00A17959">
        <w:rPr>
          <w:color w:val="000000" w:themeColor="text1"/>
        </w:rPr>
        <w:t>Necsa</w:t>
      </w:r>
      <w:r w:rsidRPr="000F5EFE">
        <w:rPr>
          <w:color w:val="000000" w:themeColor="text1"/>
        </w:rPr>
        <w:t xml:space="preserve"> may indicate preferences for start and end dates or duration of the contract.</w:t>
      </w:r>
    </w:p>
    <w:p w14:paraId="7FB841AA" w14:textId="77777777" w:rsidR="00E2616F" w:rsidRPr="00E2616F" w:rsidRDefault="00E2616F" w:rsidP="00E2616F">
      <w:pPr>
        <w:pStyle w:val="Index4"/>
        <w:rPr>
          <w:color w:val="000000" w:themeColor="text1"/>
        </w:rPr>
      </w:pPr>
      <w:r w:rsidRPr="000F5EFE">
        <w:rPr>
          <w:color w:val="000000" w:themeColor="text1"/>
        </w:rPr>
        <w:t>The final delivery date, start and end dates or duration will be negotiated and fixed once the contract is awarded.</w:t>
      </w:r>
    </w:p>
    <w:p w14:paraId="5ABC0D98" w14:textId="77777777" w:rsidR="009D79A3" w:rsidRDefault="00213098" w:rsidP="002E3842">
      <w:pPr>
        <w:pStyle w:val="Index3"/>
      </w:pPr>
      <w:bookmarkStart w:id="14" w:name="_Toc494699109"/>
      <w:r>
        <w:t>Applicable Necsa Policies</w:t>
      </w:r>
      <w:bookmarkEnd w:id="14"/>
    </w:p>
    <w:p w14:paraId="7B625D5A" w14:textId="77777777" w:rsidR="00213098" w:rsidRDefault="006B719C" w:rsidP="00844159">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14F53E8F" w14:textId="77777777" w:rsidTr="00D43C55">
        <w:tc>
          <w:tcPr>
            <w:tcW w:w="1640" w:type="pct"/>
            <w:vAlign w:val="center"/>
          </w:tcPr>
          <w:p w14:paraId="07A43D6F" w14:textId="77777777" w:rsidR="00D43C55" w:rsidRDefault="00D43C55" w:rsidP="00D43C55">
            <w:pPr>
              <w:pStyle w:val="1Paragraph"/>
              <w:ind w:left="0"/>
              <w:jc w:val="left"/>
            </w:pPr>
            <w:r w:rsidRPr="00AE1249">
              <w:t>SHEQ-INS-0100</w:t>
            </w:r>
          </w:p>
        </w:tc>
        <w:tc>
          <w:tcPr>
            <w:tcW w:w="3360" w:type="pct"/>
            <w:vAlign w:val="center"/>
          </w:tcPr>
          <w:p w14:paraId="42D588FE" w14:textId="77777777" w:rsidR="00D43C55" w:rsidRDefault="00D43C55" w:rsidP="00D43C55">
            <w:pPr>
              <w:pStyle w:val="1Paragraph"/>
              <w:ind w:left="0"/>
            </w:pPr>
            <w:r w:rsidRPr="00AE1249">
              <w:t>Necsa General Safety, Health and Environmental Policy.</w:t>
            </w:r>
          </w:p>
        </w:tc>
      </w:tr>
      <w:tr w:rsidR="00D43C55" w14:paraId="1437B93F" w14:textId="77777777" w:rsidTr="00D43C55">
        <w:tc>
          <w:tcPr>
            <w:tcW w:w="1640" w:type="pct"/>
            <w:vAlign w:val="center"/>
          </w:tcPr>
          <w:p w14:paraId="1F6DB5F7" w14:textId="77777777" w:rsidR="00D43C55" w:rsidRPr="00AE1249" w:rsidRDefault="00D43C55" w:rsidP="00D43C55">
            <w:pPr>
              <w:pStyle w:val="1Paragraph"/>
              <w:ind w:left="0"/>
              <w:jc w:val="left"/>
            </w:pPr>
            <w:r w:rsidRPr="00AE1249">
              <w:t>SHEQ-INS-0102</w:t>
            </w:r>
          </w:p>
        </w:tc>
        <w:tc>
          <w:tcPr>
            <w:tcW w:w="3360" w:type="pct"/>
            <w:vAlign w:val="center"/>
          </w:tcPr>
          <w:p w14:paraId="4EEA792E" w14:textId="77777777" w:rsidR="00D43C55" w:rsidRPr="00AE1249" w:rsidRDefault="00D43C55" w:rsidP="00D43C55">
            <w:pPr>
              <w:pStyle w:val="1Paragraph"/>
              <w:ind w:left="0"/>
            </w:pPr>
            <w:r w:rsidRPr="00AE1249">
              <w:t>Necsa Alcohol and Drug Policy</w:t>
            </w:r>
            <w:r>
              <w:t>.</w:t>
            </w:r>
          </w:p>
        </w:tc>
      </w:tr>
      <w:tr w:rsidR="00D43C55" w14:paraId="5368B4C3" w14:textId="77777777" w:rsidTr="00D43C55">
        <w:tc>
          <w:tcPr>
            <w:tcW w:w="1640" w:type="pct"/>
            <w:vAlign w:val="center"/>
          </w:tcPr>
          <w:p w14:paraId="38CA7011" w14:textId="77777777" w:rsidR="00D43C55" w:rsidRPr="00AE1249" w:rsidRDefault="00D43C55" w:rsidP="00D43C55">
            <w:pPr>
              <w:pStyle w:val="1Paragraph"/>
              <w:ind w:left="0"/>
              <w:jc w:val="left"/>
            </w:pPr>
            <w:r>
              <w:t>FBD-SCM-2017-PRO-0001</w:t>
            </w:r>
          </w:p>
        </w:tc>
        <w:tc>
          <w:tcPr>
            <w:tcW w:w="3360" w:type="pct"/>
            <w:vAlign w:val="center"/>
          </w:tcPr>
          <w:p w14:paraId="493A0F45"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72EB8FDA" w14:textId="77777777" w:rsidR="006B719C" w:rsidRDefault="006B719C" w:rsidP="00B87D31">
      <w:pPr>
        <w:pStyle w:val="Index2"/>
      </w:pPr>
      <w:bookmarkStart w:id="15" w:name="_Toc494699110"/>
      <w:r>
        <w:t>Applicable Necsa Procedures</w:t>
      </w:r>
      <w:bookmarkEnd w:id="15"/>
    </w:p>
    <w:p w14:paraId="51FA976E" w14:textId="77777777" w:rsidR="006B719C" w:rsidRDefault="006B719C" w:rsidP="002E3842">
      <w:pPr>
        <w:pStyle w:val="Index3"/>
      </w:pPr>
      <w:bookmarkStart w:id="16" w:name="_Toc494699111"/>
      <w:r>
        <w:t>Requirements to Access Necsa Site</w:t>
      </w:r>
      <w:bookmarkEnd w:id="16"/>
    </w:p>
    <w:p w14:paraId="15902CE8" w14:textId="77777777" w:rsidR="00AE1249" w:rsidRPr="00AE1249" w:rsidRDefault="00AE1249" w:rsidP="00844159">
      <w:pPr>
        <w:pStyle w:val="Index4"/>
      </w:pPr>
      <w:r w:rsidRPr="00AE1249">
        <w:t>As Necsa site is a National Key Point access for tenderers are restricted to enter the site and the building where the briefing session will be held only.</w:t>
      </w:r>
    </w:p>
    <w:p w14:paraId="571780DE" w14:textId="77777777" w:rsidR="00AE1249" w:rsidRPr="00AE1249" w:rsidRDefault="00AE1249" w:rsidP="00844159">
      <w:pPr>
        <w:pStyle w:val="Index4"/>
      </w:pPr>
      <w:r w:rsidRPr="00AE1249">
        <w:t>Access to any other area will only be allowed when escorted by Necsa staff that is conversant in the security and safety requirements and conditions of the specific area.</w:t>
      </w:r>
    </w:p>
    <w:p w14:paraId="3BB7B484" w14:textId="77777777" w:rsidR="00AE1249" w:rsidRDefault="00AE1249" w:rsidP="00844159">
      <w:pPr>
        <w:pStyle w:val="Index4"/>
      </w:pPr>
      <w:r w:rsidRPr="00AE1249">
        <w:t xml:space="preserve">The Necsa Contact Person for this bid will </w:t>
      </w:r>
      <w:proofErr w:type="gramStart"/>
      <w:r w:rsidRPr="00AE1249">
        <w:t>make arrangements</w:t>
      </w:r>
      <w:proofErr w:type="gramEnd"/>
      <w:r w:rsidRPr="00AE1249">
        <w:t xml:space="preserve"> for site access for all bidders that submitted their expression of interest accompanied by the following information, which shall be verified on the provision of a South African Identification </w:t>
      </w:r>
      <w:r w:rsidRPr="00A36A66">
        <w:t>Document or Driver’s License</w:t>
      </w:r>
      <w:r w:rsidR="00BF1076">
        <w:t xml:space="preserve"> or Passport</w:t>
      </w:r>
      <w:r w:rsidRPr="00A36A66">
        <w:t>:</w:t>
      </w:r>
    </w:p>
    <w:tbl>
      <w:tblPr>
        <w:tblStyle w:val="TableGrid"/>
        <w:tblW w:w="4561" w:type="pct"/>
        <w:tblInd w:w="846" w:type="dxa"/>
        <w:tblLook w:val="04A0" w:firstRow="1" w:lastRow="0" w:firstColumn="1" w:lastColumn="0" w:noHBand="0" w:noVBand="1"/>
      </w:tblPr>
      <w:tblGrid>
        <w:gridCol w:w="386"/>
        <w:gridCol w:w="8396"/>
      </w:tblGrid>
      <w:tr w:rsidR="00D43C55" w14:paraId="3B4017A8" w14:textId="77777777" w:rsidTr="00D43C55">
        <w:tc>
          <w:tcPr>
            <w:tcW w:w="220" w:type="pct"/>
            <w:vAlign w:val="center"/>
          </w:tcPr>
          <w:p w14:paraId="11950D10" w14:textId="77777777" w:rsidR="00D43C55" w:rsidRDefault="00D43C55" w:rsidP="00D43C55">
            <w:pPr>
              <w:pStyle w:val="1Paragraph"/>
              <w:ind w:left="0"/>
              <w:jc w:val="left"/>
            </w:pPr>
          </w:p>
        </w:tc>
        <w:tc>
          <w:tcPr>
            <w:tcW w:w="4780" w:type="pct"/>
            <w:vAlign w:val="center"/>
          </w:tcPr>
          <w:p w14:paraId="1E22E1E0" w14:textId="77777777" w:rsidR="00D43C55" w:rsidRDefault="00D43C55" w:rsidP="00D43C55">
            <w:pPr>
              <w:pStyle w:val="1Paragraph"/>
              <w:ind w:left="0"/>
            </w:pPr>
            <w:r w:rsidRPr="00AE1249">
              <w:t>Full names and surname</w:t>
            </w:r>
          </w:p>
        </w:tc>
      </w:tr>
      <w:tr w:rsidR="00D43C55" w14:paraId="7E4CBFDC" w14:textId="77777777" w:rsidTr="00D43C55">
        <w:tc>
          <w:tcPr>
            <w:tcW w:w="220" w:type="pct"/>
            <w:vAlign w:val="center"/>
          </w:tcPr>
          <w:p w14:paraId="24D8543C" w14:textId="77777777" w:rsidR="00D43C55" w:rsidRDefault="00D43C55" w:rsidP="00D43C55">
            <w:pPr>
              <w:pStyle w:val="1Paragraph"/>
              <w:ind w:left="0"/>
              <w:jc w:val="left"/>
            </w:pPr>
          </w:p>
        </w:tc>
        <w:tc>
          <w:tcPr>
            <w:tcW w:w="4780" w:type="pct"/>
            <w:vAlign w:val="center"/>
          </w:tcPr>
          <w:p w14:paraId="1A245139" w14:textId="77777777" w:rsidR="00D43C55" w:rsidRPr="00AE1249" w:rsidRDefault="00D43C55" w:rsidP="00D43C55">
            <w:pPr>
              <w:pStyle w:val="1Paragraph"/>
              <w:ind w:left="0"/>
            </w:pPr>
            <w:r w:rsidRPr="00AE1249">
              <w:t>ID or passport number</w:t>
            </w:r>
          </w:p>
        </w:tc>
      </w:tr>
      <w:tr w:rsidR="00D43C55" w14:paraId="0D72833A" w14:textId="77777777" w:rsidTr="00D43C55">
        <w:tc>
          <w:tcPr>
            <w:tcW w:w="220" w:type="pct"/>
            <w:vAlign w:val="center"/>
          </w:tcPr>
          <w:p w14:paraId="6169580D" w14:textId="77777777" w:rsidR="00D43C55" w:rsidRDefault="00D43C55" w:rsidP="00D43C55">
            <w:pPr>
              <w:pStyle w:val="1Paragraph"/>
              <w:ind w:left="0"/>
              <w:jc w:val="left"/>
            </w:pPr>
          </w:p>
        </w:tc>
        <w:tc>
          <w:tcPr>
            <w:tcW w:w="4780" w:type="pct"/>
            <w:vAlign w:val="center"/>
          </w:tcPr>
          <w:p w14:paraId="2163D1C0" w14:textId="77777777" w:rsidR="00D43C55" w:rsidRPr="00AE1249" w:rsidRDefault="00D43C55" w:rsidP="00D43C55">
            <w:pPr>
              <w:pStyle w:val="1Paragraph"/>
              <w:ind w:left="0"/>
            </w:pPr>
            <w:r w:rsidRPr="00AE1249">
              <w:t>Mobile of work telephone number</w:t>
            </w:r>
          </w:p>
        </w:tc>
      </w:tr>
      <w:tr w:rsidR="00D43C55" w14:paraId="6F71C933" w14:textId="77777777" w:rsidTr="00D43C55">
        <w:tc>
          <w:tcPr>
            <w:tcW w:w="220" w:type="pct"/>
            <w:vAlign w:val="center"/>
          </w:tcPr>
          <w:p w14:paraId="7D20FEB1" w14:textId="77777777" w:rsidR="00D43C55" w:rsidRDefault="00D43C55" w:rsidP="00D43C55">
            <w:pPr>
              <w:pStyle w:val="1Paragraph"/>
              <w:ind w:left="0"/>
              <w:jc w:val="left"/>
            </w:pPr>
          </w:p>
        </w:tc>
        <w:tc>
          <w:tcPr>
            <w:tcW w:w="4780" w:type="pct"/>
            <w:vAlign w:val="center"/>
          </w:tcPr>
          <w:p w14:paraId="75D7B619" w14:textId="77777777" w:rsidR="00D43C55" w:rsidRPr="00AE1249" w:rsidRDefault="00D43C55" w:rsidP="00D43C55">
            <w:pPr>
              <w:pStyle w:val="1Paragraph"/>
              <w:ind w:left="0"/>
            </w:pPr>
            <w:r w:rsidRPr="00AE1249">
              <w:t>Employer name and phone number</w:t>
            </w:r>
          </w:p>
        </w:tc>
      </w:tr>
      <w:tr w:rsidR="00BF1076" w14:paraId="41D7E985" w14:textId="77777777" w:rsidTr="00D43C55">
        <w:tc>
          <w:tcPr>
            <w:tcW w:w="220" w:type="pct"/>
            <w:vAlign w:val="center"/>
          </w:tcPr>
          <w:p w14:paraId="7B40ADEC" w14:textId="77777777" w:rsidR="00BF1076" w:rsidRDefault="00BF1076" w:rsidP="00D43C55">
            <w:pPr>
              <w:pStyle w:val="1Paragraph"/>
              <w:ind w:left="0"/>
              <w:jc w:val="left"/>
            </w:pPr>
          </w:p>
        </w:tc>
        <w:tc>
          <w:tcPr>
            <w:tcW w:w="4780" w:type="pct"/>
            <w:vAlign w:val="center"/>
          </w:tcPr>
          <w:p w14:paraId="7B5D356F" w14:textId="77777777" w:rsidR="00BF1076" w:rsidRPr="00AE1249" w:rsidRDefault="00BF1076" w:rsidP="00D43C55">
            <w:pPr>
              <w:pStyle w:val="1Paragraph"/>
              <w:ind w:left="0"/>
            </w:pPr>
            <w:r>
              <w:t>Vehicle make and colour</w:t>
            </w:r>
          </w:p>
        </w:tc>
      </w:tr>
      <w:tr w:rsidR="00D43C55" w14:paraId="1B8A9F5A" w14:textId="77777777" w:rsidTr="00D43C55">
        <w:tc>
          <w:tcPr>
            <w:tcW w:w="220" w:type="pct"/>
            <w:vAlign w:val="center"/>
          </w:tcPr>
          <w:p w14:paraId="13267972" w14:textId="77777777" w:rsidR="00D43C55" w:rsidRDefault="00D43C55" w:rsidP="00D43C55">
            <w:pPr>
              <w:pStyle w:val="1Paragraph"/>
              <w:ind w:left="0"/>
              <w:jc w:val="left"/>
            </w:pPr>
          </w:p>
        </w:tc>
        <w:tc>
          <w:tcPr>
            <w:tcW w:w="4780" w:type="pct"/>
            <w:vAlign w:val="center"/>
          </w:tcPr>
          <w:p w14:paraId="460DD3FE" w14:textId="77777777" w:rsidR="00D43C55" w:rsidRPr="00AE1249" w:rsidRDefault="00D43C55" w:rsidP="00D43C55">
            <w:pPr>
              <w:pStyle w:val="1Paragraph"/>
              <w:ind w:left="0"/>
            </w:pPr>
            <w:r w:rsidRPr="00AE1249">
              <w:t>Vehicle registration number</w:t>
            </w:r>
          </w:p>
        </w:tc>
      </w:tr>
    </w:tbl>
    <w:p w14:paraId="300FFEA3" w14:textId="77777777" w:rsidR="00AE1249" w:rsidRPr="00A36A66" w:rsidRDefault="00AE1249" w:rsidP="00844159">
      <w:pPr>
        <w:pStyle w:val="Index4"/>
      </w:pPr>
      <w:r w:rsidRPr="00A36A66">
        <w:t>In the case of foreign citizens, whether visitors to South Africa or residents in the country, a copy or scan of the passport must be submitted at least two (2) weeks before the date required to enter on the Necsa site.</w:t>
      </w:r>
    </w:p>
    <w:p w14:paraId="70A87CDE" w14:textId="77777777" w:rsidR="00AE1249" w:rsidRPr="00AE1249" w:rsidRDefault="00AE1249" w:rsidP="00844159">
      <w:pPr>
        <w:pStyle w:val="Index4"/>
      </w:pPr>
      <w:r w:rsidRPr="00AE1249">
        <w:t>Nobody will be allowed to enter the site if they are not in possession of the above identification documents.</w:t>
      </w:r>
    </w:p>
    <w:p w14:paraId="0ACB3FB2" w14:textId="77777777" w:rsidR="006B719C" w:rsidRDefault="00931917" w:rsidP="002E3842">
      <w:pPr>
        <w:pStyle w:val="Index3"/>
      </w:pPr>
      <w:bookmarkStart w:id="17" w:name="_Toc494699112"/>
      <w:r>
        <w:lastRenderedPageBreak/>
        <w:t>Emergencies, Incidents, Accidents</w:t>
      </w:r>
      <w:bookmarkEnd w:id="17"/>
    </w:p>
    <w:p w14:paraId="32574AA2" w14:textId="77777777" w:rsidR="00931917" w:rsidRDefault="00931917" w:rsidP="00844159">
      <w:pPr>
        <w:pStyle w:val="Index4"/>
      </w:pPr>
      <w:r>
        <w:t>Necsa maintains an Emergency Control Centre, a Fire Brigade and Paramedics with a fully equipped ambulance, an on-site Medical Clinic with doctors and nursing staff and several highly trained response personnel.</w:t>
      </w:r>
    </w:p>
    <w:p w14:paraId="59D700D1" w14:textId="77777777" w:rsidR="00931917" w:rsidRDefault="00931917" w:rsidP="00844159">
      <w:pPr>
        <w:pStyle w:val="Index4"/>
      </w:pPr>
      <w:r>
        <w:t>The Emergency Control Centre and emergency response personnel are on call 24/7 and equipped to handle any emergencies foreseen.</w:t>
      </w:r>
    </w:p>
    <w:p w14:paraId="28473535" w14:textId="77777777" w:rsidR="00931917" w:rsidRDefault="00931917" w:rsidP="00844159">
      <w:pPr>
        <w:pStyle w:val="Index4"/>
      </w:pPr>
      <w:r>
        <w:t>If any emergency situation, incident, accident or injury should occur the Emergency Control Centre should be contacted at extension 3333 or 012 305 3333.</w:t>
      </w:r>
    </w:p>
    <w:p w14:paraId="4ED0FF94" w14:textId="77777777" w:rsidR="00931917" w:rsidRDefault="00931917" w:rsidP="00844159">
      <w:pPr>
        <w:pStyle w:val="Index4"/>
      </w:pPr>
      <w:r>
        <w:t>Emergency exercises and site alarm tests are conducted from time to time to ensure full preparedness of all Necsa staff. The site wide announcement will clearly state this is an exercise/test.</w:t>
      </w:r>
    </w:p>
    <w:p w14:paraId="42E9BBFD" w14:textId="77777777" w:rsidR="00931917" w:rsidRDefault="00931917" w:rsidP="00844159">
      <w:pPr>
        <w:pStyle w:val="Index4"/>
      </w:pPr>
      <w:r>
        <w:t>Everyone, including visitors, are required to follow emergency instructions. Your site host will explain the details during the compulsory briefing session.</w:t>
      </w:r>
    </w:p>
    <w:p w14:paraId="1BDDAFFB" w14:textId="77777777" w:rsidR="00931917" w:rsidRDefault="00931917" w:rsidP="002E3842">
      <w:pPr>
        <w:pStyle w:val="Index3"/>
      </w:pPr>
      <w:bookmarkStart w:id="18" w:name="_Toc494699113"/>
      <w:r>
        <w:t>Necsa Health, Safety and Environmental Requirements</w:t>
      </w:r>
      <w:bookmarkEnd w:id="18"/>
    </w:p>
    <w:p w14:paraId="22B4E636" w14:textId="77777777" w:rsidR="00554C52" w:rsidRDefault="00554C52" w:rsidP="00844159">
      <w:pPr>
        <w:pStyle w:val="Index4"/>
      </w:pPr>
      <w:r w:rsidRPr="00DB77DD">
        <w:t>The bidder shall submit its company Health, Safety and Environmental (SHE) Policy with the bid. It shall reflect the intention to submit a SHE Plan in relation to the work that will be performed.</w:t>
      </w:r>
    </w:p>
    <w:p w14:paraId="10F057AC" w14:textId="77777777" w:rsidR="00554C52" w:rsidRDefault="00554C52" w:rsidP="002E3842">
      <w:pPr>
        <w:pStyle w:val="Index3"/>
      </w:pPr>
      <w:bookmarkStart w:id="19" w:name="_Toc494699114"/>
      <w:r>
        <w:t>Necsa Requirements for Quality</w:t>
      </w:r>
      <w:bookmarkEnd w:id="19"/>
    </w:p>
    <w:p w14:paraId="6F6021D8" w14:textId="77777777" w:rsidR="00554C52" w:rsidRDefault="00554C52" w:rsidP="00844159">
      <w:pPr>
        <w:pStyle w:val="Index4"/>
      </w:pPr>
      <w:r w:rsidRPr="00F3718B">
        <w:t>The bidder shall submit its company Quality Policy with its bid. It shall reflect the intention to submit a Quality Plan for ensuring all deliverables comply with the bid specifications.</w:t>
      </w:r>
    </w:p>
    <w:p w14:paraId="55FF5CCB" w14:textId="77777777" w:rsidR="00544FC3" w:rsidRDefault="00544FC3" w:rsidP="002E3842">
      <w:pPr>
        <w:pStyle w:val="Index3"/>
      </w:pPr>
      <w:bookmarkStart w:id="20" w:name="_Toc494699115"/>
      <w:r>
        <w:t>Necsa Requirements for Project SHEQ</w:t>
      </w:r>
      <w:bookmarkEnd w:id="20"/>
    </w:p>
    <w:p w14:paraId="4097C55E" w14:textId="77777777" w:rsidR="00544FC3" w:rsidRPr="00544FC3" w:rsidRDefault="00544FC3" w:rsidP="00844159">
      <w:pPr>
        <w:pStyle w:val="Index4"/>
      </w:pPr>
      <w:proofErr w:type="spellStart"/>
      <w:r>
        <w:t>Necsa’s</w:t>
      </w:r>
      <w:proofErr w:type="spellEnd"/>
      <w:r>
        <w:t xml:space="preserve"> SHEQ Project Approval Process prescribes that all planned projects or project phases be assessed for compliance with Necsa/s SHEQ requirements (SHEQ-INS-0823).</w:t>
      </w:r>
    </w:p>
    <w:p w14:paraId="197B7706" w14:textId="77777777" w:rsidR="009171F1" w:rsidRDefault="009171F1" w:rsidP="002E3842">
      <w:pPr>
        <w:pStyle w:val="Index3"/>
      </w:pPr>
      <w:bookmarkStart w:id="21" w:name="_Toc494699116"/>
      <w:r>
        <w:t>Confidentiality</w:t>
      </w:r>
      <w:bookmarkEnd w:id="21"/>
    </w:p>
    <w:p w14:paraId="3091ECC9" w14:textId="77777777" w:rsidR="00554C52" w:rsidRDefault="00554C52" w:rsidP="00844159">
      <w:pPr>
        <w:pStyle w:val="Index4"/>
      </w:pPr>
      <w:r w:rsidRPr="00313457">
        <w:t>Bidders shall handle the contents of this document as confidential and private and may not disclose it to a third party or publish in any way whatsoever.</w:t>
      </w:r>
    </w:p>
    <w:p w14:paraId="6935990F" w14:textId="77777777" w:rsidR="009171F1" w:rsidRDefault="009171F1" w:rsidP="00844159">
      <w:pPr>
        <w:pStyle w:val="Index4"/>
      </w:pPr>
      <w:r>
        <w:t xml:space="preserve">The signing of </w:t>
      </w:r>
      <w:proofErr w:type="spellStart"/>
      <w:r>
        <w:t>Necsa’s</w:t>
      </w:r>
      <w:proofErr w:type="spellEnd"/>
      <w:r>
        <w:t xml:space="preserve"> Confidentiality agreement will only be required if information of a confidential nature </w:t>
      </w:r>
      <w:proofErr w:type="gramStart"/>
      <w:r>
        <w:t>are</w:t>
      </w:r>
      <w:proofErr w:type="gramEnd"/>
      <w:r>
        <w:t xml:space="preserve"> provided to the bidders.</w:t>
      </w:r>
    </w:p>
    <w:p w14:paraId="483DBD93" w14:textId="77777777" w:rsidR="009171F1" w:rsidRDefault="009171F1" w:rsidP="00844159">
      <w:pPr>
        <w:pStyle w:val="Index4"/>
      </w:pPr>
      <w:r>
        <w:t>Normally this is only required on entering into the contract, which is not part of the bid specification.</w:t>
      </w:r>
    </w:p>
    <w:p w14:paraId="039E842D" w14:textId="77777777" w:rsidR="00E2616F" w:rsidRDefault="00E2616F">
      <w:pPr>
        <w:widowControl/>
        <w:spacing w:before="0" w:after="200"/>
        <w:outlineLvl w:val="9"/>
      </w:pPr>
    </w:p>
    <w:p w14:paraId="734168AB" w14:textId="77777777" w:rsidR="00081FB4" w:rsidRDefault="00081FB4">
      <w:pPr>
        <w:widowControl/>
        <w:spacing w:before="0" w:after="200"/>
        <w:outlineLvl w:val="9"/>
      </w:pPr>
    </w:p>
    <w:p w14:paraId="2F595C69" w14:textId="77777777" w:rsidR="009171F1" w:rsidRDefault="009171F1" w:rsidP="00D6488C">
      <w:pPr>
        <w:pStyle w:val="Index1"/>
      </w:pPr>
      <w:bookmarkStart w:id="22" w:name="_Toc494699117"/>
      <w:bookmarkEnd w:id="22"/>
    </w:p>
    <w:p w14:paraId="123AFE64" w14:textId="77777777" w:rsidR="00D6488C" w:rsidRPr="00B87D31" w:rsidRDefault="00D6488C" w:rsidP="00B87D31">
      <w:pPr>
        <w:pStyle w:val="Index2"/>
        <w:numPr>
          <w:ilvl w:val="1"/>
          <w:numId w:val="12"/>
        </w:numPr>
        <w:rPr>
          <w:lang w:val="en-ZA"/>
        </w:rPr>
      </w:pPr>
      <w:bookmarkStart w:id="23" w:name="_Toc494699118"/>
      <w:r w:rsidRPr="00B87D31">
        <w:rPr>
          <w:lang w:val="en-ZA"/>
        </w:rPr>
        <w:t>Instruction to Bidders</w:t>
      </w:r>
      <w:bookmarkEnd w:id="23"/>
    </w:p>
    <w:p w14:paraId="7C3DF86C" w14:textId="77777777" w:rsidR="00A42E16" w:rsidRPr="00A42E16" w:rsidRDefault="00A42E16" w:rsidP="002E3842">
      <w:pPr>
        <w:pStyle w:val="Index3"/>
      </w:pPr>
      <w:bookmarkStart w:id="24" w:name="_Toc494699119"/>
      <w:r w:rsidRPr="00A42E16">
        <w:t>General</w:t>
      </w:r>
      <w:bookmarkEnd w:id="24"/>
    </w:p>
    <w:p w14:paraId="70704CFB" w14:textId="77777777" w:rsidR="00A42E16" w:rsidRDefault="00A42E16" w:rsidP="00844159">
      <w:pPr>
        <w:pStyle w:val="Index4"/>
      </w:pPr>
      <w:r w:rsidRPr="006D6438">
        <w:t>Bidders must familiarise themselves with and comply with the mandatory requirements and ensure their availability for site visits and presentations, as required, on the appropriate dates</w:t>
      </w:r>
      <w:r w:rsidR="00BF1076">
        <w:t xml:space="preserve"> and time</w:t>
      </w:r>
      <w:r w:rsidRPr="006D6438">
        <w:t xml:space="preserve">. </w:t>
      </w:r>
    </w:p>
    <w:p w14:paraId="1F461BDE" w14:textId="77777777" w:rsidR="00F80D24" w:rsidRDefault="00F80D24" w:rsidP="002E3842">
      <w:pPr>
        <w:pStyle w:val="Index3"/>
      </w:pPr>
      <w:bookmarkStart w:id="25" w:name="_Toc494699120"/>
      <w:r>
        <w:t>Bidder Information</w:t>
      </w:r>
      <w:bookmarkEnd w:id="25"/>
    </w:p>
    <w:p w14:paraId="5FA7CFAA" w14:textId="77777777" w:rsidR="00F80D24" w:rsidRDefault="00F80D24" w:rsidP="00844159">
      <w:pPr>
        <w:pStyle w:val="Index4"/>
      </w:pPr>
      <w:r w:rsidRPr="00A42E16">
        <w:t xml:space="preserve">The required information on the bidder must be completed as stipulated in </w:t>
      </w:r>
      <w:r w:rsidRPr="0071520B">
        <w:t>Annexure A</w:t>
      </w:r>
      <w:r w:rsidRPr="00A42E16">
        <w:t xml:space="preserve">. </w:t>
      </w:r>
      <w:r w:rsidRPr="00A42E16">
        <w:lastRenderedPageBreak/>
        <w:t>Failure to do so may result in disqualification.</w:t>
      </w:r>
    </w:p>
    <w:p w14:paraId="43D6998E" w14:textId="77777777" w:rsidR="005B1F78" w:rsidRDefault="005B1F78" w:rsidP="00844159">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1ACDAC89" w14:textId="77777777" w:rsidR="005B1F78" w:rsidRPr="00CF6AC3" w:rsidRDefault="005B1F78" w:rsidP="00844159">
      <w:pPr>
        <w:pStyle w:val="Index4"/>
      </w:pPr>
      <w:r w:rsidRPr="00CF6AC3">
        <w:t>The successful bidder shall demonstrate to Necsa that adequate pre-employment screening, including security screening, was performed on their employees/sub-contractors (staff).</w:t>
      </w:r>
    </w:p>
    <w:p w14:paraId="5F60D657" w14:textId="77777777" w:rsidR="005B1F78" w:rsidRDefault="005B1F78" w:rsidP="00844159">
      <w:pPr>
        <w:pStyle w:val="Index4"/>
      </w:pPr>
      <w:r w:rsidRPr="00CF6AC3">
        <w:t>The pre-employment screening shall as a minimum be able to:</w:t>
      </w:r>
    </w:p>
    <w:p w14:paraId="210BA7E4" w14:textId="77777777" w:rsidR="005B1F78" w:rsidRPr="00CF6AC3" w:rsidRDefault="005B1F78" w:rsidP="005B1F78">
      <w:pPr>
        <w:pStyle w:val="Index5"/>
      </w:pPr>
      <w:r w:rsidRPr="00CF6AC3">
        <w:t>Authenticate that staff are who they claim to be;</w:t>
      </w:r>
    </w:p>
    <w:p w14:paraId="573498F6" w14:textId="77777777" w:rsidR="005B1F78" w:rsidRPr="00CF6AC3" w:rsidRDefault="005B1F78" w:rsidP="005B1F78">
      <w:pPr>
        <w:pStyle w:val="Index5"/>
      </w:pPr>
      <w:r w:rsidRPr="00CF6AC3">
        <w:t>Confirm that staff have a right to work in the RSA;</w:t>
      </w:r>
    </w:p>
    <w:p w14:paraId="17DD0BFB" w14:textId="77777777" w:rsidR="005B1F78" w:rsidRPr="00CF6AC3" w:rsidRDefault="005B1F78" w:rsidP="005B1F78">
      <w:pPr>
        <w:pStyle w:val="Index5"/>
      </w:pPr>
      <w:r w:rsidRPr="00CF6AC3">
        <w:t>Obtain written declaration from staff of any criminal record; and</w:t>
      </w:r>
    </w:p>
    <w:p w14:paraId="16216444"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1A105481" w14:textId="77777777" w:rsidR="005B1F78" w:rsidRDefault="005B1F78" w:rsidP="00844159">
      <w:pPr>
        <w:pStyle w:val="Index4"/>
      </w:pPr>
      <w:r w:rsidRPr="005B1F78">
        <w:t>The successful bidder shall deploy competent staff, supervision and labour who are appropriately experienced and trained for the work they are to undertake.</w:t>
      </w:r>
    </w:p>
    <w:p w14:paraId="7F869D7E" w14:textId="77777777" w:rsidR="005B1F78" w:rsidRDefault="005B1F78" w:rsidP="00844159">
      <w:pPr>
        <w:pStyle w:val="Index4"/>
      </w:pPr>
      <w:r w:rsidRPr="005B1F78">
        <w:t>Necsa and its representatives may seek formal assurance to this effect (including a formal audit) at any time during the contract period.</w:t>
      </w:r>
    </w:p>
    <w:p w14:paraId="6A54F9A9" w14:textId="77777777" w:rsidR="00DA39DC" w:rsidRDefault="00DA39DC" w:rsidP="002E3842">
      <w:pPr>
        <w:pStyle w:val="Index3"/>
      </w:pPr>
      <w:bookmarkStart w:id="26" w:name="_Toc494699121"/>
      <w:r>
        <w:t>Consortium</w:t>
      </w:r>
      <w:bookmarkEnd w:id="26"/>
    </w:p>
    <w:p w14:paraId="58FAB138" w14:textId="77777777" w:rsidR="00DA39DC" w:rsidRPr="004D17C6" w:rsidRDefault="00DA39DC" w:rsidP="00844159">
      <w:pPr>
        <w:pStyle w:val="Index4"/>
      </w:pPr>
      <w:r w:rsidRPr="004D17C6">
        <w:t>Bidders forming part of a Consortium must submit with their bid a copy of their Consortium agreement in a separate attachment. This must clearly indicate:</w:t>
      </w:r>
    </w:p>
    <w:p w14:paraId="246D8F9B" w14:textId="77777777" w:rsidR="00DA39DC" w:rsidRPr="004D17C6" w:rsidRDefault="00DA39DC" w:rsidP="00DA39DC">
      <w:pPr>
        <w:pStyle w:val="Index5"/>
      </w:pPr>
      <w:r>
        <w:t>T</w:t>
      </w:r>
      <w:r w:rsidRPr="004D17C6">
        <w:t>he form of agreement;</w:t>
      </w:r>
    </w:p>
    <w:p w14:paraId="1A2AF41E" w14:textId="77777777" w:rsidR="00DA39DC" w:rsidRPr="004D17C6" w:rsidRDefault="00DA39DC" w:rsidP="00DA39DC">
      <w:pPr>
        <w:pStyle w:val="Index5"/>
      </w:pPr>
      <w:r>
        <w:t>T</w:t>
      </w:r>
      <w:r w:rsidRPr="004D17C6">
        <w:t>he respective roles and responsibilities of the members;</w:t>
      </w:r>
    </w:p>
    <w:p w14:paraId="7CE3EF52" w14:textId="77777777" w:rsidR="00DA39DC" w:rsidRPr="004D17C6" w:rsidRDefault="00DA39DC" w:rsidP="00DA39DC">
      <w:pPr>
        <w:pStyle w:val="Index5"/>
      </w:pPr>
      <w:r>
        <w:t>T</w:t>
      </w:r>
      <w:r w:rsidRPr="004D17C6">
        <w:t>he identity of the lead company which will have the overall project responsibility;</w:t>
      </w:r>
    </w:p>
    <w:p w14:paraId="4F61277B"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D347BEA" w14:textId="77777777" w:rsidR="00DA39DC" w:rsidRPr="00DA39DC" w:rsidRDefault="00DA39DC" w:rsidP="00DA39DC">
      <w:pPr>
        <w:pStyle w:val="Index5"/>
      </w:pPr>
      <w:r>
        <w:t>T</w:t>
      </w:r>
      <w:r w:rsidRPr="004D17C6">
        <w:t>he member’s agreement to be jointly and severally liable to NECSA for the performance of the contract.</w:t>
      </w:r>
    </w:p>
    <w:p w14:paraId="41829EDE" w14:textId="77777777" w:rsidR="00DA39DC" w:rsidRDefault="00DA39DC" w:rsidP="002E3842">
      <w:pPr>
        <w:pStyle w:val="Index3"/>
      </w:pPr>
      <w:bookmarkStart w:id="27" w:name="_Toc494699122"/>
      <w:r>
        <w:t>Sub-contracting</w:t>
      </w:r>
      <w:bookmarkEnd w:id="27"/>
    </w:p>
    <w:p w14:paraId="4B1582D7" w14:textId="77777777" w:rsidR="00DA39DC" w:rsidRPr="004D17C6" w:rsidRDefault="00DA39DC" w:rsidP="00844159">
      <w:pPr>
        <w:pStyle w:val="Index4"/>
      </w:pPr>
      <w:r w:rsidRPr="004D17C6">
        <w:t>Bidders must detail any work to be sub-contracted, and the proposed sub-contractor(s) to be used.</w:t>
      </w:r>
    </w:p>
    <w:p w14:paraId="134943EE" w14:textId="77777777" w:rsidR="00DA39DC" w:rsidRPr="004D17C6" w:rsidRDefault="00DA39DC" w:rsidP="00844159">
      <w:pPr>
        <w:pStyle w:val="Index4"/>
      </w:pPr>
      <w:r w:rsidRPr="004D17C6">
        <w:t>Necsa reserves the right to reject the use of any of the bidder’s proposed subcontractors and any subcontractor proposed during the contract term.</w:t>
      </w:r>
    </w:p>
    <w:p w14:paraId="7CBFC26C" w14:textId="77777777" w:rsidR="00DA39DC" w:rsidRPr="00DA39DC" w:rsidRDefault="00DA39DC" w:rsidP="00844159">
      <w:pPr>
        <w:pStyle w:val="Index4"/>
      </w:pPr>
      <w:r w:rsidRPr="004D17C6">
        <w:t>Bidders are advised that Necsa will not respond to any direct approach from potential sub-contractors for details in respect of any particular item in this bid.</w:t>
      </w:r>
    </w:p>
    <w:p w14:paraId="63929594" w14:textId="77777777" w:rsidR="00A42E16" w:rsidRDefault="00F80D24" w:rsidP="002E3842">
      <w:pPr>
        <w:pStyle w:val="Index3"/>
      </w:pPr>
      <w:bookmarkStart w:id="28" w:name="_Toc494699123"/>
      <w:proofErr w:type="spellStart"/>
      <w:r>
        <w:t>Necsa’s</w:t>
      </w:r>
      <w:proofErr w:type="spellEnd"/>
      <w:r>
        <w:t xml:space="preserve"> Bidding </w:t>
      </w:r>
      <w:r w:rsidR="003B5673">
        <w:t>Rights</w:t>
      </w:r>
      <w:bookmarkEnd w:id="28"/>
    </w:p>
    <w:p w14:paraId="098141C9" w14:textId="77777777" w:rsidR="00F80D24" w:rsidRDefault="00F80D24" w:rsidP="00844159">
      <w:pPr>
        <w:pStyle w:val="Index4"/>
      </w:pPr>
      <w:r w:rsidRPr="006D6438">
        <w:t>Necsa reserves the right to:</w:t>
      </w:r>
    </w:p>
    <w:p w14:paraId="3EC56887" w14:textId="77777777" w:rsidR="00F80D24" w:rsidRPr="003B5673" w:rsidRDefault="00F80D24" w:rsidP="003B5673">
      <w:pPr>
        <w:pStyle w:val="Index5"/>
      </w:pPr>
      <w:r w:rsidRPr="003B5673">
        <w:t>Extend the closing date;</w:t>
      </w:r>
    </w:p>
    <w:p w14:paraId="3647D8D6" w14:textId="77777777" w:rsidR="00F80D24" w:rsidRPr="003B5673" w:rsidRDefault="00F80D24" w:rsidP="003B5673">
      <w:pPr>
        <w:pStyle w:val="Index5"/>
      </w:pPr>
      <w:r w:rsidRPr="003B5673">
        <w:t>Verify any information contained in a proposal;</w:t>
      </w:r>
    </w:p>
    <w:p w14:paraId="7D5662C1" w14:textId="77777777" w:rsidR="00F80D24" w:rsidRPr="003B5673" w:rsidRDefault="00F80D24" w:rsidP="003B5673">
      <w:pPr>
        <w:pStyle w:val="Index5"/>
      </w:pPr>
      <w:r w:rsidRPr="003B5673">
        <w:t>Request documentary proof regarding any bid issue;</w:t>
      </w:r>
    </w:p>
    <w:p w14:paraId="76177E38" w14:textId="77777777" w:rsidR="00F80D24" w:rsidRPr="003B5673" w:rsidRDefault="00F80D24" w:rsidP="003B5673">
      <w:pPr>
        <w:pStyle w:val="Index5"/>
      </w:pPr>
      <w:r w:rsidRPr="003B5673">
        <w:t>Give preference to locally manufactured goods or locally sourced services;</w:t>
      </w:r>
    </w:p>
    <w:p w14:paraId="7E523123" w14:textId="77777777" w:rsidR="00F80D24" w:rsidRPr="003B5673" w:rsidRDefault="00F80D24" w:rsidP="003B5673">
      <w:pPr>
        <w:pStyle w:val="Index5"/>
      </w:pPr>
      <w:r w:rsidRPr="003B5673">
        <w:t xml:space="preserve">Issue follow-up or supplementary questions during the response period or after receipt of </w:t>
      </w:r>
      <w:r w:rsidRPr="003B5673">
        <w:lastRenderedPageBreak/>
        <w:t>tenders;</w:t>
      </w:r>
    </w:p>
    <w:p w14:paraId="3234033A"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106C971F" w14:textId="77777777" w:rsidR="00F80D24" w:rsidRDefault="00F80D24" w:rsidP="003B5673">
      <w:pPr>
        <w:pStyle w:val="Index5"/>
      </w:pPr>
      <w:r w:rsidRPr="003B5673">
        <w:t>Cancel or withdraw this request for tender as a whole or in part.</w:t>
      </w:r>
    </w:p>
    <w:p w14:paraId="30EE4BF1" w14:textId="77777777" w:rsidR="00F80D24" w:rsidRDefault="00F80D24" w:rsidP="00844159">
      <w:pPr>
        <w:pStyle w:val="Index4"/>
      </w:pPr>
      <w:r w:rsidRPr="00A42E16">
        <w:t>Evaluating Authorities’ part of the evaluation process NECSA may require bidders to arrange and/or participate in one or more of the following:</w:t>
      </w:r>
    </w:p>
    <w:p w14:paraId="40E4218F" w14:textId="77777777" w:rsidR="00F80D24" w:rsidRPr="006D6438" w:rsidRDefault="00F80D24" w:rsidP="003B5673">
      <w:pPr>
        <w:pStyle w:val="Index5"/>
      </w:pPr>
      <w:r w:rsidRPr="006D6438">
        <w:t>Interviews with, or written references from, nominated reference;</w:t>
      </w:r>
    </w:p>
    <w:p w14:paraId="0AE84FF5" w14:textId="77777777" w:rsidR="00F80D24" w:rsidRPr="006D6438" w:rsidRDefault="00F80D24" w:rsidP="003B5673">
      <w:pPr>
        <w:pStyle w:val="Index5"/>
      </w:pPr>
      <w:r w:rsidRPr="006D6438">
        <w:t>Reference site visits to the location(s) of nominated reference;</w:t>
      </w:r>
    </w:p>
    <w:p w14:paraId="0D5017CA" w14:textId="77777777" w:rsidR="00F80D24" w:rsidRPr="006D6438" w:rsidRDefault="00F80D24" w:rsidP="003B5673">
      <w:pPr>
        <w:pStyle w:val="Index5"/>
      </w:pPr>
      <w:r w:rsidRPr="006D6438">
        <w:t>Interviews with bidder personnel who would be involved in the contract execution (day-to-day operations of the site);</w:t>
      </w:r>
    </w:p>
    <w:p w14:paraId="54AD532F" w14:textId="77777777" w:rsidR="00A42E16" w:rsidRDefault="00F80D24" w:rsidP="00844159">
      <w:pPr>
        <w:pStyle w:val="Index4"/>
      </w:pPr>
      <w:r w:rsidRPr="006D6438">
        <w:t>Negotiations with the bidders.</w:t>
      </w:r>
    </w:p>
    <w:p w14:paraId="185D11C3" w14:textId="77777777" w:rsidR="00D26EC8" w:rsidRDefault="00D26EC8" w:rsidP="00D26EC8">
      <w:pPr>
        <w:pStyle w:val="Index4"/>
      </w:pPr>
      <w:r>
        <w:t xml:space="preserve">Accepts no responsibility as to the accuracy of the information or data contained within this </w:t>
      </w:r>
      <w:r w:rsidR="00081FB4">
        <w:t>ITB</w:t>
      </w:r>
      <w:r>
        <w:t>.</w:t>
      </w:r>
    </w:p>
    <w:p w14:paraId="457F1798" w14:textId="77777777" w:rsidR="00D26EC8" w:rsidRDefault="00D26EC8" w:rsidP="00D26EC8">
      <w:pPr>
        <w:pStyle w:val="Index4"/>
      </w:pPr>
      <w:r>
        <w:t>Accepts no liability or responsibility for any of the costs associated with the preparation of any bidder’s response to this IT</w:t>
      </w:r>
      <w:r w:rsidR="00081FB4">
        <w:t>B</w:t>
      </w:r>
      <w:r>
        <w:t xml:space="preserve"> or any losses or costs incurred as a result of: attending pre or post tender meetings and site visits; participating in negotiations; modifications; extension of time limits; or cancellation of the IT</w:t>
      </w:r>
      <w:r w:rsidR="00081FB4">
        <w:t>B</w:t>
      </w:r>
      <w:r>
        <w:t>.</w:t>
      </w:r>
    </w:p>
    <w:p w14:paraId="37B8ED13" w14:textId="77777777" w:rsidR="00D26EC8" w:rsidRDefault="00D26EC8" w:rsidP="00D26EC8">
      <w:pPr>
        <w:pStyle w:val="Index4"/>
      </w:pPr>
      <w:r>
        <w:t xml:space="preserve">Reserves the right to modify the </w:t>
      </w:r>
      <w:r w:rsidR="00081FB4">
        <w:t>ITB</w:t>
      </w:r>
      <w:r>
        <w:t xml:space="preserve"> at any stage during the tendering process.  Any instruction to modify the </w:t>
      </w:r>
      <w:r w:rsidR="00081FB4">
        <w:t>ITB</w:t>
      </w:r>
      <w:r>
        <w:t xml:space="preserve"> shall be issued in the form of an "addenda to the Invitation to Tender" and will be simultaneously issued to all bidders.</w:t>
      </w:r>
    </w:p>
    <w:p w14:paraId="4C6BB6FC" w14:textId="77777777" w:rsidR="00D26EC8" w:rsidRDefault="00D26EC8" w:rsidP="00D26EC8">
      <w:pPr>
        <w:pStyle w:val="Index4"/>
      </w:pPr>
      <w:r>
        <w:t>Reserves the right to award contracts to more than one bidder.</w:t>
      </w:r>
    </w:p>
    <w:p w14:paraId="5B57CD84" w14:textId="77777777" w:rsidR="00D26EC8" w:rsidRDefault="00D26EC8" w:rsidP="00D26EC8">
      <w:pPr>
        <w:pStyle w:val="Index4"/>
      </w:pPr>
      <w:r>
        <w:t xml:space="preserve">Does not undertake to accept the lowest priced tender or any tender at all, and may accept tenders in whole or in part. </w:t>
      </w:r>
    </w:p>
    <w:p w14:paraId="52743757" w14:textId="77777777" w:rsidR="00081FB4" w:rsidRDefault="00081FB4" w:rsidP="00081FB4">
      <w:pPr>
        <w:pStyle w:val="Index4"/>
      </w:pPr>
      <w:r>
        <w:t>Your designation as a successful tenderer creates no legal connection with Necsa until such time as a written agreement/order has been negotiated and conducted with you. This tender document will form part of the agreement.</w:t>
      </w:r>
    </w:p>
    <w:p w14:paraId="4F7BDE25" w14:textId="77777777" w:rsidR="00081FB4" w:rsidRDefault="00081FB4" w:rsidP="00081FB4">
      <w:pPr>
        <w:pStyle w:val="Index4"/>
      </w:pPr>
      <w:r>
        <w:t>Tenderers shall ensure that they are fully informed on the service which must be rendered and what is required from the tenderer.</w:t>
      </w:r>
    </w:p>
    <w:p w14:paraId="5E060D9A" w14:textId="77777777" w:rsidR="00081FB4" w:rsidRDefault="00081FB4" w:rsidP="000354C7">
      <w:pPr>
        <w:pStyle w:val="Index4"/>
      </w:pPr>
      <w:r>
        <w:t>Necsa is under no obligation to award a purchase order as a result of this tender.</w:t>
      </w:r>
    </w:p>
    <w:p w14:paraId="2944B6D2" w14:textId="77777777" w:rsidR="00F80D24" w:rsidRDefault="00F80D24" w:rsidP="002E3842">
      <w:pPr>
        <w:pStyle w:val="Index3"/>
      </w:pPr>
      <w:bookmarkStart w:id="29" w:name="_Toc494699124"/>
      <w:r>
        <w:t>Bidding Process</w:t>
      </w:r>
      <w:bookmarkEnd w:id="29"/>
    </w:p>
    <w:p w14:paraId="4C266304" w14:textId="77777777" w:rsidR="003B5673" w:rsidRPr="00202F08" w:rsidRDefault="003B5673" w:rsidP="00844159">
      <w:pPr>
        <w:pStyle w:val="Index4"/>
      </w:pPr>
      <w:r w:rsidRPr="00202F08">
        <w:t xml:space="preserve">Bidders must confirm their intention to respond by completing the </w:t>
      </w:r>
      <w:r w:rsidR="0071520B">
        <w:t xml:space="preserve">attached </w:t>
      </w:r>
      <w:r w:rsidRPr="00202F08">
        <w:t>form and returning it to the Necsa Contact Person for this Bid via email provided.</w:t>
      </w:r>
    </w:p>
    <w:p w14:paraId="77B16A4A" w14:textId="77777777" w:rsidR="00F80D24" w:rsidRDefault="003B5673" w:rsidP="00844159">
      <w:pPr>
        <w:pStyle w:val="Index4"/>
      </w:pPr>
      <w:r w:rsidRPr="00202F08">
        <w:t>Bidders must familiarise themselves with and comply with the procurement timetable and ensure their availability for the site visit and presentations, as required, on the appropriate dates. Necsa is unlikely to be able to offer much flexibility to this timetable.</w:t>
      </w:r>
    </w:p>
    <w:p w14:paraId="6C4790EA" w14:textId="77777777" w:rsidR="003B5673" w:rsidRPr="00202F08" w:rsidRDefault="003B5673" w:rsidP="00844159">
      <w:pPr>
        <w:pStyle w:val="Index4"/>
      </w:pPr>
      <w:r w:rsidRPr="00202F08">
        <w:t>Bidders are required to:</w:t>
      </w:r>
    </w:p>
    <w:p w14:paraId="108F60EA" w14:textId="77777777" w:rsidR="003B5673" w:rsidRPr="00202F08" w:rsidRDefault="003B5673" w:rsidP="003B5673">
      <w:pPr>
        <w:pStyle w:val="Index5"/>
      </w:pPr>
      <w:r w:rsidRPr="00202F08">
        <w:t>Respond in the English language;</w:t>
      </w:r>
    </w:p>
    <w:p w14:paraId="6785A6E1"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proposals;</w:t>
      </w:r>
    </w:p>
    <w:p w14:paraId="0D5FF695"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35837ABC" w14:textId="77777777" w:rsidR="003B5673" w:rsidRDefault="003B5673" w:rsidP="003B5673">
      <w:pPr>
        <w:pStyle w:val="Index5"/>
      </w:pPr>
      <w:r w:rsidRPr="00202F08">
        <w:t xml:space="preserve">Ensure that all document attachments are clearly marked and bound in a clear, logical and </w:t>
      </w:r>
      <w:r w:rsidRPr="00202F08">
        <w:lastRenderedPageBreak/>
        <w:t>well-marked format with a table on context ensuring ease of finding i</w:t>
      </w:r>
      <w:r w:rsidR="00FA4A35">
        <w:t>ndividual documents or sections; and</w:t>
      </w:r>
    </w:p>
    <w:p w14:paraId="10085884"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2B3867BE" w14:textId="77777777" w:rsidR="003B5673" w:rsidRDefault="003912DA" w:rsidP="00844159">
      <w:pPr>
        <w:pStyle w:val="Index4"/>
      </w:pPr>
      <w:r w:rsidRPr="003912DA">
        <w:t xml:space="preserve">All costing and information must be typed and signed by the bidder, no </w:t>
      </w:r>
      <w:proofErr w:type="gramStart"/>
      <w:r w:rsidRPr="003912DA">
        <w:t>hand written</w:t>
      </w:r>
      <w:proofErr w:type="gramEnd"/>
      <w:r w:rsidRPr="003912DA">
        <w:t xml:space="preserve"> costing/pricing will be accepted.</w:t>
      </w:r>
    </w:p>
    <w:p w14:paraId="2DF0A8CF" w14:textId="77777777" w:rsidR="00FA4A35" w:rsidRPr="002E3842" w:rsidRDefault="00FA4A35" w:rsidP="00844159">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0488DD4D" w14:textId="68DEF078" w:rsidR="000354C7" w:rsidRDefault="002E3842" w:rsidP="002E3842">
      <w:pPr>
        <w:pStyle w:val="Index3"/>
      </w:pPr>
      <w:r w:rsidRPr="002E3842">
        <w:t xml:space="preserve"> </w:t>
      </w:r>
      <w:proofErr w:type="gramStart"/>
      <w:r w:rsidR="000354C7">
        <w:t xml:space="preserve">Dual </w:t>
      </w:r>
      <w:r w:rsidRPr="002E3842">
        <w:t xml:space="preserve"> </w:t>
      </w:r>
      <w:r w:rsidR="000354C7">
        <w:t>A</w:t>
      </w:r>
      <w:r w:rsidRPr="002E3842">
        <w:t>ppointment</w:t>
      </w:r>
      <w:proofErr w:type="gramEnd"/>
    </w:p>
    <w:p w14:paraId="119E8D1F" w14:textId="0B1477DD" w:rsidR="000354C7" w:rsidRDefault="000354C7" w:rsidP="001563A8">
      <w:pPr>
        <w:pStyle w:val="Index3"/>
        <w:numPr>
          <w:ilvl w:val="0"/>
          <w:numId w:val="0"/>
        </w:numPr>
        <w:ind w:left="851"/>
      </w:pPr>
      <w:r>
        <w:t xml:space="preserve">4.7.1 The appointment will be made to the </w:t>
      </w:r>
      <w:r w:rsidR="001563A8">
        <w:t xml:space="preserve">top </w:t>
      </w:r>
      <w:r>
        <w:t xml:space="preserve">two suppliers that will be </w:t>
      </w:r>
      <w:r w:rsidR="005A55BE">
        <w:t xml:space="preserve">more </w:t>
      </w:r>
      <w:r>
        <w:t>competitive from the process.</w:t>
      </w:r>
    </w:p>
    <w:p w14:paraId="0A988FF1" w14:textId="77777777" w:rsidR="002E3842" w:rsidRPr="002E3842" w:rsidRDefault="000354C7" w:rsidP="001563A8">
      <w:pPr>
        <w:pStyle w:val="Index3"/>
        <w:numPr>
          <w:ilvl w:val="0"/>
          <w:numId w:val="0"/>
        </w:numPr>
        <w:ind w:left="851"/>
      </w:pPr>
      <w:r>
        <w:t>4.7.2 The negotiation process will be embarked</w:t>
      </w:r>
      <w:r w:rsidR="00DF0309">
        <w:t xml:space="preserve"> upon</w:t>
      </w:r>
      <w:r>
        <w:t xml:space="preserve"> prior to the appointment of the suppliers.</w:t>
      </w:r>
    </w:p>
    <w:p w14:paraId="19D6D470" w14:textId="77777777" w:rsidR="00FA4A35" w:rsidRDefault="00FA4A35" w:rsidP="002E3842">
      <w:pPr>
        <w:pStyle w:val="Index3"/>
      </w:pPr>
      <w:bookmarkStart w:id="30" w:name="_Toc494699125"/>
      <w:r>
        <w:t>Bid Submission Requirements</w:t>
      </w:r>
      <w:bookmarkEnd w:id="30"/>
    </w:p>
    <w:p w14:paraId="61A095E4" w14:textId="77777777" w:rsidR="00FA4A35" w:rsidRPr="00B10893" w:rsidRDefault="00FA4A35" w:rsidP="00844159">
      <w:pPr>
        <w:pStyle w:val="Index4"/>
      </w:pPr>
      <w:r w:rsidRPr="00B10893">
        <w:t>Bidders must submit their responses and all supporting documents in properly labelled and sealed envelopes clearly as follows:</w:t>
      </w:r>
    </w:p>
    <w:p w14:paraId="68A3376C"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67753ED4" w14:textId="77777777" w:rsidTr="00D43C55">
        <w:tc>
          <w:tcPr>
            <w:tcW w:w="220" w:type="pct"/>
            <w:vAlign w:val="center"/>
          </w:tcPr>
          <w:p w14:paraId="58922424" w14:textId="77777777" w:rsidR="00D43C55" w:rsidRDefault="00D43C55" w:rsidP="00D43C55">
            <w:pPr>
              <w:pStyle w:val="1Paragraph"/>
              <w:ind w:left="0"/>
              <w:jc w:val="left"/>
            </w:pPr>
          </w:p>
        </w:tc>
        <w:tc>
          <w:tcPr>
            <w:tcW w:w="4780" w:type="pct"/>
            <w:vAlign w:val="center"/>
          </w:tcPr>
          <w:p w14:paraId="79816738" w14:textId="77777777" w:rsidR="00D43C55" w:rsidRDefault="00D43C55" w:rsidP="00D43C55">
            <w:pPr>
              <w:pStyle w:val="1Paragraph"/>
              <w:ind w:left="0"/>
            </w:pPr>
            <w:r w:rsidRPr="00FA4A35">
              <w:t>a set of four (4) hard copies (one (1) original and three (3) copies) and one (1) electronic copy (on disk or memory stick).</w:t>
            </w:r>
          </w:p>
          <w:p w14:paraId="7461CFFE" w14:textId="77777777" w:rsidR="00D43C55" w:rsidRPr="00D43C55" w:rsidRDefault="00D43C55" w:rsidP="00D43C55">
            <w:pPr>
              <w:pStyle w:val="1Paragraph"/>
              <w:ind w:left="0"/>
              <w:rPr>
                <w:b/>
              </w:rPr>
            </w:pPr>
            <w:r w:rsidRPr="00D43C55">
              <w:rPr>
                <w:b/>
              </w:rPr>
              <w:t>No pricing information must be included in Envelope One.</w:t>
            </w:r>
          </w:p>
        </w:tc>
      </w:tr>
    </w:tbl>
    <w:p w14:paraId="17F83917"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1741A846" w14:textId="77777777" w:rsidTr="007D66F8">
        <w:tc>
          <w:tcPr>
            <w:tcW w:w="220" w:type="pct"/>
            <w:vAlign w:val="center"/>
          </w:tcPr>
          <w:p w14:paraId="28B2D450" w14:textId="77777777" w:rsidR="004D7299" w:rsidRDefault="004D7299" w:rsidP="007D66F8">
            <w:pPr>
              <w:pStyle w:val="1Paragraph"/>
              <w:ind w:left="0"/>
              <w:jc w:val="left"/>
            </w:pPr>
          </w:p>
        </w:tc>
        <w:tc>
          <w:tcPr>
            <w:tcW w:w="4780" w:type="pct"/>
            <w:vAlign w:val="center"/>
          </w:tcPr>
          <w:p w14:paraId="6F87DA4D" w14:textId="77777777" w:rsidR="004D7299" w:rsidRDefault="004D7299" w:rsidP="007D66F8">
            <w:pPr>
              <w:pStyle w:val="1Paragraph"/>
              <w:ind w:left="0"/>
            </w:pPr>
            <w:r w:rsidRPr="00FA4A35">
              <w:t>a set of two (2) hard copies (one (1) original and one (1) copy) and one (1) electronic copy (on disk or memory stick)</w:t>
            </w:r>
            <w:r>
              <w:t>.</w:t>
            </w:r>
          </w:p>
          <w:p w14:paraId="49CEA2A0" w14:textId="77777777" w:rsidR="004D7299" w:rsidRPr="004D7299" w:rsidRDefault="004D7299" w:rsidP="007D66F8">
            <w:pPr>
              <w:pStyle w:val="1Paragraph"/>
              <w:ind w:left="0"/>
              <w:rPr>
                <w:b/>
              </w:rPr>
            </w:pPr>
            <w:r w:rsidRPr="004D7299">
              <w:rPr>
                <w:b/>
              </w:rPr>
              <w:t>All compulsory returnable documents must be included in Envelope Two.</w:t>
            </w:r>
          </w:p>
        </w:tc>
      </w:tr>
    </w:tbl>
    <w:p w14:paraId="4CE1383B" w14:textId="77777777" w:rsidR="00FA4A35" w:rsidRDefault="0047600F" w:rsidP="00844159">
      <w:pPr>
        <w:pStyle w:val="Index4"/>
      </w:pPr>
      <w:r w:rsidRPr="0047600F">
        <w:t>No proposal shall be accepted by Necsa if submitted in any manner other than as prescribed above.</w:t>
      </w:r>
    </w:p>
    <w:p w14:paraId="77370F1D" w14:textId="77777777" w:rsidR="0047600F" w:rsidRDefault="0047600F" w:rsidP="00B87D31">
      <w:pPr>
        <w:pStyle w:val="Index2"/>
      </w:pPr>
      <w:bookmarkStart w:id="31" w:name="_Toc494699126"/>
      <w:r>
        <w:t>Eligibility Requirements</w:t>
      </w:r>
      <w:bookmarkEnd w:id="31"/>
    </w:p>
    <w:p w14:paraId="164BCA04" w14:textId="77777777" w:rsidR="0047600F" w:rsidRDefault="0047600F" w:rsidP="002E3842">
      <w:pPr>
        <w:pStyle w:val="Index3"/>
      </w:pPr>
      <w:bookmarkStart w:id="32" w:name="_Toc494699127"/>
      <w:r>
        <w:t>Pre-qualification Criteria</w:t>
      </w:r>
      <w:bookmarkEnd w:id="32"/>
    </w:p>
    <w:p w14:paraId="7491C64E" w14:textId="77777777" w:rsidR="0047600F" w:rsidRDefault="006E040B" w:rsidP="0047600F">
      <w:pPr>
        <w:pStyle w:val="1Paragraph"/>
      </w:pPr>
      <w:r w:rsidRPr="006E040B">
        <w:t>Non-compliance to the following pre-qualification criteria will result in automatic disqualification:</w:t>
      </w:r>
    </w:p>
    <w:p w14:paraId="177189C9" w14:textId="77777777" w:rsidR="00081FB4" w:rsidRDefault="00081FB4" w:rsidP="0047600F">
      <w:pPr>
        <w:pStyle w:val="1Paragraph"/>
      </w:pPr>
    </w:p>
    <w:p w14:paraId="79BFA9C6" w14:textId="77777777" w:rsidR="00081FB4" w:rsidRDefault="00081FB4" w:rsidP="005A55BE">
      <w:pPr>
        <w:pStyle w:val="1Paragraph"/>
        <w:ind w:left="0"/>
      </w:pPr>
    </w:p>
    <w:tbl>
      <w:tblPr>
        <w:tblStyle w:val="TableGrid"/>
        <w:tblW w:w="5000" w:type="pct"/>
        <w:tblLook w:val="04A0" w:firstRow="1" w:lastRow="0" w:firstColumn="1" w:lastColumn="0" w:noHBand="0" w:noVBand="1"/>
      </w:tblPr>
      <w:tblGrid>
        <w:gridCol w:w="669"/>
        <w:gridCol w:w="7755"/>
        <w:gridCol w:w="1203"/>
      </w:tblGrid>
      <w:tr w:rsidR="006E040B" w:rsidRPr="00866E9F" w14:paraId="60ED3059" w14:textId="77777777" w:rsidTr="00135FAB">
        <w:trPr>
          <w:tblHeader/>
        </w:trPr>
        <w:tc>
          <w:tcPr>
            <w:tcW w:w="347" w:type="pct"/>
            <w:shd w:val="clear" w:color="auto" w:fill="ECE8D3"/>
          </w:tcPr>
          <w:p w14:paraId="48E11541" w14:textId="77777777" w:rsidR="006E040B" w:rsidRPr="00866E9F" w:rsidRDefault="006E040B" w:rsidP="00813A84">
            <w:pPr>
              <w:pStyle w:val="aDSPara"/>
              <w:spacing w:before="60" w:after="60"/>
              <w:ind w:left="0"/>
              <w:jc w:val="left"/>
              <w:rPr>
                <w:b/>
                <w:szCs w:val="22"/>
              </w:rPr>
            </w:pPr>
            <w:r w:rsidRPr="00866E9F">
              <w:rPr>
                <w:b/>
                <w:szCs w:val="22"/>
              </w:rPr>
              <w:t>Item</w:t>
            </w:r>
          </w:p>
        </w:tc>
        <w:tc>
          <w:tcPr>
            <w:tcW w:w="4028" w:type="pct"/>
            <w:shd w:val="clear" w:color="auto" w:fill="ECE8D3"/>
          </w:tcPr>
          <w:p w14:paraId="7DF9300F" w14:textId="77777777" w:rsidR="006E040B" w:rsidRPr="00866E9F" w:rsidRDefault="006E040B" w:rsidP="00813A84">
            <w:pPr>
              <w:pStyle w:val="aDSPara"/>
              <w:spacing w:before="60" w:after="60"/>
              <w:ind w:left="0"/>
              <w:jc w:val="left"/>
              <w:rPr>
                <w:b/>
                <w:szCs w:val="22"/>
              </w:rPr>
            </w:pPr>
            <w:r w:rsidRPr="00866E9F">
              <w:rPr>
                <w:b/>
                <w:szCs w:val="22"/>
              </w:rPr>
              <w:t>Requirement</w:t>
            </w:r>
          </w:p>
        </w:tc>
        <w:tc>
          <w:tcPr>
            <w:tcW w:w="625" w:type="pct"/>
            <w:shd w:val="clear" w:color="auto" w:fill="ECE8D3"/>
          </w:tcPr>
          <w:p w14:paraId="5BB59A4C" w14:textId="77777777" w:rsidR="006E040B" w:rsidRPr="00866E9F" w:rsidRDefault="006E040B" w:rsidP="00813A84">
            <w:pPr>
              <w:pStyle w:val="aDSPara"/>
              <w:spacing w:before="60" w:after="60"/>
              <w:ind w:left="0"/>
              <w:jc w:val="left"/>
              <w:rPr>
                <w:b/>
                <w:szCs w:val="22"/>
              </w:rPr>
            </w:pPr>
            <w:r w:rsidRPr="00866E9F">
              <w:rPr>
                <w:b/>
                <w:szCs w:val="22"/>
              </w:rPr>
              <w:t>Yes/No</w:t>
            </w:r>
          </w:p>
        </w:tc>
      </w:tr>
      <w:tr w:rsidR="007622D8" w:rsidRPr="00866E9F" w14:paraId="6F796903" w14:textId="77777777" w:rsidTr="00135FAB">
        <w:trPr>
          <w:trHeight w:val="291"/>
        </w:trPr>
        <w:tc>
          <w:tcPr>
            <w:tcW w:w="347" w:type="pct"/>
          </w:tcPr>
          <w:p w14:paraId="06649EE7" w14:textId="77777777" w:rsidR="007622D8" w:rsidRPr="00866E9F" w:rsidRDefault="004E53F3" w:rsidP="00813A84">
            <w:pPr>
              <w:pStyle w:val="aDSPara"/>
              <w:spacing w:before="60" w:after="60"/>
              <w:ind w:left="0"/>
              <w:jc w:val="left"/>
              <w:rPr>
                <w:szCs w:val="22"/>
              </w:rPr>
            </w:pPr>
            <w:r w:rsidRPr="00866E9F">
              <w:rPr>
                <w:szCs w:val="22"/>
              </w:rPr>
              <w:t>1</w:t>
            </w:r>
          </w:p>
        </w:tc>
        <w:tc>
          <w:tcPr>
            <w:tcW w:w="4028" w:type="pct"/>
          </w:tcPr>
          <w:p w14:paraId="5D30ABDA" w14:textId="5B6A18C9" w:rsidR="007622D8" w:rsidRPr="00866E9F" w:rsidRDefault="007622D8" w:rsidP="00813A84">
            <w:pPr>
              <w:pStyle w:val="aDSPara"/>
              <w:spacing w:before="60" w:after="60"/>
              <w:ind w:left="0"/>
              <w:jc w:val="left"/>
              <w:rPr>
                <w:rFonts w:cs="Arial"/>
                <w:color w:val="000000"/>
                <w:szCs w:val="22"/>
              </w:rPr>
            </w:pPr>
            <w:r w:rsidRPr="00866E9F">
              <w:rPr>
                <w:rFonts w:cs="Arial"/>
                <w:color w:val="000000"/>
                <w:szCs w:val="22"/>
              </w:rPr>
              <w:t>Bidder company i</w:t>
            </w:r>
            <w:r w:rsidR="00434D2F" w:rsidRPr="00866E9F">
              <w:rPr>
                <w:rFonts w:cs="Arial"/>
                <w:color w:val="000000"/>
                <w:szCs w:val="22"/>
              </w:rPr>
              <w:t xml:space="preserve">nformation </w:t>
            </w:r>
          </w:p>
        </w:tc>
        <w:tc>
          <w:tcPr>
            <w:tcW w:w="625" w:type="pct"/>
          </w:tcPr>
          <w:p w14:paraId="2F3DC348" w14:textId="77777777" w:rsidR="007622D8" w:rsidRPr="00866E9F" w:rsidRDefault="007622D8" w:rsidP="00813A84">
            <w:pPr>
              <w:pStyle w:val="aDSPara"/>
              <w:spacing w:before="60" w:after="60"/>
              <w:ind w:left="0"/>
              <w:jc w:val="left"/>
              <w:rPr>
                <w:szCs w:val="22"/>
              </w:rPr>
            </w:pPr>
          </w:p>
        </w:tc>
      </w:tr>
      <w:tr w:rsidR="006E040B" w:rsidRPr="00866E9F" w14:paraId="70213D1A" w14:textId="77777777" w:rsidTr="00135FAB">
        <w:trPr>
          <w:trHeight w:val="291"/>
        </w:trPr>
        <w:tc>
          <w:tcPr>
            <w:tcW w:w="347" w:type="pct"/>
          </w:tcPr>
          <w:p w14:paraId="1FBE7959" w14:textId="2310777E" w:rsidR="006E040B" w:rsidRPr="00866E9F" w:rsidRDefault="004D0B61" w:rsidP="00813A84">
            <w:pPr>
              <w:pStyle w:val="aDSPara"/>
              <w:spacing w:before="60" w:after="60"/>
              <w:ind w:left="0"/>
              <w:jc w:val="left"/>
              <w:rPr>
                <w:szCs w:val="22"/>
              </w:rPr>
            </w:pPr>
            <w:r>
              <w:rPr>
                <w:szCs w:val="22"/>
              </w:rPr>
              <w:t>2</w:t>
            </w:r>
          </w:p>
        </w:tc>
        <w:tc>
          <w:tcPr>
            <w:tcW w:w="4028" w:type="pct"/>
          </w:tcPr>
          <w:p w14:paraId="69421C7A" w14:textId="77777777" w:rsidR="006E040B" w:rsidRPr="00866E9F" w:rsidRDefault="006E040B" w:rsidP="00813A84">
            <w:pPr>
              <w:pStyle w:val="aDSPara"/>
              <w:spacing w:before="60" w:after="60"/>
              <w:ind w:left="0"/>
              <w:jc w:val="left"/>
              <w:rPr>
                <w:szCs w:val="22"/>
              </w:rPr>
            </w:pPr>
            <w:r w:rsidRPr="00866E9F">
              <w:rPr>
                <w:rFonts w:cs="Arial"/>
                <w:color w:val="000000"/>
                <w:szCs w:val="22"/>
              </w:rPr>
              <w:t>Valid Compensation Commissioner Fund: Letter of good standing (COIDA)</w:t>
            </w:r>
          </w:p>
        </w:tc>
        <w:tc>
          <w:tcPr>
            <w:tcW w:w="625" w:type="pct"/>
          </w:tcPr>
          <w:p w14:paraId="284B69A9" w14:textId="77777777" w:rsidR="006E040B" w:rsidRPr="00866E9F" w:rsidRDefault="006E040B" w:rsidP="00813A84">
            <w:pPr>
              <w:pStyle w:val="aDSPara"/>
              <w:spacing w:before="60" w:after="60"/>
              <w:ind w:left="0"/>
              <w:jc w:val="left"/>
              <w:rPr>
                <w:szCs w:val="22"/>
              </w:rPr>
            </w:pPr>
          </w:p>
        </w:tc>
      </w:tr>
      <w:tr w:rsidR="00434D2F" w:rsidRPr="00866E9F" w14:paraId="4BF157A0" w14:textId="77777777" w:rsidTr="00135FAB">
        <w:trPr>
          <w:trHeight w:val="291"/>
        </w:trPr>
        <w:tc>
          <w:tcPr>
            <w:tcW w:w="347" w:type="pct"/>
          </w:tcPr>
          <w:p w14:paraId="4631FDF0" w14:textId="1E4DBABC" w:rsidR="00434D2F" w:rsidRPr="00866E9F" w:rsidRDefault="004D0B61" w:rsidP="00813A84">
            <w:pPr>
              <w:pStyle w:val="aDSPara"/>
              <w:spacing w:before="60" w:after="60"/>
              <w:ind w:left="0"/>
              <w:jc w:val="left"/>
              <w:rPr>
                <w:szCs w:val="22"/>
              </w:rPr>
            </w:pPr>
            <w:r>
              <w:rPr>
                <w:szCs w:val="22"/>
              </w:rPr>
              <w:t>3</w:t>
            </w:r>
          </w:p>
        </w:tc>
        <w:tc>
          <w:tcPr>
            <w:tcW w:w="4028" w:type="pct"/>
          </w:tcPr>
          <w:p w14:paraId="06E7C4D2" w14:textId="77777777" w:rsidR="00434D2F" w:rsidRPr="00866E9F" w:rsidRDefault="00434D2F" w:rsidP="00813A84">
            <w:pPr>
              <w:pStyle w:val="aDSPara"/>
              <w:spacing w:before="60" w:after="60"/>
              <w:ind w:left="0"/>
              <w:jc w:val="left"/>
              <w:rPr>
                <w:rFonts w:cs="Arial"/>
                <w:color w:val="000000"/>
                <w:szCs w:val="22"/>
              </w:rPr>
            </w:pPr>
            <w:r w:rsidRPr="00866E9F">
              <w:rPr>
                <w:szCs w:val="22"/>
              </w:rPr>
              <w:t>CSD (Central Supplier Database) summary report.</w:t>
            </w:r>
          </w:p>
        </w:tc>
        <w:tc>
          <w:tcPr>
            <w:tcW w:w="625" w:type="pct"/>
          </w:tcPr>
          <w:p w14:paraId="04765D99" w14:textId="77777777" w:rsidR="00434D2F" w:rsidRPr="00866E9F" w:rsidRDefault="00434D2F" w:rsidP="00813A84">
            <w:pPr>
              <w:pStyle w:val="aDSPara"/>
              <w:spacing w:before="60" w:after="60"/>
              <w:ind w:left="0"/>
              <w:jc w:val="left"/>
              <w:rPr>
                <w:szCs w:val="22"/>
              </w:rPr>
            </w:pPr>
          </w:p>
        </w:tc>
      </w:tr>
      <w:tr w:rsidR="00332F00" w:rsidRPr="00866E9F" w14:paraId="14E8F92D" w14:textId="77777777" w:rsidTr="00135FAB">
        <w:trPr>
          <w:trHeight w:val="291"/>
        </w:trPr>
        <w:tc>
          <w:tcPr>
            <w:tcW w:w="347" w:type="pct"/>
          </w:tcPr>
          <w:p w14:paraId="04BB72F0" w14:textId="77777777" w:rsidR="00332F00" w:rsidRPr="00866E9F" w:rsidRDefault="00332F00" w:rsidP="00813A84">
            <w:pPr>
              <w:pStyle w:val="aDSPara"/>
              <w:spacing w:before="60" w:after="60"/>
              <w:ind w:left="0"/>
              <w:jc w:val="left"/>
              <w:rPr>
                <w:szCs w:val="22"/>
              </w:rPr>
            </w:pPr>
          </w:p>
        </w:tc>
        <w:tc>
          <w:tcPr>
            <w:tcW w:w="4028" w:type="pct"/>
          </w:tcPr>
          <w:p w14:paraId="2635248D" w14:textId="77777777" w:rsidR="00332F00" w:rsidRPr="00866E9F" w:rsidRDefault="00332F00" w:rsidP="00813A84">
            <w:pPr>
              <w:pStyle w:val="aDSPara"/>
              <w:spacing w:before="60" w:after="60"/>
              <w:ind w:left="0"/>
              <w:jc w:val="left"/>
              <w:rPr>
                <w:i/>
                <w:szCs w:val="22"/>
                <w:u w:val="single"/>
              </w:rPr>
            </w:pPr>
            <w:r w:rsidRPr="00866E9F">
              <w:rPr>
                <w:i/>
                <w:iCs/>
                <w:szCs w:val="22"/>
                <w:u w:val="single"/>
                <w:lang w:val="en-GB"/>
              </w:rPr>
              <w:t>If the entity submitting a Bid is a Joint Venture or a Consortium or Partnership, each party to that formation must submit all the above information.</w:t>
            </w:r>
          </w:p>
        </w:tc>
        <w:tc>
          <w:tcPr>
            <w:tcW w:w="625" w:type="pct"/>
          </w:tcPr>
          <w:p w14:paraId="5FC7F403" w14:textId="77777777" w:rsidR="00332F00" w:rsidRPr="00866E9F" w:rsidRDefault="00332F00" w:rsidP="00813A84">
            <w:pPr>
              <w:pStyle w:val="aDSPara"/>
              <w:spacing w:before="60" w:after="60"/>
              <w:ind w:left="0"/>
              <w:jc w:val="left"/>
              <w:rPr>
                <w:szCs w:val="22"/>
              </w:rPr>
            </w:pPr>
          </w:p>
        </w:tc>
      </w:tr>
      <w:tr w:rsidR="00E2616F" w:rsidRPr="00866E9F" w14:paraId="15A6890D" w14:textId="77777777" w:rsidTr="00135FAB">
        <w:trPr>
          <w:trHeight w:val="291"/>
        </w:trPr>
        <w:tc>
          <w:tcPr>
            <w:tcW w:w="347" w:type="pct"/>
          </w:tcPr>
          <w:p w14:paraId="48ABDDE8" w14:textId="004AEA04" w:rsidR="00E2616F" w:rsidRPr="00866E9F" w:rsidRDefault="004D0B61" w:rsidP="00813A84">
            <w:pPr>
              <w:pStyle w:val="aDSPara"/>
              <w:spacing w:before="60" w:after="60"/>
              <w:ind w:left="0"/>
              <w:jc w:val="left"/>
              <w:rPr>
                <w:szCs w:val="22"/>
              </w:rPr>
            </w:pPr>
            <w:r>
              <w:rPr>
                <w:szCs w:val="22"/>
              </w:rPr>
              <w:t>4</w:t>
            </w:r>
          </w:p>
        </w:tc>
        <w:tc>
          <w:tcPr>
            <w:tcW w:w="4028" w:type="pct"/>
          </w:tcPr>
          <w:p w14:paraId="046CEDB8" w14:textId="49AC5150" w:rsidR="00E2616F" w:rsidRPr="00866E9F" w:rsidRDefault="00706280" w:rsidP="00434D2F">
            <w:pPr>
              <w:pStyle w:val="aDSPara"/>
              <w:spacing w:before="60" w:after="60"/>
              <w:ind w:left="0"/>
              <w:rPr>
                <w:szCs w:val="22"/>
              </w:rPr>
            </w:pPr>
            <w:r w:rsidRPr="000A2987">
              <w:rPr>
                <w:szCs w:val="22"/>
              </w:rPr>
              <w:t>Specification complaince</w:t>
            </w:r>
            <w:r w:rsidR="00A43171">
              <w:rPr>
                <w:szCs w:val="22"/>
              </w:rPr>
              <w:t>:</w:t>
            </w:r>
            <w:r w:rsidR="00434D2F" w:rsidRPr="000A2987">
              <w:rPr>
                <w:szCs w:val="22"/>
              </w:rPr>
              <w:t xml:space="preserve"> A </w:t>
            </w:r>
            <w:r w:rsidR="00A17959">
              <w:rPr>
                <w:szCs w:val="22"/>
              </w:rPr>
              <w:t>verifiable letter</w:t>
            </w:r>
            <w:r w:rsidR="00A17959" w:rsidRPr="000A2987">
              <w:rPr>
                <w:szCs w:val="22"/>
              </w:rPr>
              <w:t xml:space="preserve"> </w:t>
            </w:r>
            <w:r w:rsidR="00434D2F" w:rsidRPr="000A2987">
              <w:rPr>
                <w:szCs w:val="22"/>
              </w:rPr>
              <w:t>from the suppl</w:t>
            </w:r>
            <w:r w:rsidR="00CE4976" w:rsidRPr="000A2987">
              <w:rPr>
                <w:szCs w:val="22"/>
              </w:rPr>
              <w:t>ing</w:t>
            </w:r>
            <w:r w:rsidR="00434D2F" w:rsidRPr="000A2987">
              <w:rPr>
                <w:szCs w:val="22"/>
              </w:rPr>
              <w:t xml:space="preserve"> mine</w:t>
            </w:r>
            <w:r w:rsidR="00A43171">
              <w:rPr>
                <w:szCs w:val="22"/>
              </w:rPr>
              <w:t>/site</w:t>
            </w:r>
            <w:r w:rsidR="00434D2F" w:rsidRPr="000A2987">
              <w:rPr>
                <w:szCs w:val="22"/>
              </w:rPr>
              <w:t xml:space="preserve"> stating </w:t>
            </w:r>
            <w:r w:rsidR="00434D2F" w:rsidRPr="000A2987">
              <w:rPr>
                <w:szCs w:val="22"/>
              </w:rPr>
              <w:lastRenderedPageBreak/>
              <w:t xml:space="preserve">the </w:t>
            </w:r>
            <w:r w:rsidR="00A17959">
              <w:rPr>
                <w:szCs w:val="22"/>
              </w:rPr>
              <w:t>agreement with the bidder for coal as per Necsa’s specification and quantities requirements</w:t>
            </w:r>
            <w:r w:rsidR="002B71AB">
              <w:rPr>
                <w:szCs w:val="22"/>
              </w:rPr>
              <w:t>.</w:t>
            </w:r>
            <w:r w:rsidR="00434D2F" w:rsidRPr="000A2987">
              <w:rPr>
                <w:szCs w:val="22"/>
              </w:rPr>
              <w:t xml:space="preserve"> </w:t>
            </w:r>
            <w:r w:rsidR="002B71AB">
              <w:rPr>
                <w:szCs w:val="22"/>
              </w:rPr>
              <w:t xml:space="preserve">Without this, </w:t>
            </w:r>
            <w:r w:rsidR="00434D2F" w:rsidRPr="000A2987">
              <w:rPr>
                <w:szCs w:val="22"/>
              </w:rPr>
              <w:t>the bid</w:t>
            </w:r>
            <w:r w:rsidR="002B71AB">
              <w:rPr>
                <w:szCs w:val="22"/>
              </w:rPr>
              <w:t>dder</w:t>
            </w:r>
            <w:r w:rsidR="00434D2F" w:rsidRPr="000A2987">
              <w:rPr>
                <w:szCs w:val="22"/>
              </w:rPr>
              <w:t xml:space="preserve"> will be disqualified.</w:t>
            </w:r>
          </w:p>
          <w:p w14:paraId="61E8568D" w14:textId="77777777" w:rsidR="00434D2F" w:rsidRPr="00866E9F" w:rsidRDefault="00434D2F" w:rsidP="00434D2F">
            <w:pPr>
              <w:pStyle w:val="aDSPara"/>
              <w:spacing w:before="60" w:after="60"/>
              <w:ind w:left="0"/>
              <w:rPr>
                <w:i/>
                <w:szCs w:val="22"/>
              </w:rPr>
            </w:pPr>
            <w:r w:rsidRPr="00866E9F">
              <w:rPr>
                <w:b/>
                <w:i/>
                <w:szCs w:val="22"/>
              </w:rPr>
              <w:t>Note</w:t>
            </w:r>
            <w:r w:rsidRPr="00866E9F">
              <w:rPr>
                <w:i/>
                <w:szCs w:val="22"/>
              </w:rPr>
              <w:t>:</w:t>
            </w:r>
            <w:r w:rsidRPr="00866E9F">
              <w:rPr>
                <w:rFonts w:ascii="Arial Narrow" w:hAnsi="Arial Narrow" w:cs="Arial Narrow"/>
                <w:i/>
                <w:iCs/>
                <w:szCs w:val="22"/>
                <w:lang w:val="en-ZA"/>
              </w:rPr>
              <w:t xml:space="preserve"> Samples may be requested from bidders before award.</w:t>
            </w:r>
          </w:p>
        </w:tc>
        <w:tc>
          <w:tcPr>
            <w:tcW w:w="625" w:type="pct"/>
          </w:tcPr>
          <w:p w14:paraId="294D4D98" w14:textId="77777777" w:rsidR="00E2616F" w:rsidRPr="00866E9F" w:rsidRDefault="00E2616F" w:rsidP="00813A84">
            <w:pPr>
              <w:pStyle w:val="aDSPara"/>
              <w:spacing w:before="60" w:after="60"/>
              <w:ind w:left="0"/>
              <w:jc w:val="left"/>
              <w:rPr>
                <w:szCs w:val="22"/>
              </w:rPr>
            </w:pPr>
          </w:p>
        </w:tc>
      </w:tr>
      <w:tr w:rsidR="00A527D1" w:rsidRPr="00866E9F" w14:paraId="14404522" w14:textId="77777777" w:rsidTr="00135FAB">
        <w:trPr>
          <w:trHeight w:val="1399"/>
        </w:trPr>
        <w:tc>
          <w:tcPr>
            <w:tcW w:w="347" w:type="pct"/>
          </w:tcPr>
          <w:p w14:paraId="30E4807B" w14:textId="07681792" w:rsidR="00A527D1" w:rsidRPr="00866E9F" w:rsidRDefault="004D0B61" w:rsidP="00813A84">
            <w:pPr>
              <w:pStyle w:val="aDSPara"/>
              <w:spacing w:before="60" w:after="60"/>
              <w:ind w:left="0"/>
              <w:jc w:val="left"/>
              <w:rPr>
                <w:szCs w:val="22"/>
              </w:rPr>
            </w:pPr>
            <w:r>
              <w:rPr>
                <w:szCs w:val="22"/>
              </w:rPr>
              <w:t>5</w:t>
            </w:r>
          </w:p>
        </w:tc>
        <w:tc>
          <w:tcPr>
            <w:tcW w:w="4028" w:type="pct"/>
          </w:tcPr>
          <w:p w14:paraId="4921B078" w14:textId="01F24A95" w:rsidR="00081FB4" w:rsidRDefault="00A527D1" w:rsidP="00813A84">
            <w:pPr>
              <w:pStyle w:val="aDSPara"/>
              <w:spacing w:before="60" w:after="60"/>
              <w:ind w:left="0"/>
              <w:jc w:val="left"/>
              <w:rPr>
                <w:szCs w:val="22"/>
              </w:rPr>
            </w:pPr>
            <w:r w:rsidRPr="000A2987">
              <w:rPr>
                <w:szCs w:val="22"/>
              </w:rPr>
              <w:t xml:space="preserve">Proof of availability of appropriate </w:t>
            </w:r>
            <w:r w:rsidR="002B71AB">
              <w:rPr>
                <w:szCs w:val="22"/>
              </w:rPr>
              <w:t>trucks</w:t>
            </w:r>
            <w:r w:rsidRPr="000A2987">
              <w:rPr>
                <w:szCs w:val="22"/>
              </w:rPr>
              <w:t xml:space="preserve"> to enable</w:t>
            </w:r>
            <w:r w:rsidR="00D7511D" w:rsidRPr="000A2987">
              <w:rPr>
                <w:szCs w:val="22"/>
              </w:rPr>
              <w:t xml:space="preserve"> delivery of coal to Necsa site to deliver a m</w:t>
            </w:r>
            <w:r w:rsidR="009457DF">
              <w:rPr>
                <w:szCs w:val="22"/>
              </w:rPr>
              <w:t>inimum of 30</w:t>
            </w:r>
            <w:r w:rsidR="00A43171">
              <w:rPr>
                <w:szCs w:val="22"/>
              </w:rPr>
              <w:t>-35</w:t>
            </w:r>
            <w:r w:rsidR="009457DF">
              <w:rPr>
                <w:szCs w:val="22"/>
              </w:rPr>
              <w:t xml:space="preserve"> tons of coal</w:t>
            </w:r>
            <w:r w:rsidR="00D7511D" w:rsidRPr="000A2987">
              <w:rPr>
                <w:szCs w:val="22"/>
              </w:rPr>
              <w:t xml:space="preserve"> </w:t>
            </w:r>
            <w:r w:rsidR="002B71AB">
              <w:rPr>
                <w:szCs w:val="22"/>
              </w:rPr>
              <w:t>per load to</w:t>
            </w:r>
            <w:r w:rsidR="00D7511D" w:rsidRPr="000A2987">
              <w:rPr>
                <w:szCs w:val="22"/>
              </w:rPr>
              <w:t xml:space="preserve"> Necsa </w:t>
            </w:r>
            <w:r w:rsidR="002B71AB">
              <w:rPr>
                <w:szCs w:val="22"/>
              </w:rPr>
              <w:t xml:space="preserve">as </w:t>
            </w:r>
            <w:r w:rsidR="00A43171">
              <w:rPr>
                <w:szCs w:val="22"/>
              </w:rPr>
              <w:t>per delivery schedule</w:t>
            </w:r>
            <w:r w:rsidR="002B71AB">
              <w:rPr>
                <w:szCs w:val="22"/>
              </w:rPr>
              <w:t>.</w:t>
            </w:r>
            <w:r w:rsidR="00D7511D" w:rsidRPr="000A2987">
              <w:rPr>
                <w:szCs w:val="22"/>
              </w:rPr>
              <w:t xml:space="preserve"> </w:t>
            </w:r>
            <w:r w:rsidRPr="000A2987">
              <w:rPr>
                <w:szCs w:val="22"/>
              </w:rPr>
              <w:t xml:space="preserve">Certified copies of </w:t>
            </w:r>
            <w:r w:rsidR="002B71AB">
              <w:rPr>
                <w:szCs w:val="22"/>
              </w:rPr>
              <w:t>trucks and trailors</w:t>
            </w:r>
            <w:r w:rsidR="002B71AB" w:rsidRPr="000A2987">
              <w:rPr>
                <w:szCs w:val="22"/>
              </w:rPr>
              <w:t xml:space="preserve"> </w:t>
            </w:r>
            <w:r w:rsidRPr="000A2987">
              <w:rPr>
                <w:szCs w:val="22"/>
              </w:rPr>
              <w:t>registration certificates must be attached</w:t>
            </w:r>
            <w:r w:rsidRPr="00081FB4">
              <w:rPr>
                <w:szCs w:val="22"/>
              </w:rPr>
              <w:t>.</w:t>
            </w:r>
          </w:p>
          <w:p w14:paraId="2C7BD7DE" w14:textId="77777777" w:rsidR="00A527D1" w:rsidRPr="000A2987" w:rsidRDefault="00A527D1" w:rsidP="00813A84">
            <w:pPr>
              <w:pStyle w:val="aDSPara"/>
              <w:spacing w:before="60" w:after="60"/>
              <w:ind w:left="0"/>
              <w:jc w:val="left"/>
              <w:rPr>
                <w:rFonts w:ascii="Verdana" w:hAnsi="Verdana"/>
                <w:i/>
                <w:szCs w:val="22"/>
              </w:rPr>
            </w:pPr>
            <w:r w:rsidRPr="000A2987">
              <w:rPr>
                <w:i/>
                <w:szCs w:val="22"/>
              </w:rPr>
              <w:t xml:space="preserve">If the vehicles do not belong to the </w:t>
            </w:r>
            <w:r w:rsidR="002B71AB">
              <w:rPr>
                <w:i/>
                <w:szCs w:val="22"/>
              </w:rPr>
              <w:t xml:space="preserve">bidding </w:t>
            </w:r>
            <w:r w:rsidRPr="000A2987">
              <w:rPr>
                <w:i/>
                <w:szCs w:val="22"/>
              </w:rPr>
              <w:t>company or any of the directors,a letter of intent to enter into a vehicle leasing contract should be attached.</w:t>
            </w:r>
            <w:r w:rsidR="00863543" w:rsidRPr="000A2987">
              <w:rPr>
                <w:rFonts w:ascii="Verdana" w:hAnsi="Verdana"/>
                <w:i/>
                <w:szCs w:val="22"/>
              </w:rPr>
              <w:t xml:space="preserve"> </w:t>
            </w:r>
          </w:p>
        </w:tc>
        <w:tc>
          <w:tcPr>
            <w:tcW w:w="625" w:type="pct"/>
          </w:tcPr>
          <w:p w14:paraId="2615252F" w14:textId="77777777" w:rsidR="00A527D1" w:rsidRPr="00866E9F" w:rsidRDefault="00A527D1" w:rsidP="00813A84">
            <w:pPr>
              <w:pStyle w:val="aDSPara"/>
              <w:spacing w:before="60" w:after="60"/>
              <w:ind w:left="0"/>
              <w:jc w:val="left"/>
              <w:rPr>
                <w:szCs w:val="22"/>
              </w:rPr>
            </w:pPr>
          </w:p>
        </w:tc>
      </w:tr>
      <w:tr w:rsidR="00A527D1" w:rsidRPr="00866E9F" w14:paraId="60EF318B" w14:textId="77777777" w:rsidTr="00135FAB">
        <w:trPr>
          <w:trHeight w:val="291"/>
        </w:trPr>
        <w:tc>
          <w:tcPr>
            <w:tcW w:w="347" w:type="pct"/>
          </w:tcPr>
          <w:p w14:paraId="00A8E0A7" w14:textId="6AA574E6" w:rsidR="00A527D1" w:rsidRPr="00866E9F" w:rsidRDefault="004D0B61" w:rsidP="00813A84">
            <w:pPr>
              <w:pStyle w:val="aDSPara"/>
              <w:spacing w:before="60" w:after="60"/>
              <w:ind w:left="0"/>
              <w:jc w:val="left"/>
              <w:rPr>
                <w:szCs w:val="22"/>
              </w:rPr>
            </w:pPr>
            <w:r>
              <w:rPr>
                <w:szCs w:val="22"/>
              </w:rPr>
              <w:t>6</w:t>
            </w:r>
          </w:p>
        </w:tc>
        <w:tc>
          <w:tcPr>
            <w:tcW w:w="4028" w:type="pct"/>
          </w:tcPr>
          <w:p w14:paraId="69BF1C17" w14:textId="77777777" w:rsidR="00A527D1" w:rsidRPr="00866E9F" w:rsidRDefault="00332F00" w:rsidP="00434D2F">
            <w:pPr>
              <w:pStyle w:val="aDSPara"/>
              <w:spacing w:before="60" w:after="60"/>
              <w:ind w:left="0"/>
              <w:jc w:val="left"/>
              <w:rPr>
                <w:szCs w:val="22"/>
              </w:rPr>
            </w:pPr>
            <w:r w:rsidRPr="00866E9F">
              <w:rPr>
                <w:szCs w:val="22"/>
              </w:rPr>
              <w:t>Adheres to Pricing Instructions.( SBD 3.1</w:t>
            </w:r>
            <w:r w:rsidR="00866E9F">
              <w:rPr>
                <w:szCs w:val="22"/>
              </w:rPr>
              <w:t xml:space="preserve"> and Paragrph 3.2</w:t>
            </w:r>
            <w:r w:rsidRPr="00866E9F">
              <w:rPr>
                <w:szCs w:val="22"/>
              </w:rPr>
              <w:t>)</w:t>
            </w:r>
          </w:p>
        </w:tc>
        <w:tc>
          <w:tcPr>
            <w:tcW w:w="625" w:type="pct"/>
          </w:tcPr>
          <w:p w14:paraId="63A58BC0" w14:textId="77777777" w:rsidR="00A527D1" w:rsidRPr="00866E9F" w:rsidRDefault="00A527D1" w:rsidP="00813A84">
            <w:pPr>
              <w:pStyle w:val="aDSPara"/>
              <w:spacing w:before="60" w:after="60"/>
              <w:ind w:left="0"/>
              <w:jc w:val="left"/>
              <w:rPr>
                <w:szCs w:val="22"/>
              </w:rPr>
            </w:pPr>
          </w:p>
        </w:tc>
      </w:tr>
      <w:tr w:rsidR="00A35D39" w:rsidRPr="00866E9F" w14:paraId="4C2FE155" w14:textId="77777777" w:rsidTr="00135FAB">
        <w:trPr>
          <w:trHeight w:val="291"/>
        </w:trPr>
        <w:tc>
          <w:tcPr>
            <w:tcW w:w="347" w:type="pct"/>
          </w:tcPr>
          <w:p w14:paraId="534C97CF" w14:textId="74D4FC33" w:rsidR="00A35D39" w:rsidRPr="00866E9F" w:rsidRDefault="004D0B61" w:rsidP="00A35D39">
            <w:pPr>
              <w:pStyle w:val="aDSPara"/>
              <w:spacing w:before="60" w:after="60"/>
              <w:ind w:left="0"/>
              <w:jc w:val="left"/>
              <w:rPr>
                <w:szCs w:val="22"/>
              </w:rPr>
            </w:pPr>
            <w:r>
              <w:rPr>
                <w:szCs w:val="22"/>
              </w:rPr>
              <w:t>7</w:t>
            </w:r>
          </w:p>
        </w:tc>
        <w:tc>
          <w:tcPr>
            <w:tcW w:w="4028" w:type="pct"/>
          </w:tcPr>
          <w:p w14:paraId="3C68B2C5" w14:textId="45A3898E" w:rsidR="00A35D39" w:rsidRPr="000A2987" w:rsidRDefault="00A35D39" w:rsidP="00A35D39">
            <w:pPr>
              <w:pStyle w:val="aDSPara"/>
              <w:spacing w:before="60" w:after="60"/>
              <w:ind w:left="0"/>
              <w:jc w:val="left"/>
              <w:rPr>
                <w:szCs w:val="22"/>
              </w:rPr>
            </w:pPr>
            <w:r w:rsidRPr="000A2987">
              <w:rPr>
                <w:szCs w:val="22"/>
              </w:rPr>
              <w:t xml:space="preserve">Proof of </w:t>
            </w:r>
            <w:r w:rsidR="00A43171">
              <w:rPr>
                <w:szCs w:val="22"/>
              </w:rPr>
              <w:t>calibration of the weigh bridge from the supplying mine/site</w:t>
            </w:r>
          </w:p>
        </w:tc>
        <w:tc>
          <w:tcPr>
            <w:tcW w:w="625" w:type="pct"/>
          </w:tcPr>
          <w:p w14:paraId="179F0FDA" w14:textId="77777777" w:rsidR="00A35D39" w:rsidRPr="00866E9F" w:rsidRDefault="00A35D39" w:rsidP="00A35D39">
            <w:pPr>
              <w:pStyle w:val="aDSPara"/>
              <w:spacing w:before="60" w:after="60"/>
              <w:ind w:left="0"/>
              <w:jc w:val="left"/>
              <w:rPr>
                <w:szCs w:val="22"/>
              </w:rPr>
            </w:pPr>
          </w:p>
        </w:tc>
      </w:tr>
      <w:tr w:rsidR="00A35D39" w:rsidRPr="00866E9F" w14:paraId="258A843E" w14:textId="77777777" w:rsidTr="00135FAB">
        <w:trPr>
          <w:trHeight w:val="291"/>
        </w:trPr>
        <w:tc>
          <w:tcPr>
            <w:tcW w:w="347" w:type="pct"/>
          </w:tcPr>
          <w:p w14:paraId="63E44A20" w14:textId="7C71E844" w:rsidR="00A35D39" w:rsidRPr="00866E9F" w:rsidDel="00FE25CB" w:rsidRDefault="004D0B61" w:rsidP="00A35D39">
            <w:pPr>
              <w:pStyle w:val="aDSPara"/>
              <w:spacing w:before="60" w:after="60"/>
              <w:ind w:left="0"/>
              <w:jc w:val="left"/>
              <w:rPr>
                <w:szCs w:val="22"/>
              </w:rPr>
            </w:pPr>
            <w:r>
              <w:rPr>
                <w:szCs w:val="22"/>
              </w:rPr>
              <w:t>8</w:t>
            </w:r>
          </w:p>
        </w:tc>
        <w:tc>
          <w:tcPr>
            <w:tcW w:w="4028" w:type="pct"/>
          </w:tcPr>
          <w:p w14:paraId="47FC9C12" w14:textId="03948792" w:rsidR="00A35D39" w:rsidRPr="000A2987" w:rsidRDefault="00A35D39" w:rsidP="00A43171">
            <w:pPr>
              <w:pStyle w:val="aDSPara"/>
              <w:spacing w:before="60" w:after="60"/>
              <w:ind w:left="0"/>
              <w:jc w:val="left"/>
              <w:rPr>
                <w:szCs w:val="22"/>
              </w:rPr>
            </w:pPr>
            <w:r w:rsidRPr="000A2987">
              <w:rPr>
                <w:szCs w:val="22"/>
              </w:rPr>
              <w:t>Inspection of the supplier premises and its affiliates for</w:t>
            </w:r>
            <w:r w:rsidR="00863543" w:rsidRPr="000A2987">
              <w:rPr>
                <w:szCs w:val="22"/>
              </w:rPr>
              <w:t xml:space="preserve"> confirmation of  operations and</w:t>
            </w:r>
            <w:r w:rsidRPr="000A2987">
              <w:rPr>
                <w:szCs w:val="22"/>
              </w:rPr>
              <w:t xml:space="preserve"> the verication of the bid information supplied to Necsa.(this will</w:t>
            </w:r>
            <w:r w:rsidR="00320E76" w:rsidRPr="000A2987">
              <w:rPr>
                <w:szCs w:val="22"/>
              </w:rPr>
              <w:t xml:space="preserve"> be</w:t>
            </w:r>
            <w:r w:rsidRPr="000A2987">
              <w:rPr>
                <w:szCs w:val="22"/>
              </w:rPr>
              <w:t xml:space="preserve"> upon receipt of the bids</w:t>
            </w:r>
            <w:r w:rsidR="00A43171">
              <w:rPr>
                <w:szCs w:val="22"/>
              </w:rPr>
              <w:t xml:space="preserve"> and compliance to 1 to 7 above</w:t>
            </w:r>
            <w:r w:rsidRPr="000A2987">
              <w:rPr>
                <w:szCs w:val="22"/>
              </w:rPr>
              <w:t>)</w:t>
            </w:r>
          </w:p>
        </w:tc>
        <w:tc>
          <w:tcPr>
            <w:tcW w:w="625" w:type="pct"/>
          </w:tcPr>
          <w:p w14:paraId="40FC2E57" w14:textId="77777777" w:rsidR="00A35D39" w:rsidRPr="00866E9F" w:rsidRDefault="00A35D39" w:rsidP="00A35D39">
            <w:pPr>
              <w:pStyle w:val="aDSPara"/>
              <w:spacing w:before="60" w:after="60"/>
              <w:ind w:left="0"/>
              <w:jc w:val="left"/>
              <w:rPr>
                <w:szCs w:val="22"/>
              </w:rPr>
            </w:pPr>
          </w:p>
        </w:tc>
      </w:tr>
    </w:tbl>
    <w:p w14:paraId="4E0000AF" w14:textId="77777777" w:rsidR="006E040B" w:rsidRDefault="006E040B" w:rsidP="002E3842">
      <w:pPr>
        <w:pStyle w:val="Index3"/>
      </w:pPr>
      <w:bookmarkStart w:id="33" w:name="_Toc494699128"/>
      <w:r>
        <w:t>Technical / Functional Evaluation Criteria</w:t>
      </w:r>
      <w:bookmarkEnd w:id="33"/>
    </w:p>
    <w:p w14:paraId="71272252" w14:textId="77777777" w:rsidR="00E67CB6" w:rsidRDefault="00E67CB6" w:rsidP="00E67CB6">
      <w:pPr>
        <w:pStyle w:val="1Paragraph"/>
      </w:pPr>
    </w:p>
    <w:tbl>
      <w:tblPr>
        <w:tblStyle w:val="TableGrid"/>
        <w:tblW w:w="5000" w:type="pct"/>
        <w:tblLayout w:type="fixed"/>
        <w:tblLook w:val="04A0" w:firstRow="1" w:lastRow="0" w:firstColumn="1" w:lastColumn="0" w:noHBand="0" w:noVBand="1"/>
      </w:tblPr>
      <w:tblGrid>
        <w:gridCol w:w="720"/>
        <w:gridCol w:w="1925"/>
        <w:gridCol w:w="1036"/>
        <w:gridCol w:w="834"/>
        <w:gridCol w:w="5112"/>
      </w:tblGrid>
      <w:tr w:rsidR="000A2987" w:rsidRPr="000F5EFE" w14:paraId="3A3E43B4" w14:textId="77777777" w:rsidTr="00EB5082">
        <w:trPr>
          <w:tblHeader/>
        </w:trPr>
        <w:tc>
          <w:tcPr>
            <w:tcW w:w="374" w:type="pct"/>
            <w:shd w:val="clear" w:color="auto" w:fill="ECE8D3"/>
          </w:tcPr>
          <w:p w14:paraId="055CA173" w14:textId="77777777" w:rsidR="000A2987" w:rsidRPr="000F5EFE" w:rsidRDefault="000A2987" w:rsidP="00591A56">
            <w:pPr>
              <w:pStyle w:val="aDSPara"/>
              <w:spacing w:before="60" w:after="60"/>
              <w:ind w:left="0"/>
              <w:jc w:val="left"/>
              <w:rPr>
                <w:b/>
                <w:color w:val="000000" w:themeColor="text1"/>
                <w:sz w:val="20"/>
                <w:szCs w:val="20"/>
              </w:rPr>
            </w:pPr>
            <w:r w:rsidRPr="000F5EFE">
              <w:rPr>
                <w:b/>
                <w:color w:val="000000" w:themeColor="text1"/>
                <w:sz w:val="20"/>
                <w:szCs w:val="20"/>
              </w:rPr>
              <w:t>Item</w:t>
            </w:r>
          </w:p>
        </w:tc>
        <w:tc>
          <w:tcPr>
            <w:tcW w:w="1000" w:type="pct"/>
            <w:shd w:val="clear" w:color="auto" w:fill="ECE8D3"/>
          </w:tcPr>
          <w:p w14:paraId="4DAA5D6B" w14:textId="77777777" w:rsidR="000A2987" w:rsidRPr="000F5EFE" w:rsidRDefault="000A2987" w:rsidP="00591A56">
            <w:pPr>
              <w:pStyle w:val="aDSPara"/>
              <w:spacing w:before="60" w:after="60"/>
              <w:ind w:left="0"/>
              <w:jc w:val="left"/>
              <w:rPr>
                <w:b/>
                <w:color w:val="000000" w:themeColor="text1"/>
                <w:sz w:val="20"/>
                <w:szCs w:val="20"/>
              </w:rPr>
            </w:pPr>
            <w:r w:rsidRPr="000F5EFE">
              <w:rPr>
                <w:b/>
                <w:color w:val="000000" w:themeColor="text1"/>
                <w:sz w:val="20"/>
                <w:szCs w:val="20"/>
              </w:rPr>
              <w:t>Requirement</w:t>
            </w:r>
          </w:p>
        </w:tc>
        <w:tc>
          <w:tcPr>
            <w:tcW w:w="538" w:type="pct"/>
            <w:shd w:val="clear" w:color="auto" w:fill="ECE8D3"/>
          </w:tcPr>
          <w:p w14:paraId="1BCEA4E5" w14:textId="77777777" w:rsidR="000A2987" w:rsidRPr="000F5EFE" w:rsidRDefault="000A2987" w:rsidP="00591A56">
            <w:pPr>
              <w:pStyle w:val="aDSPara"/>
              <w:spacing w:before="60" w:after="60"/>
              <w:ind w:left="0"/>
              <w:jc w:val="center"/>
              <w:rPr>
                <w:b/>
                <w:color w:val="000000" w:themeColor="text1"/>
                <w:sz w:val="20"/>
                <w:szCs w:val="20"/>
              </w:rPr>
            </w:pPr>
            <w:r w:rsidRPr="000F5EFE">
              <w:rPr>
                <w:b/>
                <w:color w:val="000000" w:themeColor="text1"/>
                <w:sz w:val="20"/>
                <w:szCs w:val="20"/>
              </w:rPr>
              <w:t>Weight</w:t>
            </w:r>
          </w:p>
        </w:tc>
        <w:tc>
          <w:tcPr>
            <w:tcW w:w="433" w:type="pct"/>
            <w:shd w:val="clear" w:color="auto" w:fill="ECE8D3"/>
          </w:tcPr>
          <w:p w14:paraId="6198A28E" w14:textId="77777777" w:rsidR="000A2987" w:rsidRPr="000F5EFE" w:rsidRDefault="000A2987" w:rsidP="00591A56">
            <w:pPr>
              <w:pStyle w:val="aDSPara"/>
              <w:spacing w:before="60" w:after="60"/>
              <w:ind w:left="0"/>
              <w:jc w:val="center"/>
              <w:rPr>
                <w:b/>
                <w:color w:val="000000" w:themeColor="text1"/>
                <w:sz w:val="20"/>
                <w:szCs w:val="20"/>
              </w:rPr>
            </w:pPr>
            <w:r w:rsidRPr="000F5EFE">
              <w:rPr>
                <w:b/>
                <w:color w:val="000000" w:themeColor="text1"/>
                <w:sz w:val="20"/>
                <w:szCs w:val="20"/>
              </w:rPr>
              <w:t>Points</w:t>
            </w:r>
          </w:p>
        </w:tc>
        <w:tc>
          <w:tcPr>
            <w:tcW w:w="2655" w:type="pct"/>
            <w:shd w:val="clear" w:color="auto" w:fill="ECE8D3"/>
          </w:tcPr>
          <w:p w14:paraId="37A118B9" w14:textId="77777777" w:rsidR="000A2987" w:rsidRPr="000F5EFE" w:rsidRDefault="000A2987" w:rsidP="00591A56">
            <w:pPr>
              <w:pStyle w:val="aDSPara"/>
              <w:spacing w:before="60" w:after="60"/>
              <w:ind w:left="0"/>
              <w:jc w:val="left"/>
              <w:rPr>
                <w:b/>
                <w:color w:val="000000" w:themeColor="text1"/>
                <w:sz w:val="20"/>
                <w:szCs w:val="20"/>
              </w:rPr>
            </w:pPr>
            <w:r w:rsidRPr="000F5EFE">
              <w:rPr>
                <w:b/>
                <w:color w:val="000000" w:themeColor="text1"/>
                <w:sz w:val="20"/>
                <w:szCs w:val="20"/>
              </w:rPr>
              <w:t>Criteria</w:t>
            </w:r>
          </w:p>
        </w:tc>
      </w:tr>
      <w:tr w:rsidR="000A2987" w:rsidRPr="000F5EFE" w14:paraId="269D89B7" w14:textId="77777777" w:rsidTr="00EB5082">
        <w:trPr>
          <w:trHeight w:val="452"/>
        </w:trPr>
        <w:tc>
          <w:tcPr>
            <w:tcW w:w="374" w:type="pct"/>
            <w:vMerge w:val="restart"/>
          </w:tcPr>
          <w:p w14:paraId="01B829B6" w14:textId="77777777" w:rsidR="000A2987" w:rsidRPr="000F5EFE" w:rsidRDefault="000A2987" w:rsidP="00591A56">
            <w:pPr>
              <w:pStyle w:val="aDSPara"/>
              <w:spacing w:before="60" w:after="60"/>
              <w:ind w:left="0"/>
              <w:jc w:val="left"/>
              <w:rPr>
                <w:rFonts w:cs="Arial"/>
                <w:color w:val="000000" w:themeColor="text1"/>
                <w:sz w:val="18"/>
                <w:szCs w:val="18"/>
              </w:rPr>
            </w:pPr>
            <w:r w:rsidRPr="000F5EFE">
              <w:rPr>
                <w:rFonts w:cs="Arial"/>
                <w:color w:val="000000" w:themeColor="text1"/>
                <w:sz w:val="18"/>
                <w:szCs w:val="18"/>
              </w:rPr>
              <w:t>1</w:t>
            </w:r>
          </w:p>
        </w:tc>
        <w:tc>
          <w:tcPr>
            <w:tcW w:w="1000" w:type="pct"/>
            <w:vMerge w:val="restart"/>
          </w:tcPr>
          <w:p w14:paraId="1124CC04" w14:textId="77777777" w:rsidR="000A2987" w:rsidRPr="000F5EFE" w:rsidRDefault="000A2987" w:rsidP="00591A56">
            <w:pPr>
              <w:pStyle w:val="aDSPara"/>
              <w:spacing w:before="60" w:after="60"/>
              <w:ind w:left="0"/>
              <w:jc w:val="left"/>
              <w:rPr>
                <w:rFonts w:cs="Arial"/>
                <w:color w:val="000000" w:themeColor="text1"/>
                <w:sz w:val="18"/>
                <w:szCs w:val="18"/>
              </w:rPr>
            </w:pPr>
            <w:r w:rsidRPr="000F5EFE">
              <w:rPr>
                <w:rFonts w:cs="Arial"/>
                <w:color w:val="000000" w:themeColor="text1"/>
                <w:sz w:val="18"/>
                <w:szCs w:val="18"/>
              </w:rPr>
              <w:t>Financial/Payment Terms 30 days =2 COD to 14 days = 1 Upfront/Bank Guaranteed =0.5</w:t>
            </w:r>
          </w:p>
        </w:tc>
        <w:tc>
          <w:tcPr>
            <w:tcW w:w="538" w:type="pct"/>
            <w:vMerge w:val="restart"/>
            <w:vAlign w:val="center"/>
          </w:tcPr>
          <w:p w14:paraId="4BB35EF7" w14:textId="77777777" w:rsidR="000A2987" w:rsidRPr="000F5EFE" w:rsidRDefault="000A2987" w:rsidP="00591A56">
            <w:pPr>
              <w:pStyle w:val="aDSPara"/>
              <w:spacing w:before="60" w:after="60"/>
              <w:ind w:left="0"/>
              <w:jc w:val="center"/>
              <w:rPr>
                <w:rFonts w:cs="Arial"/>
                <w:color w:val="000000" w:themeColor="text1"/>
                <w:sz w:val="18"/>
                <w:szCs w:val="18"/>
              </w:rPr>
            </w:pPr>
            <w:r w:rsidRPr="000F5EFE">
              <w:rPr>
                <w:rFonts w:cs="Arial"/>
                <w:color w:val="000000" w:themeColor="text1"/>
                <w:sz w:val="18"/>
                <w:szCs w:val="18"/>
              </w:rPr>
              <w:t>5</w:t>
            </w:r>
          </w:p>
        </w:tc>
        <w:tc>
          <w:tcPr>
            <w:tcW w:w="433" w:type="pct"/>
            <w:vAlign w:val="center"/>
          </w:tcPr>
          <w:p w14:paraId="3B4F0C56" w14:textId="77777777" w:rsidR="000A2987" w:rsidRPr="000F5EFE" w:rsidRDefault="000A2987" w:rsidP="00591A56">
            <w:pPr>
              <w:pStyle w:val="aDSPara"/>
              <w:spacing w:before="60" w:after="60"/>
              <w:ind w:left="0"/>
              <w:jc w:val="center"/>
              <w:rPr>
                <w:rFonts w:cs="Arial"/>
                <w:color w:val="000000" w:themeColor="text1"/>
                <w:sz w:val="18"/>
                <w:szCs w:val="18"/>
              </w:rPr>
            </w:pPr>
            <w:r w:rsidRPr="000F5EFE">
              <w:rPr>
                <w:rFonts w:cs="Arial"/>
                <w:bCs/>
                <w:color w:val="000000" w:themeColor="text1"/>
                <w:sz w:val="18"/>
                <w:szCs w:val="18"/>
              </w:rPr>
              <w:t>0</w:t>
            </w:r>
          </w:p>
        </w:tc>
        <w:tc>
          <w:tcPr>
            <w:tcW w:w="2655" w:type="pct"/>
          </w:tcPr>
          <w:p w14:paraId="62991A94" w14:textId="77777777" w:rsidR="000A2987" w:rsidRPr="000F5EFE" w:rsidRDefault="000A2987" w:rsidP="00591A56">
            <w:pPr>
              <w:pStyle w:val="aDSPara"/>
              <w:spacing w:before="60" w:after="60"/>
              <w:ind w:left="0"/>
              <w:jc w:val="left"/>
              <w:rPr>
                <w:rFonts w:cs="Arial"/>
                <w:color w:val="000000" w:themeColor="text1"/>
                <w:sz w:val="18"/>
                <w:szCs w:val="18"/>
              </w:rPr>
            </w:pPr>
            <w:r w:rsidRPr="000F5EFE">
              <w:rPr>
                <w:rFonts w:cs="Arial"/>
                <w:bCs/>
                <w:color w:val="000000" w:themeColor="text1"/>
                <w:sz w:val="18"/>
                <w:szCs w:val="18"/>
              </w:rPr>
              <w:t>No letter with payment terms or terms on the quotation submitted</w:t>
            </w:r>
          </w:p>
        </w:tc>
      </w:tr>
      <w:tr w:rsidR="000A2987" w:rsidRPr="000F5EFE" w14:paraId="73F63996" w14:textId="77777777" w:rsidTr="00EB5082">
        <w:trPr>
          <w:trHeight w:val="452"/>
        </w:trPr>
        <w:tc>
          <w:tcPr>
            <w:tcW w:w="374" w:type="pct"/>
            <w:vMerge/>
          </w:tcPr>
          <w:p w14:paraId="04B9052E" w14:textId="77777777" w:rsidR="000A2987" w:rsidRPr="000F5EFE" w:rsidRDefault="000A2987" w:rsidP="00591A56">
            <w:pPr>
              <w:pStyle w:val="aDSPara"/>
              <w:spacing w:before="60" w:after="60"/>
              <w:ind w:left="0"/>
              <w:jc w:val="left"/>
              <w:rPr>
                <w:rFonts w:cs="Arial"/>
                <w:color w:val="000000" w:themeColor="text1"/>
                <w:sz w:val="18"/>
                <w:szCs w:val="18"/>
              </w:rPr>
            </w:pPr>
          </w:p>
        </w:tc>
        <w:tc>
          <w:tcPr>
            <w:tcW w:w="1000" w:type="pct"/>
            <w:vMerge/>
          </w:tcPr>
          <w:p w14:paraId="49086511" w14:textId="77777777" w:rsidR="000A2987" w:rsidRPr="000F5EFE" w:rsidRDefault="000A2987" w:rsidP="00591A56">
            <w:pPr>
              <w:pStyle w:val="aDSPara"/>
              <w:spacing w:before="60" w:after="60"/>
              <w:ind w:left="0"/>
              <w:jc w:val="left"/>
              <w:rPr>
                <w:rFonts w:cs="Arial"/>
                <w:color w:val="000000" w:themeColor="text1"/>
                <w:sz w:val="18"/>
                <w:szCs w:val="18"/>
              </w:rPr>
            </w:pPr>
          </w:p>
        </w:tc>
        <w:tc>
          <w:tcPr>
            <w:tcW w:w="538" w:type="pct"/>
            <w:vMerge/>
            <w:vAlign w:val="center"/>
          </w:tcPr>
          <w:p w14:paraId="621A0F38" w14:textId="77777777" w:rsidR="000A2987" w:rsidRPr="000F5EFE" w:rsidRDefault="000A2987" w:rsidP="00591A56">
            <w:pPr>
              <w:pStyle w:val="aDSPara"/>
              <w:spacing w:before="60" w:after="60"/>
              <w:ind w:left="0"/>
              <w:jc w:val="center"/>
              <w:rPr>
                <w:rFonts w:cs="Arial"/>
                <w:color w:val="000000" w:themeColor="text1"/>
                <w:sz w:val="18"/>
                <w:szCs w:val="18"/>
              </w:rPr>
            </w:pPr>
          </w:p>
        </w:tc>
        <w:tc>
          <w:tcPr>
            <w:tcW w:w="433" w:type="pct"/>
            <w:vAlign w:val="center"/>
          </w:tcPr>
          <w:p w14:paraId="1CC6D394" w14:textId="77777777" w:rsidR="000A2987" w:rsidRPr="000F5EFE" w:rsidRDefault="000A2987" w:rsidP="00591A56">
            <w:pPr>
              <w:pStyle w:val="aDSPara"/>
              <w:spacing w:before="60" w:after="60"/>
              <w:ind w:left="0"/>
              <w:jc w:val="center"/>
              <w:rPr>
                <w:rFonts w:cs="Arial"/>
                <w:color w:val="000000" w:themeColor="text1"/>
                <w:sz w:val="18"/>
                <w:szCs w:val="18"/>
              </w:rPr>
            </w:pPr>
            <w:r w:rsidRPr="000F5EFE">
              <w:rPr>
                <w:rFonts w:cs="Arial"/>
                <w:color w:val="000000" w:themeColor="text1"/>
                <w:sz w:val="18"/>
                <w:szCs w:val="18"/>
              </w:rPr>
              <w:t>2</w:t>
            </w:r>
          </w:p>
        </w:tc>
        <w:tc>
          <w:tcPr>
            <w:tcW w:w="2655" w:type="pct"/>
          </w:tcPr>
          <w:p w14:paraId="12AF8E63" w14:textId="77777777" w:rsidR="000A2987" w:rsidRPr="000F5EFE" w:rsidRDefault="000A2987" w:rsidP="00591A56">
            <w:pPr>
              <w:pStyle w:val="aDSPara"/>
              <w:spacing w:before="60" w:after="60"/>
              <w:ind w:left="0"/>
              <w:jc w:val="left"/>
              <w:rPr>
                <w:rFonts w:cs="Arial"/>
                <w:color w:val="000000" w:themeColor="text1"/>
                <w:sz w:val="18"/>
                <w:szCs w:val="18"/>
              </w:rPr>
            </w:pPr>
            <w:r w:rsidRPr="000F5EFE">
              <w:rPr>
                <w:rFonts w:cs="Arial"/>
                <w:bCs/>
                <w:color w:val="000000" w:themeColor="text1"/>
                <w:sz w:val="18"/>
                <w:szCs w:val="18"/>
              </w:rPr>
              <w:t>Letter or quotation with Upfront/Bank Guaranteed terms</w:t>
            </w:r>
          </w:p>
        </w:tc>
      </w:tr>
      <w:tr w:rsidR="000A2987" w:rsidRPr="000F5EFE" w14:paraId="2C07B78F" w14:textId="77777777" w:rsidTr="00EB5082">
        <w:trPr>
          <w:trHeight w:val="452"/>
        </w:trPr>
        <w:tc>
          <w:tcPr>
            <w:tcW w:w="374" w:type="pct"/>
            <w:vMerge/>
          </w:tcPr>
          <w:p w14:paraId="480C3696" w14:textId="77777777" w:rsidR="000A2987" w:rsidRPr="000F5EFE" w:rsidRDefault="000A2987" w:rsidP="00591A56">
            <w:pPr>
              <w:pStyle w:val="aDSPara"/>
              <w:spacing w:before="60" w:after="60"/>
              <w:ind w:left="0"/>
              <w:jc w:val="left"/>
              <w:rPr>
                <w:rFonts w:cs="Arial"/>
                <w:color w:val="000000" w:themeColor="text1"/>
                <w:sz w:val="18"/>
                <w:szCs w:val="18"/>
              </w:rPr>
            </w:pPr>
          </w:p>
        </w:tc>
        <w:tc>
          <w:tcPr>
            <w:tcW w:w="1000" w:type="pct"/>
            <w:vMerge/>
          </w:tcPr>
          <w:p w14:paraId="17970584" w14:textId="77777777" w:rsidR="000A2987" w:rsidRPr="000F5EFE" w:rsidRDefault="000A2987" w:rsidP="00591A56">
            <w:pPr>
              <w:pStyle w:val="aDSPara"/>
              <w:spacing w:before="60" w:after="60"/>
              <w:ind w:left="0"/>
              <w:jc w:val="left"/>
              <w:rPr>
                <w:rFonts w:cs="Arial"/>
                <w:color w:val="000000" w:themeColor="text1"/>
                <w:sz w:val="18"/>
                <w:szCs w:val="18"/>
              </w:rPr>
            </w:pPr>
          </w:p>
        </w:tc>
        <w:tc>
          <w:tcPr>
            <w:tcW w:w="538" w:type="pct"/>
            <w:vMerge/>
            <w:vAlign w:val="center"/>
          </w:tcPr>
          <w:p w14:paraId="17BB5772" w14:textId="77777777" w:rsidR="000A2987" w:rsidRPr="000F5EFE" w:rsidRDefault="000A2987" w:rsidP="00591A56">
            <w:pPr>
              <w:pStyle w:val="aDSPara"/>
              <w:spacing w:before="60" w:after="60"/>
              <w:ind w:left="0"/>
              <w:jc w:val="center"/>
              <w:rPr>
                <w:rFonts w:cs="Arial"/>
                <w:color w:val="000000" w:themeColor="text1"/>
                <w:sz w:val="18"/>
                <w:szCs w:val="18"/>
              </w:rPr>
            </w:pPr>
          </w:p>
        </w:tc>
        <w:tc>
          <w:tcPr>
            <w:tcW w:w="433" w:type="pct"/>
            <w:vAlign w:val="center"/>
          </w:tcPr>
          <w:p w14:paraId="091676A0" w14:textId="77777777" w:rsidR="000A2987" w:rsidRPr="000F5EFE" w:rsidRDefault="000A2987" w:rsidP="00591A56">
            <w:pPr>
              <w:pStyle w:val="aDSPara"/>
              <w:spacing w:before="60" w:after="60"/>
              <w:ind w:left="0"/>
              <w:jc w:val="center"/>
              <w:rPr>
                <w:rFonts w:cs="Arial"/>
                <w:color w:val="000000" w:themeColor="text1"/>
                <w:sz w:val="18"/>
                <w:szCs w:val="18"/>
              </w:rPr>
            </w:pPr>
            <w:r w:rsidRPr="000F5EFE">
              <w:rPr>
                <w:rFonts w:cs="Arial"/>
                <w:color w:val="000000" w:themeColor="text1"/>
                <w:sz w:val="18"/>
                <w:szCs w:val="18"/>
              </w:rPr>
              <w:t>3</w:t>
            </w:r>
          </w:p>
        </w:tc>
        <w:tc>
          <w:tcPr>
            <w:tcW w:w="2655" w:type="pct"/>
          </w:tcPr>
          <w:p w14:paraId="3DD1932B" w14:textId="77777777" w:rsidR="000A2987" w:rsidRPr="000F5EFE" w:rsidRDefault="000A2987" w:rsidP="00591A56">
            <w:pPr>
              <w:pStyle w:val="aDSPara"/>
              <w:spacing w:before="60" w:after="60"/>
              <w:ind w:left="0"/>
              <w:jc w:val="left"/>
              <w:rPr>
                <w:rFonts w:cs="Arial"/>
                <w:color w:val="000000" w:themeColor="text1"/>
                <w:sz w:val="18"/>
                <w:szCs w:val="18"/>
              </w:rPr>
            </w:pPr>
            <w:r w:rsidRPr="000F5EFE">
              <w:rPr>
                <w:rFonts w:cs="Arial"/>
                <w:bCs/>
                <w:color w:val="000000" w:themeColor="text1"/>
                <w:sz w:val="18"/>
                <w:szCs w:val="18"/>
              </w:rPr>
              <w:t>Letter or quotation with COD to 14 days terms</w:t>
            </w:r>
          </w:p>
        </w:tc>
      </w:tr>
      <w:tr w:rsidR="000A2987" w:rsidRPr="000F5EFE" w14:paraId="2A646046" w14:textId="77777777" w:rsidTr="00EB5082">
        <w:trPr>
          <w:trHeight w:val="452"/>
        </w:trPr>
        <w:tc>
          <w:tcPr>
            <w:tcW w:w="374" w:type="pct"/>
            <w:vMerge/>
          </w:tcPr>
          <w:p w14:paraId="3F19A1BF" w14:textId="77777777" w:rsidR="000A2987" w:rsidRPr="000F5EFE" w:rsidRDefault="000A2987" w:rsidP="00591A56">
            <w:pPr>
              <w:pStyle w:val="aDSPara"/>
              <w:spacing w:before="60" w:after="60"/>
              <w:ind w:left="0"/>
              <w:jc w:val="left"/>
              <w:rPr>
                <w:rFonts w:cs="Arial"/>
                <w:color w:val="000000" w:themeColor="text1"/>
                <w:sz w:val="18"/>
                <w:szCs w:val="18"/>
              </w:rPr>
            </w:pPr>
          </w:p>
        </w:tc>
        <w:tc>
          <w:tcPr>
            <w:tcW w:w="1000" w:type="pct"/>
            <w:vMerge/>
          </w:tcPr>
          <w:p w14:paraId="555EEA16" w14:textId="77777777" w:rsidR="000A2987" w:rsidRPr="000F5EFE" w:rsidRDefault="000A2987" w:rsidP="00591A56">
            <w:pPr>
              <w:pStyle w:val="aDSPara"/>
              <w:spacing w:before="60" w:after="60"/>
              <w:ind w:left="0"/>
              <w:jc w:val="left"/>
              <w:rPr>
                <w:rFonts w:cs="Arial"/>
                <w:color w:val="000000" w:themeColor="text1"/>
                <w:sz w:val="18"/>
                <w:szCs w:val="18"/>
              </w:rPr>
            </w:pPr>
          </w:p>
        </w:tc>
        <w:tc>
          <w:tcPr>
            <w:tcW w:w="538" w:type="pct"/>
            <w:vMerge/>
            <w:vAlign w:val="center"/>
          </w:tcPr>
          <w:p w14:paraId="354735B2" w14:textId="77777777" w:rsidR="000A2987" w:rsidRPr="000F5EFE" w:rsidRDefault="000A2987" w:rsidP="00591A56">
            <w:pPr>
              <w:pStyle w:val="aDSPara"/>
              <w:spacing w:before="60" w:after="60"/>
              <w:ind w:left="0"/>
              <w:jc w:val="center"/>
              <w:rPr>
                <w:rFonts w:cs="Arial"/>
                <w:color w:val="000000" w:themeColor="text1"/>
                <w:sz w:val="18"/>
                <w:szCs w:val="18"/>
              </w:rPr>
            </w:pPr>
          </w:p>
        </w:tc>
        <w:tc>
          <w:tcPr>
            <w:tcW w:w="433" w:type="pct"/>
            <w:vAlign w:val="center"/>
          </w:tcPr>
          <w:p w14:paraId="07E3B021" w14:textId="77777777" w:rsidR="000A2987" w:rsidRPr="000F5EFE" w:rsidRDefault="000A2987" w:rsidP="00591A56">
            <w:pPr>
              <w:pStyle w:val="aDSPara"/>
              <w:spacing w:before="60" w:after="60"/>
              <w:ind w:left="0"/>
              <w:jc w:val="center"/>
              <w:rPr>
                <w:rFonts w:cs="Arial"/>
                <w:color w:val="000000" w:themeColor="text1"/>
                <w:sz w:val="18"/>
                <w:szCs w:val="18"/>
              </w:rPr>
            </w:pPr>
            <w:r w:rsidRPr="000F5EFE">
              <w:rPr>
                <w:rFonts w:cs="Arial"/>
                <w:bCs/>
                <w:color w:val="000000" w:themeColor="text1"/>
                <w:sz w:val="18"/>
                <w:szCs w:val="18"/>
              </w:rPr>
              <w:t>5</w:t>
            </w:r>
          </w:p>
        </w:tc>
        <w:tc>
          <w:tcPr>
            <w:tcW w:w="2655" w:type="pct"/>
          </w:tcPr>
          <w:p w14:paraId="44E899E3" w14:textId="77777777" w:rsidR="000A2987" w:rsidRPr="000F5EFE" w:rsidRDefault="000A2987" w:rsidP="00591A56">
            <w:pPr>
              <w:pStyle w:val="aDSPara"/>
              <w:spacing w:before="60" w:after="60"/>
              <w:ind w:left="0"/>
              <w:jc w:val="left"/>
              <w:rPr>
                <w:rFonts w:cs="Arial"/>
                <w:color w:val="000000" w:themeColor="text1"/>
                <w:sz w:val="18"/>
                <w:szCs w:val="18"/>
              </w:rPr>
            </w:pPr>
            <w:r w:rsidRPr="000F5EFE">
              <w:rPr>
                <w:rFonts w:cs="Arial"/>
                <w:bCs/>
                <w:color w:val="000000" w:themeColor="text1"/>
                <w:sz w:val="18"/>
                <w:szCs w:val="18"/>
              </w:rPr>
              <w:t>Letter or quotation with payment Terms 30 days terms</w:t>
            </w:r>
          </w:p>
        </w:tc>
      </w:tr>
      <w:tr w:rsidR="000A2987" w:rsidRPr="000F5EFE" w14:paraId="3ACDD790" w14:textId="77777777" w:rsidTr="00EB5082">
        <w:trPr>
          <w:trHeight w:val="184"/>
        </w:trPr>
        <w:tc>
          <w:tcPr>
            <w:tcW w:w="374" w:type="pct"/>
            <w:vMerge w:val="restart"/>
          </w:tcPr>
          <w:p w14:paraId="67CE29DB" w14:textId="77777777" w:rsidR="000A2987" w:rsidRPr="000F5EFE" w:rsidRDefault="000A2987" w:rsidP="00591A56">
            <w:pPr>
              <w:pStyle w:val="aDSPara"/>
              <w:spacing w:before="60" w:after="60"/>
              <w:ind w:left="0"/>
              <w:jc w:val="left"/>
              <w:rPr>
                <w:rFonts w:cs="Arial"/>
                <w:color w:val="000000" w:themeColor="text1"/>
                <w:sz w:val="18"/>
                <w:szCs w:val="18"/>
              </w:rPr>
            </w:pPr>
            <w:r w:rsidRPr="000F5EFE">
              <w:rPr>
                <w:rFonts w:cs="Arial"/>
                <w:color w:val="000000" w:themeColor="text1"/>
                <w:sz w:val="18"/>
                <w:szCs w:val="18"/>
              </w:rPr>
              <w:t>2</w:t>
            </w:r>
          </w:p>
        </w:tc>
        <w:tc>
          <w:tcPr>
            <w:tcW w:w="1000" w:type="pct"/>
            <w:vMerge w:val="restart"/>
          </w:tcPr>
          <w:p w14:paraId="6B289AE3" w14:textId="77777777" w:rsidR="000A2987" w:rsidRPr="000F5EFE" w:rsidRDefault="002B71AB" w:rsidP="00591A56">
            <w:pPr>
              <w:pStyle w:val="aDSPara"/>
              <w:spacing w:before="60" w:after="60"/>
              <w:ind w:left="0"/>
              <w:jc w:val="left"/>
              <w:rPr>
                <w:rFonts w:cs="Arial"/>
                <w:color w:val="000000" w:themeColor="text1"/>
                <w:sz w:val="18"/>
                <w:szCs w:val="18"/>
              </w:rPr>
            </w:pPr>
            <w:r>
              <w:rPr>
                <w:rFonts w:cs="Arial"/>
                <w:color w:val="000000" w:themeColor="text1"/>
                <w:sz w:val="18"/>
                <w:szCs w:val="18"/>
              </w:rPr>
              <w:t xml:space="preserve">Valid </w:t>
            </w:r>
            <w:r w:rsidR="000A2987">
              <w:rPr>
                <w:rFonts w:cs="Arial"/>
                <w:color w:val="000000" w:themeColor="text1"/>
                <w:sz w:val="18"/>
                <w:szCs w:val="18"/>
              </w:rPr>
              <w:t>Comprehensive Insurance Cover.</w:t>
            </w:r>
          </w:p>
        </w:tc>
        <w:tc>
          <w:tcPr>
            <w:tcW w:w="538" w:type="pct"/>
            <w:vMerge w:val="restart"/>
            <w:vAlign w:val="center"/>
          </w:tcPr>
          <w:p w14:paraId="0FCAD8A0" w14:textId="77777777" w:rsidR="000A2987" w:rsidRPr="000F5EFE" w:rsidRDefault="000A2987" w:rsidP="00591A56">
            <w:pPr>
              <w:pStyle w:val="aDSPara"/>
              <w:spacing w:before="60" w:after="60"/>
              <w:ind w:left="0"/>
              <w:jc w:val="center"/>
              <w:rPr>
                <w:rFonts w:cs="Arial"/>
                <w:color w:val="000000" w:themeColor="text1"/>
                <w:sz w:val="18"/>
                <w:szCs w:val="18"/>
              </w:rPr>
            </w:pPr>
            <w:r>
              <w:rPr>
                <w:rFonts w:cs="Arial"/>
                <w:color w:val="000000" w:themeColor="text1"/>
                <w:sz w:val="18"/>
                <w:szCs w:val="18"/>
              </w:rPr>
              <w:t>10</w:t>
            </w:r>
          </w:p>
        </w:tc>
        <w:tc>
          <w:tcPr>
            <w:tcW w:w="433" w:type="pct"/>
          </w:tcPr>
          <w:p w14:paraId="73E523CD" w14:textId="229458B0" w:rsidR="000A2987" w:rsidRPr="000F5EFE" w:rsidRDefault="00606F19" w:rsidP="00591A56">
            <w:pPr>
              <w:pStyle w:val="aDSPara"/>
              <w:spacing w:before="60" w:after="60"/>
              <w:ind w:left="0"/>
              <w:jc w:val="center"/>
              <w:rPr>
                <w:rFonts w:cs="Arial"/>
                <w:color w:val="000000" w:themeColor="text1"/>
                <w:sz w:val="18"/>
                <w:szCs w:val="18"/>
              </w:rPr>
            </w:pPr>
            <w:r>
              <w:rPr>
                <w:rFonts w:cs="Arial"/>
                <w:color w:val="000000" w:themeColor="text1"/>
                <w:sz w:val="18"/>
                <w:szCs w:val="18"/>
              </w:rPr>
              <w:t>4</w:t>
            </w:r>
          </w:p>
        </w:tc>
        <w:tc>
          <w:tcPr>
            <w:tcW w:w="2655" w:type="pct"/>
          </w:tcPr>
          <w:p w14:paraId="389B59B9" w14:textId="77777777" w:rsidR="000A2987" w:rsidRPr="000F5EFE" w:rsidRDefault="000A2987" w:rsidP="00591A56">
            <w:pPr>
              <w:pStyle w:val="aDSPara"/>
              <w:spacing w:before="60" w:after="60"/>
              <w:ind w:left="0"/>
              <w:jc w:val="left"/>
              <w:rPr>
                <w:rFonts w:cs="Arial"/>
                <w:color w:val="000000" w:themeColor="text1"/>
                <w:sz w:val="18"/>
                <w:szCs w:val="18"/>
              </w:rPr>
            </w:pPr>
            <w:r w:rsidRPr="000F5EFE">
              <w:rPr>
                <w:rFonts w:cs="Arial"/>
                <w:color w:val="000000" w:themeColor="text1"/>
                <w:sz w:val="18"/>
                <w:szCs w:val="18"/>
              </w:rPr>
              <w:t xml:space="preserve">R1 Million to R2 Million </w:t>
            </w:r>
          </w:p>
        </w:tc>
      </w:tr>
      <w:tr w:rsidR="000A2987" w:rsidRPr="000F5EFE" w14:paraId="0EDF4F97" w14:textId="77777777" w:rsidTr="00EB5082">
        <w:trPr>
          <w:trHeight w:val="180"/>
        </w:trPr>
        <w:tc>
          <w:tcPr>
            <w:tcW w:w="374" w:type="pct"/>
            <w:vMerge/>
          </w:tcPr>
          <w:p w14:paraId="05D3827D" w14:textId="77777777" w:rsidR="000A2987" w:rsidRPr="000F5EFE" w:rsidRDefault="000A2987" w:rsidP="00591A56">
            <w:pPr>
              <w:pStyle w:val="aDSPara"/>
              <w:spacing w:before="60" w:after="60"/>
              <w:ind w:left="0"/>
              <w:jc w:val="left"/>
              <w:rPr>
                <w:rFonts w:cs="Arial"/>
                <w:color w:val="000000" w:themeColor="text1"/>
                <w:sz w:val="18"/>
                <w:szCs w:val="18"/>
              </w:rPr>
            </w:pPr>
          </w:p>
        </w:tc>
        <w:tc>
          <w:tcPr>
            <w:tcW w:w="1000" w:type="pct"/>
            <w:vMerge/>
          </w:tcPr>
          <w:p w14:paraId="1E419A5A" w14:textId="77777777" w:rsidR="000A2987" w:rsidRPr="000F5EFE" w:rsidRDefault="000A2987" w:rsidP="00591A56">
            <w:pPr>
              <w:pStyle w:val="aDSPara"/>
              <w:spacing w:before="60" w:after="60"/>
              <w:ind w:left="0"/>
              <w:jc w:val="left"/>
              <w:rPr>
                <w:rFonts w:cs="Arial"/>
                <w:color w:val="000000" w:themeColor="text1"/>
                <w:sz w:val="18"/>
                <w:szCs w:val="18"/>
              </w:rPr>
            </w:pPr>
          </w:p>
        </w:tc>
        <w:tc>
          <w:tcPr>
            <w:tcW w:w="538" w:type="pct"/>
            <w:vMerge/>
          </w:tcPr>
          <w:p w14:paraId="55CB373A" w14:textId="77777777" w:rsidR="000A2987" w:rsidRPr="000F5EFE" w:rsidRDefault="000A2987" w:rsidP="00591A56">
            <w:pPr>
              <w:pStyle w:val="aDSPara"/>
              <w:spacing w:before="60" w:after="60"/>
              <w:ind w:left="0"/>
              <w:jc w:val="center"/>
              <w:rPr>
                <w:rFonts w:cs="Arial"/>
                <w:color w:val="000000" w:themeColor="text1"/>
                <w:sz w:val="18"/>
                <w:szCs w:val="18"/>
              </w:rPr>
            </w:pPr>
          </w:p>
        </w:tc>
        <w:tc>
          <w:tcPr>
            <w:tcW w:w="433" w:type="pct"/>
          </w:tcPr>
          <w:p w14:paraId="70127F50" w14:textId="1F0021A7" w:rsidR="000A2987" w:rsidRPr="000F5EFE" w:rsidRDefault="00606F19" w:rsidP="00591A56">
            <w:pPr>
              <w:pStyle w:val="aDSPara"/>
              <w:spacing w:before="60" w:after="60"/>
              <w:ind w:left="0"/>
              <w:jc w:val="center"/>
              <w:rPr>
                <w:rFonts w:cs="Arial"/>
                <w:color w:val="000000" w:themeColor="text1"/>
                <w:sz w:val="18"/>
                <w:szCs w:val="18"/>
              </w:rPr>
            </w:pPr>
            <w:r>
              <w:rPr>
                <w:rFonts w:cs="Arial"/>
                <w:color w:val="000000" w:themeColor="text1"/>
                <w:sz w:val="18"/>
                <w:szCs w:val="18"/>
              </w:rPr>
              <w:t>6</w:t>
            </w:r>
          </w:p>
        </w:tc>
        <w:tc>
          <w:tcPr>
            <w:tcW w:w="2655" w:type="pct"/>
          </w:tcPr>
          <w:p w14:paraId="10AB18B3" w14:textId="77777777" w:rsidR="000A2987" w:rsidRPr="000F5EFE" w:rsidRDefault="000A2987" w:rsidP="00591A56">
            <w:pPr>
              <w:pStyle w:val="aDSPara"/>
              <w:spacing w:before="60" w:after="60"/>
              <w:ind w:left="0"/>
              <w:jc w:val="left"/>
              <w:rPr>
                <w:rFonts w:cs="Arial"/>
                <w:color w:val="000000" w:themeColor="text1"/>
                <w:sz w:val="18"/>
                <w:szCs w:val="18"/>
              </w:rPr>
            </w:pPr>
            <w:r w:rsidRPr="000F5EFE">
              <w:rPr>
                <w:rFonts w:cs="Arial"/>
                <w:color w:val="000000" w:themeColor="text1"/>
                <w:sz w:val="18"/>
                <w:szCs w:val="18"/>
              </w:rPr>
              <w:t xml:space="preserve">&gt;R2 Million but &lt; R3 Million </w:t>
            </w:r>
          </w:p>
        </w:tc>
      </w:tr>
      <w:tr w:rsidR="000A2987" w:rsidRPr="000F5EFE" w14:paraId="65E9160F" w14:textId="77777777" w:rsidTr="00EB5082">
        <w:trPr>
          <w:trHeight w:val="180"/>
        </w:trPr>
        <w:tc>
          <w:tcPr>
            <w:tcW w:w="374" w:type="pct"/>
            <w:vMerge/>
          </w:tcPr>
          <w:p w14:paraId="27FD0F0D" w14:textId="77777777" w:rsidR="000A2987" w:rsidRPr="000F5EFE" w:rsidRDefault="000A2987" w:rsidP="00591A56">
            <w:pPr>
              <w:pStyle w:val="aDSPara"/>
              <w:spacing w:before="60" w:after="60"/>
              <w:ind w:left="0"/>
              <w:jc w:val="left"/>
              <w:rPr>
                <w:rFonts w:cs="Arial"/>
                <w:color w:val="000000" w:themeColor="text1"/>
                <w:sz w:val="18"/>
                <w:szCs w:val="18"/>
              </w:rPr>
            </w:pPr>
          </w:p>
        </w:tc>
        <w:tc>
          <w:tcPr>
            <w:tcW w:w="1000" w:type="pct"/>
            <w:vMerge/>
          </w:tcPr>
          <w:p w14:paraId="32372C3B" w14:textId="77777777" w:rsidR="000A2987" w:rsidRPr="000F5EFE" w:rsidRDefault="000A2987" w:rsidP="00591A56">
            <w:pPr>
              <w:pStyle w:val="aDSPara"/>
              <w:spacing w:before="60" w:after="60"/>
              <w:ind w:left="0"/>
              <w:jc w:val="left"/>
              <w:rPr>
                <w:rFonts w:cs="Arial"/>
                <w:color w:val="000000" w:themeColor="text1"/>
                <w:sz w:val="18"/>
                <w:szCs w:val="18"/>
              </w:rPr>
            </w:pPr>
          </w:p>
        </w:tc>
        <w:tc>
          <w:tcPr>
            <w:tcW w:w="538" w:type="pct"/>
            <w:vMerge/>
          </w:tcPr>
          <w:p w14:paraId="09A8AA5B" w14:textId="77777777" w:rsidR="000A2987" w:rsidRPr="000F5EFE" w:rsidRDefault="000A2987" w:rsidP="00591A56">
            <w:pPr>
              <w:pStyle w:val="aDSPara"/>
              <w:spacing w:before="60" w:after="60"/>
              <w:ind w:left="0"/>
              <w:jc w:val="center"/>
              <w:rPr>
                <w:rFonts w:cs="Arial"/>
                <w:color w:val="000000" w:themeColor="text1"/>
                <w:sz w:val="18"/>
                <w:szCs w:val="18"/>
              </w:rPr>
            </w:pPr>
          </w:p>
        </w:tc>
        <w:tc>
          <w:tcPr>
            <w:tcW w:w="433" w:type="pct"/>
          </w:tcPr>
          <w:p w14:paraId="269C0D26" w14:textId="6D4DE589" w:rsidR="000A2987" w:rsidRPr="000F5EFE" w:rsidRDefault="00606F19" w:rsidP="00591A56">
            <w:pPr>
              <w:pStyle w:val="aDSPara"/>
              <w:spacing w:before="60" w:after="60"/>
              <w:ind w:left="0"/>
              <w:jc w:val="center"/>
              <w:rPr>
                <w:rFonts w:cs="Arial"/>
                <w:color w:val="000000" w:themeColor="text1"/>
                <w:sz w:val="18"/>
                <w:szCs w:val="18"/>
              </w:rPr>
            </w:pPr>
            <w:r>
              <w:rPr>
                <w:rFonts w:cs="Arial"/>
                <w:color w:val="000000" w:themeColor="text1"/>
                <w:sz w:val="18"/>
                <w:szCs w:val="18"/>
              </w:rPr>
              <w:t>8</w:t>
            </w:r>
          </w:p>
        </w:tc>
        <w:tc>
          <w:tcPr>
            <w:tcW w:w="2655" w:type="pct"/>
          </w:tcPr>
          <w:p w14:paraId="4BB12519" w14:textId="77777777" w:rsidR="000A2987" w:rsidRPr="000F5EFE" w:rsidRDefault="000A2987" w:rsidP="00591A56">
            <w:pPr>
              <w:pStyle w:val="aDSPara"/>
              <w:spacing w:before="60" w:after="60"/>
              <w:ind w:left="0"/>
              <w:jc w:val="left"/>
              <w:rPr>
                <w:rFonts w:cs="Arial"/>
                <w:color w:val="000000" w:themeColor="text1"/>
                <w:sz w:val="18"/>
                <w:szCs w:val="18"/>
              </w:rPr>
            </w:pPr>
            <w:r w:rsidRPr="000F5EFE">
              <w:rPr>
                <w:rFonts w:cs="Arial"/>
                <w:color w:val="000000" w:themeColor="text1"/>
                <w:sz w:val="18"/>
                <w:szCs w:val="18"/>
              </w:rPr>
              <w:t>&gt;R3 Million but &lt; R4 Million</w:t>
            </w:r>
          </w:p>
        </w:tc>
      </w:tr>
      <w:tr w:rsidR="000A2987" w:rsidRPr="000F5EFE" w14:paraId="12625951" w14:textId="77777777" w:rsidTr="00EB5082">
        <w:trPr>
          <w:trHeight w:val="180"/>
        </w:trPr>
        <w:tc>
          <w:tcPr>
            <w:tcW w:w="374" w:type="pct"/>
            <w:vMerge/>
          </w:tcPr>
          <w:p w14:paraId="3A001F75" w14:textId="77777777" w:rsidR="000A2987" w:rsidRPr="000F5EFE" w:rsidRDefault="000A2987" w:rsidP="00591A56">
            <w:pPr>
              <w:pStyle w:val="aDSPara"/>
              <w:spacing w:before="60" w:after="60"/>
              <w:ind w:left="0"/>
              <w:jc w:val="left"/>
              <w:rPr>
                <w:rFonts w:cs="Arial"/>
                <w:color w:val="000000" w:themeColor="text1"/>
                <w:sz w:val="18"/>
                <w:szCs w:val="18"/>
              </w:rPr>
            </w:pPr>
          </w:p>
        </w:tc>
        <w:tc>
          <w:tcPr>
            <w:tcW w:w="1000" w:type="pct"/>
            <w:vMerge/>
          </w:tcPr>
          <w:p w14:paraId="31C39576" w14:textId="77777777" w:rsidR="000A2987" w:rsidRPr="000F5EFE" w:rsidRDefault="000A2987" w:rsidP="00591A56">
            <w:pPr>
              <w:pStyle w:val="aDSPara"/>
              <w:spacing w:before="60" w:after="60"/>
              <w:ind w:left="0"/>
              <w:jc w:val="left"/>
              <w:rPr>
                <w:rFonts w:cs="Arial"/>
                <w:color w:val="000000" w:themeColor="text1"/>
                <w:sz w:val="18"/>
                <w:szCs w:val="18"/>
              </w:rPr>
            </w:pPr>
          </w:p>
        </w:tc>
        <w:tc>
          <w:tcPr>
            <w:tcW w:w="538" w:type="pct"/>
            <w:vMerge/>
          </w:tcPr>
          <w:p w14:paraId="37498E0F" w14:textId="77777777" w:rsidR="000A2987" w:rsidRPr="000F5EFE" w:rsidRDefault="000A2987" w:rsidP="00591A56">
            <w:pPr>
              <w:pStyle w:val="aDSPara"/>
              <w:spacing w:before="60" w:after="60"/>
              <w:ind w:left="0"/>
              <w:jc w:val="center"/>
              <w:rPr>
                <w:rFonts w:cs="Arial"/>
                <w:color w:val="000000" w:themeColor="text1"/>
                <w:sz w:val="18"/>
                <w:szCs w:val="18"/>
              </w:rPr>
            </w:pPr>
          </w:p>
        </w:tc>
        <w:tc>
          <w:tcPr>
            <w:tcW w:w="433" w:type="pct"/>
          </w:tcPr>
          <w:p w14:paraId="1BDBA626" w14:textId="7377C79C" w:rsidR="000A2987" w:rsidRPr="000F5EFE" w:rsidRDefault="00606F19" w:rsidP="00591A56">
            <w:pPr>
              <w:pStyle w:val="aDSPara"/>
              <w:spacing w:before="60" w:after="60"/>
              <w:ind w:left="0"/>
              <w:jc w:val="center"/>
              <w:rPr>
                <w:rFonts w:cs="Arial"/>
                <w:color w:val="000000" w:themeColor="text1"/>
                <w:sz w:val="18"/>
                <w:szCs w:val="18"/>
              </w:rPr>
            </w:pPr>
            <w:r>
              <w:rPr>
                <w:rFonts w:cs="Arial"/>
                <w:color w:val="000000" w:themeColor="text1"/>
                <w:sz w:val="18"/>
                <w:szCs w:val="18"/>
              </w:rPr>
              <w:t>10</w:t>
            </w:r>
          </w:p>
        </w:tc>
        <w:tc>
          <w:tcPr>
            <w:tcW w:w="2655" w:type="pct"/>
          </w:tcPr>
          <w:p w14:paraId="5481CB55" w14:textId="77777777" w:rsidR="000A2987" w:rsidRPr="000F5EFE" w:rsidRDefault="000A2987" w:rsidP="00591A56">
            <w:pPr>
              <w:pStyle w:val="aDSPara"/>
              <w:spacing w:before="60" w:after="60"/>
              <w:ind w:left="0"/>
              <w:jc w:val="left"/>
              <w:rPr>
                <w:rFonts w:cs="Arial"/>
                <w:color w:val="000000" w:themeColor="text1"/>
                <w:sz w:val="18"/>
                <w:szCs w:val="18"/>
              </w:rPr>
            </w:pPr>
            <w:r w:rsidRPr="000F5EFE">
              <w:rPr>
                <w:rFonts w:cs="Arial"/>
                <w:color w:val="000000" w:themeColor="text1"/>
                <w:sz w:val="18"/>
                <w:szCs w:val="18"/>
              </w:rPr>
              <w:t>&gt;R5 Million</w:t>
            </w:r>
          </w:p>
        </w:tc>
      </w:tr>
      <w:tr w:rsidR="000A2987" w:rsidRPr="000F5EFE" w14:paraId="198EEEA2" w14:textId="77777777" w:rsidTr="00EB5082">
        <w:trPr>
          <w:trHeight w:val="180"/>
        </w:trPr>
        <w:tc>
          <w:tcPr>
            <w:tcW w:w="374" w:type="pct"/>
            <w:vMerge w:val="restart"/>
          </w:tcPr>
          <w:p w14:paraId="62093F4E" w14:textId="77777777" w:rsidR="000A2987" w:rsidRPr="000F5EFE" w:rsidRDefault="000A2987" w:rsidP="00591A56">
            <w:pPr>
              <w:pStyle w:val="aDSPara"/>
              <w:spacing w:before="60" w:after="60"/>
              <w:ind w:left="0"/>
              <w:jc w:val="left"/>
              <w:rPr>
                <w:color w:val="000000" w:themeColor="text1"/>
                <w:sz w:val="20"/>
                <w:szCs w:val="20"/>
              </w:rPr>
            </w:pPr>
            <w:r w:rsidRPr="000F5EFE">
              <w:rPr>
                <w:color w:val="000000" w:themeColor="text1"/>
                <w:sz w:val="20"/>
                <w:szCs w:val="20"/>
              </w:rPr>
              <w:t>3</w:t>
            </w:r>
          </w:p>
        </w:tc>
        <w:tc>
          <w:tcPr>
            <w:tcW w:w="1000" w:type="pct"/>
            <w:vMerge w:val="restart"/>
          </w:tcPr>
          <w:p w14:paraId="17CE8D19" w14:textId="77777777" w:rsidR="000A2987" w:rsidRPr="000F5EFE" w:rsidRDefault="000A2987" w:rsidP="00591A56">
            <w:pPr>
              <w:pStyle w:val="aDSPara"/>
              <w:spacing w:before="60" w:after="60"/>
              <w:ind w:left="0"/>
              <w:jc w:val="left"/>
              <w:rPr>
                <w:color w:val="000000" w:themeColor="text1"/>
                <w:sz w:val="20"/>
                <w:szCs w:val="20"/>
              </w:rPr>
            </w:pPr>
            <w:r w:rsidRPr="000F5EFE">
              <w:rPr>
                <w:rFonts w:cs="Arial"/>
                <w:color w:val="000000" w:themeColor="text1"/>
                <w:sz w:val="18"/>
                <w:szCs w:val="18"/>
              </w:rPr>
              <w:t>Delivery schedule</w:t>
            </w:r>
            <w:r w:rsidR="002B71AB">
              <w:rPr>
                <w:rFonts w:cs="Arial"/>
                <w:color w:val="000000" w:themeColor="text1"/>
                <w:sz w:val="18"/>
                <w:szCs w:val="18"/>
              </w:rPr>
              <w:t xml:space="preserve"> and confirmation of agreement with source mine/processing plant</w:t>
            </w:r>
          </w:p>
        </w:tc>
        <w:tc>
          <w:tcPr>
            <w:tcW w:w="538" w:type="pct"/>
            <w:vMerge w:val="restart"/>
            <w:vAlign w:val="center"/>
          </w:tcPr>
          <w:p w14:paraId="6A07B1ED" w14:textId="77777777" w:rsidR="000A2987" w:rsidRPr="000F5EFE" w:rsidRDefault="000A2987" w:rsidP="00591A56">
            <w:pPr>
              <w:pStyle w:val="aDSPara"/>
              <w:spacing w:before="60" w:after="60"/>
              <w:ind w:left="0"/>
              <w:jc w:val="center"/>
              <w:rPr>
                <w:color w:val="000000" w:themeColor="text1"/>
                <w:sz w:val="20"/>
                <w:szCs w:val="20"/>
              </w:rPr>
            </w:pPr>
            <w:r w:rsidRPr="000F5EFE">
              <w:rPr>
                <w:color w:val="000000" w:themeColor="text1"/>
                <w:sz w:val="20"/>
                <w:szCs w:val="20"/>
              </w:rPr>
              <w:t>15</w:t>
            </w:r>
          </w:p>
        </w:tc>
        <w:tc>
          <w:tcPr>
            <w:tcW w:w="433" w:type="pct"/>
            <w:vAlign w:val="center"/>
          </w:tcPr>
          <w:p w14:paraId="4441B3A1" w14:textId="77777777" w:rsidR="000A2987" w:rsidRPr="000F5EFE" w:rsidRDefault="000A2987" w:rsidP="00591A56">
            <w:pPr>
              <w:pStyle w:val="aDSPara"/>
              <w:spacing w:before="60" w:after="60"/>
              <w:ind w:left="0"/>
              <w:jc w:val="center"/>
              <w:rPr>
                <w:color w:val="000000" w:themeColor="text1"/>
                <w:sz w:val="20"/>
                <w:szCs w:val="20"/>
              </w:rPr>
            </w:pPr>
            <w:r w:rsidRPr="000F5EFE">
              <w:rPr>
                <w:color w:val="000000" w:themeColor="text1"/>
                <w:sz w:val="20"/>
                <w:szCs w:val="20"/>
              </w:rPr>
              <w:t>5</w:t>
            </w:r>
          </w:p>
        </w:tc>
        <w:tc>
          <w:tcPr>
            <w:tcW w:w="2655" w:type="pct"/>
          </w:tcPr>
          <w:p w14:paraId="2794FBDC" w14:textId="77777777" w:rsidR="000A2987" w:rsidRPr="000F5EFE" w:rsidRDefault="000A2987" w:rsidP="00591A56">
            <w:pPr>
              <w:pStyle w:val="aDSPara"/>
              <w:spacing w:before="60" w:after="60"/>
              <w:ind w:left="0"/>
              <w:jc w:val="left"/>
              <w:rPr>
                <w:color w:val="000000" w:themeColor="text1"/>
                <w:sz w:val="20"/>
                <w:szCs w:val="20"/>
              </w:rPr>
            </w:pPr>
            <w:r w:rsidRPr="000F5EFE">
              <w:rPr>
                <w:rFonts w:cs="Arial"/>
                <w:bCs/>
                <w:color w:val="000000" w:themeColor="text1"/>
                <w:sz w:val="18"/>
                <w:szCs w:val="18"/>
              </w:rPr>
              <w:t>Provide a document with Organizational Structure and key personnel. Also provide a list of relevant equipment and methods/procedures for delivery of the coal.</w:t>
            </w:r>
          </w:p>
        </w:tc>
      </w:tr>
      <w:tr w:rsidR="000A2987" w:rsidRPr="000F5EFE" w14:paraId="3B95F303" w14:textId="77777777" w:rsidTr="00EB5082">
        <w:trPr>
          <w:trHeight w:val="180"/>
        </w:trPr>
        <w:tc>
          <w:tcPr>
            <w:tcW w:w="374" w:type="pct"/>
            <w:vMerge/>
          </w:tcPr>
          <w:p w14:paraId="1B6569D0" w14:textId="77777777" w:rsidR="000A2987" w:rsidRPr="000F5EFE" w:rsidRDefault="000A2987" w:rsidP="00591A56">
            <w:pPr>
              <w:pStyle w:val="aDSPara"/>
              <w:spacing w:before="60" w:after="60"/>
              <w:ind w:left="0"/>
              <w:jc w:val="left"/>
              <w:rPr>
                <w:color w:val="000000" w:themeColor="text1"/>
                <w:sz w:val="20"/>
                <w:szCs w:val="20"/>
              </w:rPr>
            </w:pPr>
          </w:p>
        </w:tc>
        <w:tc>
          <w:tcPr>
            <w:tcW w:w="1000" w:type="pct"/>
            <w:vMerge/>
          </w:tcPr>
          <w:p w14:paraId="1C990371" w14:textId="77777777" w:rsidR="000A2987" w:rsidRPr="000F5EFE" w:rsidRDefault="000A2987" w:rsidP="00591A56">
            <w:pPr>
              <w:pStyle w:val="aDSPara"/>
              <w:spacing w:before="60" w:after="60"/>
              <w:ind w:left="0"/>
              <w:jc w:val="left"/>
              <w:rPr>
                <w:color w:val="000000" w:themeColor="text1"/>
                <w:sz w:val="20"/>
                <w:szCs w:val="20"/>
              </w:rPr>
            </w:pPr>
          </w:p>
        </w:tc>
        <w:tc>
          <w:tcPr>
            <w:tcW w:w="538" w:type="pct"/>
            <w:vMerge/>
            <w:vAlign w:val="center"/>
          </w:tcPr>
          <w:p w14:paraId="3525C657" w14:textId="77777777" w:rsidR="000A2987" w:rsidRPr="000F5EFE" w:rsidRDefault="000A2987" w:rsidP="00591A56">
            <w:pPr>
              <w:pStyle w:val="aDSPara"/>
              <w:spacing w:before="60" w:after="60"/>
              <w:ind w:left="0"/>
              <w:jc w:val="center"/>
              <w:rPr>
                <w:color w:val="000000" w:themeColor="text1"/>
                <w:sz w:val="20"/>
                <w:szCs w:val="20"/>
              </w:rPr>
            </w:pPr>
          </w:p>
        </w:tc>
        <w:tc>
          <w:tcPr>
            <w:tcW w:w="433" w:type="pct"/>
            <w:vAlign w:val="center"/>
          </w:tcPr>
          <w:p w14:paraId="0536CB9B" w14:textId="77777777" w:rsidR="000A2987" w:rsidRPr="000F5EFE" w:rsidRDefault="000A2987" w:rsidP="00591A56">
            <w:pPr>
              <w:pStyle w:val="aDSPara"/>
              <w:spacing w:before="60" w:after="60"/>
              <w:ind w:left="0"/>
              <w:jc w:val="center"/>
              <w:rPr>
                <w:color w:val="000000" w:themeColor="text1"/>
                <w:sz w:val="20"/>
                <w:szCs w:val="20"/>
              </w:rPr>
            </w:pPr>
            <w:r w:rsidRPr="000F5EFE">
              <w:rPr>
                <w:color w:val="000000" w:themeColor="text1"/>
                <w:sz w:val="20"/>
                <w:szCs w:val="20"/>
              </w:rPr>
              <w:t>5</w:t>
            </w:r>
          </w:p>
          <w:p w14:paraId="222D9E2D" w14:textId="77777777" w:rsidR="000A2987" w:rsidRPr="000F5EFE" w:rsidRDefault="000A2987" w:rsidP="00591A56">
            <w:pPr>
              <w:pStyle w:val="aDSPara"/>
              <w:spacing w:before="60" w:after="60"/>
              <w:ind w:left="0"/>
              <w:jc w:val="center"/>
              <w:rPr>
                <w:color w:val="000000" w:themeColor="text1"/>
                <w:sz w:val="20"/>
                <w:szCs w:val="20"/>
              </w:rPr>
            </w:pPr>
          </w:p>
        </w:tc>
        <w:tc>
          <w:tcPr>
            <w:tcW w:w="2655" w:type="pct"/>
          </w:tcPr>
          <w:p w14:paraId="4B19E5E9" w14:textId="77777777" w:rsidR="000A2987" w:rsidRPr="000F5EFE" w:rsidRDefault="000A2987" w:rsidP="00591A56">
            <w:pPr>
              <w:pStyle w:val="aDSPara"/>
              <w:spacing w:before="60" w:after="60"/>
              <w:ind w:left="0"/>
              <w:jc w:val="left"/>
              <w:rPr>
                <w:color w:val="000000" w:themeColor="text1"/>
                <w:sz w:val="20"/>
                <w:szCs w:val="20"/>
              </w:rPr>
            </w:pPr>
            <w:r w:rsidRPr="000F5EFE">
              <w:rPr>
                <w:rFonts w:cs="Arial"/>
                <w:bCs/>
                <w:color w:val="000000" w:themeColor="text1"/>
                <w:sz w:val="18"/>
                <w:szCs w:val="18"/>
              </w:rPr>
              <w:t xml:space="preserve">Provide proof or acknowledgement letter  from the Producer and/or Mine </w:t>
            </w:r>
            <w:r w:rsidR="002B71AB">
              <w:rPr>
                <w:rFonts w:cs="Arial"/>
                <w:bCs/>
                <w:color w:val="000000" w:themeColor="text1"/>
                <w:sz w:val="18"/>
                <w:szCs w:val="18"/>
              </w:rPr>
              <w:t xml:space="preserve">and/or processing plant </w:t>
            </w:r>
            <w:r w:rsidRPr="000F5EFE">
              <w:rPr>
                <w:rFonts w:cs="Arial"/>
                <w:bCs/>
                <w:color w:val="000000" w:themeColor="text1"/>
                <w:sz w:val="18"/>
                <w:szCs w:val="18"/>
              </w:rPr>
              <w:t>that indicates assurance of supply.</w:t>
            </w:r>
          </w:p>
        </w:tc>
      </w:tr>
      <w:tr w:rsidR="000A2987" w:rsidRPr="000F5EFE" w14:paraId="0F1CF8B2" w14:textId="77777777" w:rsidTr="00EB5082">
        <w:trPr>
          <w:trHeight w:val="180"/>
        </w:trPr>
        <w:tc>
          <w:tcPr>
            <w:tcW w:w="374" w:type="pct"/>
            <w:vMerge/>
          </w:tcPr>
          <w:p w14:paraId="02988BFE" w14:textId="77777777" w:rsidR="000A2987" w:rsidRPr="000F5EFE" w:rsidRDefault="000A2987" w:rsidP="00591A56">
            <w:pPr>
              <w:pStyle w:val="aDSPara"/>
              <w:spacing w:before="60" w:after="60"/>
              <w:ind w:left="0"/>
              <w:jc w:val="left"/>
              <w:rPr>
                <w:color w:val="000000" w:themeColor="text1"/>
                <w:sz w:val="20"/>
                <w:szCs w:val="20"/>
              </w:rPr>
            </w:pPr>
          </w:p>
        </w:tc>
        <w:tc>
          <w:tcPr>
            <w:tcW w:w="1000" w:type="pct"/>
            <w:vMerge/>
          </w:tcPr>
          <w:p w14:paraId="313F30D8" w14:textId="77777777" w:rsidR="000A2987" w:rsidRPr="000F5EFE" w:rsidRDefault="000A2987" w:rsidP="00591A56">
            <w:pPr>
              <w:pStyle w:val="aDSPara"/>
              <w:spacing w:before="60" w:after="60"/>
              <w:ind w:left="0"/>
              <w:jc w:val="left"/>
              <w:rPr>
                <w:color w:val="000000" w:themeColor="text1"/>
                <w:sz w:val="20"/>
                <w:szCs w:val="20"/>
              </w:rPr>
            </w:pPr>
          </w:p>
        </w:tc>
        <w:tc>
          <w:tcPr>
            <w:tcW w:w="538" w:type="pct"/>
            <w:vMerge/>
            <w:vAlign w:val="center"/>
          </w:tcPr>
          <w:p w14:paraId="60419055" w14:textId="77777777" w:rsidR="000A2987" w:rsidRPr="000F5EFE" w:rsidRDefault="000A2987" w:rsidP="00591A56">
            <w:pPr>
              <w:pStyle w:val="aDSPara"/>
              <w:spacing w:before="60" w:after="60"/>
              <w:ind w:left="0"/>
              <w:jc w:val="center"/>
              <w:rPr>
                <w:color w:val="000000" w:themeColor="text1"/>
                <w:sz w:val="20"/>
                <w:szCs w:val="20"/>
              </w:rPr>
            </w:pPr>
          </w:p>
        </w:tc>
        <w:tc>
          <w:tcPr>
            <w:tcW w:w="433" w:type="pct"/>
            <w:vAlign w:val="center"/>
          </w:tcPr>
          <w:p w14:paraId="4E4AF0C2" w14:textId="77777777" w:rsidR="000A2987" w:rsidRPr="000F5EFE" w:rsidRDefault="000A2987" w:rsidP="00591A56">
            <w:pPr>
              <w:pStyle w:val="aDSPara"/>
              <w:spacing w:before="60" w:after="60"/>
              <w:ind w:left="0"/>
              <w:jc w:val="center"/>
              <w:rPr>
                <w:color w:val="000000" w:themeColor="text1"/>
                <w:sz w:val="20"/>
                <w:szCs w:val="20"/>
              </w:rPr>
            </w:pPr>
            <w:r w:rsidRPr="000F5EFE">
              <w:rPr>
                <w:color w:val="000000" w:themeColor="text1"/>
                <w:sz w:val="20"/>
                <w:szCs w:val="20"/>
              </w:rPr>
              <w:t>5</w:t>
            </w:r>
          </w:p>
        </w:tc>
        <w:tc>
          <w:tcPr>
            <w:tcW w:w="2655" w:type="pct"/>
          </w:tcPr>
          <w:p w14:paraId="2C032130" w14:textId="77777777" w:rsidR="000A2987" w:rsidRPr="000F5EFE" w:rsidRDefault="000A2987" w:rsidP="00591A56">
            <w:pPr>
              <w:pStyle w:val="aDSPara"/>
              <w:spacing w:before="60" w:after="60"/>
              <w:ind w:left="0"/>
              <w:jc w:val="left"/>
              <w:rPr>
                <w:color w:val="000000" w:themeColor="text1"/>
                <w:sz w:val="20"/>
                <w:szCs w:val="20"/>
              </w:rPr>
            </w:pPr>
            <w:r w:rsidRPr="000F5EFE">
              <w:rPr>
                <w:rFonts w:cs="Arial"/>
                <w:bCs/>
                <w:color w:val="000000" w:themeColor="text1"/>
                <w:sz w:val="18"/>
                <w:szCs w:val="18"/>
              </w:rPr>
              <w:t>Provide a delivery schedule per year for three years.</w:t>
            </w:r>
          </w:p>
        </w:tc>
      </w:tr>
      <w:tr w:rsidR="000A2987" w:rsidRPr="000F5EFE" w14:paraId="1C69670E" w14:textId="77777777" w:rsidTr="00EB5082">
        <w:trPr>
          <w:trHeight w:val="180"/>
        </w:trPr>
        <w:tc>
          <w:tcPr>
            <w:tcW w:w="374" w:type="pct"/>
            <w:vMerge w:val="restart"/>
          </w:tcPr>
          <w:p w14:paraId="657D785D" w14:textId="77777777" w:rsidR="000A2987" w:rsidRPr="000F5EFE" w:rsidRDefault="000A2987" w:rsidP="00591A56">
            <w:pPr>
              <w:pStyle w:val="aDSPara"/>
              <w:spacing w:before="60" w:after="60"/>
              <w:ind w:left="0"/>
              <w:jc w:val="left"/>
              <w:rPr>
                <w:color w:val="000000" w:themeColor="text1"/>
                <w:sz w:val="20"/>
                <w:szCs w:val="20"/>
              </w:rPr>
            </w:pPr>
            <w:r w:rsidRPr="000F5EFE">
              <w:rPr>
                <w:color w:val="000000" w:themeColor="text1"/>
                <w:sz w:val="20"/>
                <w:szCs w:val="20"/>
              </w:rPr>
              <w:t>4</w:t>
            </w:r>
          </w:p>
        </w:tc>
        <w:tc>
          <w:tcPr>
            <w:tcW w:w="1000" w:type="pct"/>
            <w:vMerge w:val="restart"/>
          </w:tcPr>
          <w:p w14:paraId="197F6E5D" w14:textId="77777777" w:rsidR="000A2987" w:rsidRPr="000F5EFE" w:rsidRDefault="000A2987" w:rsidP="00591A56">
            <w:pPr>
              <w:pStyle w:val="aDSPara"/>
              <w:spacing w:before="60" w:after="60"/>
              <w:ind w:left="0"/>
              <w:jc w:val="left"/>
              <w:rPr>
                <w:color w:val="000000" w:themeColor="text1"/>
                <w:sz w:val="20"/>
                <w:szCs w:val="20"/>
              </w:rPr>
            </w:pPr>
            <w:r w:rsidRPr="000F5EFE">
              <w:rPr>
                <w:rFonts w:cs="Arial"/>
                <w:color w:val="000000" w:themeColor="text1"/>
                <w:sz w:val="18"/>
                <w:szCs w:val="18"/>
              </w:rPr>
              <w:t>Track Record</w:t>
            </w:r>
          </w:p>
        </w:tc>
        <w:tc>
          <w:tcPr>
            <w:tcW w:w="538" w:type="pct"/>
            <w:vMerge w:val="restart"/>
            <w:vAlign w:val="center"/>
          </w:tcPr>
          <w:p w14:paraId="48B9B2D0" w14:textId="77777777" w:rsidR="000A2987" w:rsidRPr="000F5EFE" w:rsidRDefault="000A2987" w:rsidP="00591A56">
            <w:pPr>
              <w:pStyle w:val="aDSPara"/>
              <w:spacing w:before="60" w:after="60"/>
              <w:ind w:left="0"/>
              <w:jc w:val="center"/>
              <w:rPr>
                <w:color w:val="000000" w:themeColor="text1"/>
                <w:sz w:val="20"/>
                <w:szCs w:val="20"/>
              </w:rPr>
            </w:pPr>
            <w:r>
              <w:rPr>
                <w:color w:val="000000" w:themeColor="text1"/>
                <w:sz w:val="20"/>
                <w:szCs w:val="20"/>
              </w:rPr>
              <w:t>50</w:t>
            </w:r>
          </w:p>
        </w:tc>
        <w:tc>
          <w:tcPr>
            <w:tcW w:w="433" w:type="pct"/>
            <w:vAlign w:val="center"/>
          </w:tcPr>
          <w:p w14:paraId="170DA4EA" w14:textId="77777777" w:rsidR="000A2987" w:rsidRPr="000F5EFE" w:rsidRDefault="000A2987" w:rsidP="00591A56">
            <w:pPr>
              <w:pStyle w:val="aDSPara"/>
              <w:spacing w:before="60" w:after="60"/>
              <w:ind w:left="0"/>
              <w:jc w:val="center"/>
              <w:rPr>
                <w:color w:val="000000" w:themeColor="text1"/>
                <w:sz w:val="20"/>
                <w:szCs w:val="20"/>
              </w:rPr>
            </w:pPr>
            <w:r>
              <w:rPr>
                <w:color w:val="000000" w:themeColor="text1"/>
                <w:sz w:val="20"/>
                <w:szCs w:val="20"/>
              </w:rPr>
              <w:t>50</w:t>
            </w:r>
          </w:p>
        </w:tc>
        <w:tc>
          <w:tcPr>
            <w:tcW w:w="2655" w:type="pct"/>
          </w:tcPr>
          <w:p w14:paraId="017C6633" w14:textId="77777777" w:rsidR="000A2987" w:rsidRPr="000F5EFE" w:rsidRDefault="000A2987" w:rsidP="002B71AB">
            <w:pPr>
              <w:pStyle w:val="aDSPara"/>
              <w:spacing w:before="60" w:after="60"/>
              <w:ind w:left="0"/>
              <w:jc w:val="left"/>
              <w:rPr>
                <w:rFonts w:cs="Arial"/>
                <w:bCs/>
                <w:color w:val="000000" w:themeColor="text1"/>
                <w:sz w:val="18"/>
                <w:szCs w:val="18"/>
              </w:rPr>
            </w:pPr>
            <w:r>
              <w:rPr>
                <w:rFonts w:cs="Arial"/>
                <w:bCs/>
                <w:color w:val="000000" w:themeColor="text1"/>
                <w:sz w:val="18"/>
                <w:szCs w:val="18"/>
              </w:rPr>
              <w:t xml:space="preserve">Provide proof three(3) </w:t>
            </w:r>
            <w:r w:rsidRPr="000F5EFE">
              <w:rPr>
                <w:rFonts w:cs="Arial"/>
                <w:bCs/>
                <w:color w:val="000000" w:themeColor="text1"/>
                <w:sz w:val="18"/>
                <w:szCs w:val="18"/>
              </w:rPr>
              <w:t>relevant reference</w:t>
            </w:r>
            <w:r w:rsidR="002B71AB">
              <w:rPr>
                <w:rFonts w:cs="Arial"/>
                <w:bCs/>
                <w:color w:val="000000" w:themeColor="text1"/>
                <w:sz w:val="18"/>
                <w:szCs w:val="18"/>
              </w:rPr>
              <w:t>s</w:t>
            </w:r>
            <w:r w:rsidRPr="000F5EFE">
              <w:rPr>
                <w:rFonts w:cs="Arial"/>
                <w:bCs/>
                <w:color w:val="000000" w:themeColor="text1"/>
                <w:sz w:val="18"/>
                <w:szCs w:val="18"/>
              </w:rPr>
              <w:t xml:space="preserve"> with contact details of the clients </w:t>
            </w:r>
            <w:r w:rsidR="002B71AB">
              <w:rPr>
                <w:rFonts w:cs="Arial"/>
                <w:bCs/>
                <w:color w:val="000000" w:themeColor="text1"/>
                <w:sz w:val="18"/>
                <w:szCs w:val="18"/>
              </w:rPr>
              <w:t xml:space="preserve">in accordance with POPIA </w:t>
            </w:r>
            <w:r w:rsidRPr="000F5EFE">
              <w:rPr>
                <w:rFonts w:cs="Arial"/>
                <w:bCs/>
                <w:color w:val="000000" w:themeColor="text1"/>
                <w:sz w:val="18"/>
                <w:szCs w:val="18"/>
              </w:rPr>
              <w:t>(name of client, telephone number and/or email address) and Value of contract</w:t>
            </w:r>
            <w:r w:rsidR="00444306">
              <w:rPr>
                <w:rFonts w:cs="Arial"/>
                <w:bCs/>
                <w:color w:val="000000" w:themeColor="text1"/>
                <w:sz w:val="18"/>
                <w:szCs w:val="18"/>
              </w:rPr>
              <w:t xml:space="preserve"> (within the past 3 years)</w:t>
            </w:r>
          </w:p>
        </w:tc>
      </w:tr>
      <w:tr w:rsidR="002B71AB" w:rsidRPr="000F5EFE" w14:paraId="141773A6" w14:textId="77777777" w:rsidTr="00EB5082">
        <w:trPr>
          <w:trHeight w:val="180"/>
        </w:trPr>
        <w:tc>
          <w:tcPr>
            <w:tcW w:w="374" w:type="pct"/>
            <w:vMerge/>
          </w:tcPr>
          <w:p w14:paraId="12A3443B" w14:textId="77777777" w:rsidR="002B71AB" w:rsidRPr="000F5EFE" w:rsidRDefault="002B71AB" w:rsidP="00591A56">
            <w:pPr>
              <w:pStyle w:val="aDSPara"/>
              <w:spacing w:before="60" w:after="60"/>
              <w:ind w:left="0"/>
              <w:jc w:val="left"/>
              <w:rPr>
                <w:color w:val="000000" w:themeColor="text1"/>
                <w:sz w:val="20"/>
                <w:szCs w:val="20"/>
              </w:rPr>
            </w:pPr>
          </w:p>
        </w:tc>
        <w:tc>
          <w:tcPr>
            <w:tcW w:w="1000" w:type="pct"/>
            <w:vMerge/>
          </w:tcPr>
          <w:p w14:paraId="1C7D36A2" w14:textId="77777777" w:rsidR="002B71AB" w:rsidRPr="000F5EFE" w:rsidRDefault="002B71AB" w:rsidP="00591A56">
            <w:pPr>
              <w:pStyle w:val="aDSPara"/>
              <w:spacing w:before="60" w:after="60"/>
              <w:ind w:left="0"/>
              <w:jc w:val="left"/>
              <w:rPr>
                <w:rFonts w:cs="Arial"/>
                <w:color w:val="000000" w:themeColor="text1"/>
                <w:sz w:val="18"/>
                <w:szCs w:val="18"/>
              </w:rPr>
            </w:pPr>
          </w:p>
        </w:tc>
        <w:tc>
          <w:tcPr>
            <w:tcW w:w="538" w:type="pct"/>
            <w:vMerge/>
            <w:vAlign w:val="center"/>
          </w:tcPr>
          <w:p w14:paraId="0AA5A09C" w14:textId="77777777" w:rsidR="002B71AB" w:rsidRDefault="002B71AB" w:rsidP="00591A56">
            <w:pPr>
              <w:pStyle w:val="aDSPara"/>
              <w:spacing w:before="60" w:after="60"/>
              <w:ind w:left="0"/>
              <w:jc w:val="center"/>
              <w:rPr>
                <w:color w:val="000000" w:themeColor="text1"/>
                <w:sz w:val="20"/>
                <w:szCs w:val="20"/>
              </w:rPr>
            </w:pPr>
          </w:p>
        </w:tc>
        <w:tc>
          <w:tcPr>
            <w:tcW w:w="433" w:type="pct"/>
            <w:vAlign w:val="center"/>
          </w:tcPr>
          <w:p w14:paraId="0F0F41E6" w14:textId="77777777" w:rsidR="002B71AB" w:rsidRDefault="00444306" w:rsidP="00591A56">
            <w:pPr>
              <w:pStyle w:val="aDSPara"/>
              <w:spacing w:before="60" w:after="60"/>
              <w:ind w:left="0"/>
              <w:jc w:val="center"/>
              <w:rPr>
                <w:color w:val="000000" w:themeColor="text1"/>
                <w:sz w:val="20"/>
                <w:szCs w:val="20"/>
              </w:rPr>
            </w:pPr>
            <w:r>
              <w:rPr>
                <w:color w:val="000000" w:themeColor="text1"/>
                <w:sz w:val="20"/>
                <w:szCs w:val="20"/>
              </w:rPr>
              <w:t>30</w:t>
            </w:r>
          </w:p>
        </w:tc>
        <w:tc>
          <w:tcPr>
            <w:tcW w:w="2655" w:type="pct"/>
          </w:tcPr>
          <w:p w14:paraId="575FDFBE" w14:textId="77777777" w:rsidR="002B71AB" w:rsidRDefault="002B71AB" w:rsidP="002B71AB">
            <w:pPr>
              <w:pStyle w:val="aDSPara"/>
              <w:spacing w:before="60" w:after="60"/>
              <w:ind w:left="0"/>
              <w:jc w:val="left"/>
              <w:rPr>
                <w:rFonts w:cs="Arial"/>
                <w:bCs/>
                <w:color w:val="000000" w:themeColor="text1"/>
                <w:sz w:val="18"/>
                <w:szCs w:val="18"/>
              </w:rPr>
            </w:pPr>
            <w:r w:rsidRPr="002B71AB">
              <w:rPr>
                <w:rFonts w:cs="Arial"/>
                <w:bCs/>
                <w:color w:val="000000" w:themeColor="text1"/>
                <w:sz w:val="18"/>
                <w:szCs w:val="18"/>
              </w:rPr>
              <w:t>Provide proof three(</w:t>
            </w:r>
            <w:r>
              <w:rPr>
                <w:rFonts w:cs="Arial"/>
                <w:bCs/>
                <w:color w:val="000000" w:themeColor="text1"/>
                <w:sz w:val="18"/>
                <w:szCs w:val="18"/>
              </w:rPr>
              <w:t xml:space="preserve">2) </w:t>
            </w:r>
            <w:r w:rsidRPr="002B71AB">
              <w:rPr>
                <w:rFonts w:cs="Arial"/>
                <w:bCs/>
                <w:color w:val="000000" w:themeColor="text1"/>
                <w:sz w:val="18"/>
                <w:szCs w:val="18"/>
              </w:rPr>
              <w:t>years relevant reference</w:t>
            </w:r>
            <w:r>
              <w:rPr>
                <w:rFonts w:cs="Arial"/>
                <w:bCs/>
                <w:color w:val="000000" w:themeColor="text1"/>
                <w:sz w:val="18"/>
                <w:szCs w:val="18"/>
              </w:rPr>
              <w:t>s</w:t>
            </w:r>
            <w:r w:rsidRPr="002B71AB">
              <w:rPr>
                <w:rFonts w:cs="Arial"/>
                <w:bCs/>
                <w:color w:val="000000" w:themeColor="text1"/>
                <w:sz w:val="18"/>
                <w:szCs w:val="18"/>
              </w:rPr>
              <w:t xml:space="preserve"> with contact details of the clients in accordance with POPIA (name of client, telephone number and/or email address) and Value of contract</w:t>
            </w:r>
            <w:r w:rsidR="00444306">
              <w:rPr>
                <w:rFonts w:cs="Arial"/>
                <w:bCs/>
                <w:color w:val="000000" w:themeColor="text1"/>
                <w:sz w:val="18"/>
                <w:szCs w:val="18"/>
              </w:rPr>
              <w:t xml:space="preserve"> </w:t>
            </w:r>
            <w:r w:rsidR="00444306" w:rsidRPr="00444306">
              <w:rPr>
                <w:rFonts w:cs="Arial"/>
                <w:bCs/>
                <w:color w:val="000000" w:themeColor="text1"/>
                <w:sz w:val="18"/>
                <w:szCs w:val="18"/>
              </w:rPr>
              <w:t>(within the past 3 years)</w:t>
            </w:r>
          </w:p>
        </w:tc>
      </w:tr>
      <w:tr w:rsidR="002B71AB" w:rsidRPr="000F5EFE" w14:paraId="109A79AE" w14:textId="77777777" w:rsidTr="00EB5082">
        <w:trPr>
          <w:trHeight w:val="180"/>
        </w:trPr>
        <w:tc>
          <w:tcPr>
            <w:tcW w:w="374" w:type="pct"/>
            <w:vMerge/>
          </w:tcPr>
          <w:p w14:paraId="62BC6D96" w14:textId="77777777" w:rsidR="002B71AB" w:rsidRPr="000F5EFE" w:rsidRDefault="002B71AB" w:rsidP="00591A56">
            <w:pPr>
              <w:pStyle w:val="aDSPara"/>
              <w:spacing w:before="60" w:after="60"/>
              <w:ind w:left="0"/>
              <w:jc w:val="left"/>
              <w:rPr>
                <w:color w:val="000000" w:themeColor="text1"/>
                <w:sz w:val="20"/>
                <w:szCs w:val="20"/>
              </w:rPr>
            </w:pPr>
          </w:p>
        </w:tc>
        <w:tc>
          <w:tcPr>
            <w:tcW w:w="1000" w:type="pct"/>
            <w:vMerge/>
          </w:tcPr>
          <w:p w14:paraId="71C4FBDD" w14:textId="77777777" w:rsidR="002B71AB" w:rsidRPr="000F5EFE" w:rsidRDefault="002B71AB" w:rsidP="00591A56">
            <w:pPr>
              <w:pStyle w:val="aDSPara"/>
              <w:spacing w:before="60" w:after="60"/>
              <w:ind w:left="0"/>
              <w:jc w:val="left"/>
              <w:rPr>
                <w:rFonts w:cs="Arial"/>
                <w:color w:val="000000" w:themeColor="text1"/>
                <w:sz w:val="18"/>
                <w:szCs w:val="18"/>
              </w:rPr>
            </w:pPr>
          </w:p>
        </w:tc>
        <w:tc>
          <w:tcPr>
            <w:tcW w:w="538" w:type="pct"/>
            <w:vMerge/>
            <w:vAlign w:val="center"/>
          </w:tcPr>
          <w:p w14:paraId="2CFF4E77" w14:textId="77777777" w:rsidR="002B71AB" w:rsidRDefault="002B71AB" w:rsidP="00591A56">
            <w:pPr>
              <w:pStyle w:val="aDSPara"/>
              <w:spacing w:before="60" w:after="60"/>
              <w:ind w:left="0"/>
              <w:jc w:val="center"/>
              <w:rPr>
                <w:color w:val="000000" w:themeColor="text1"/>
                <w:sz w:val="20"/>
                <w:szCs w:val="20"/>
              </w:rPr>
            </w:pPr>
          </w:p>
        </w:tc>
        <w:tc>
          <w:tcPr>
            <w:tcW w:w="433" w:type="pct"/>
            <w:vAlign w:val="center"/>
          </w:tcPr>
          <w:p w14:paraId="5971E466" w14:textId="77777777" w:rsidR="002B71AB" w:rsidRDefault="00444306" w:rsidP="00591A56">
            <w:pPr>
              <w:pStyle w:val="aDSPara"/>
              <w:spacing w:before="60" w:after="60"/>
              <w:ind w:left="0"/>
              <w:jc w:val="center"/>
              <w:rPr>
                <w:color w:val="000000" w:themeColor="text1"/>
                <w:sz w:val="20"/>
                <w:szCs w:val="20"/>
              </w:rPr>
            </w:pPr>
            <w:r>
              <w:rPr>
                <w:color w:val="000000" w:themeColor="text1"/>
                <w:sz w:val="20"/>
                <w:szCs w:val="20"/>
              </w:rPr>
              <w:t>20</w:t>
            </w:r>
          </w:p>
        </w:tc>
        <w:tc>
          <w:tcPr>
            <w:tcW w:w="2655" w:type="pct"/>
          </w:tcPr>
          <w:p w14:paraId="01540D9A" w14:textId="77777777" w:rsidR="002B71AB" w:rsidRPr="002B71AB" w:rsidRDefault="002B71AB" w:rsidP="002B71AB">
            <w:pPr>
              <w:pStyle w:val="aDSPara"/>
              <w:spacing w:before="60" w:after="60"/>
              <w:ind w:left="0"/>
              <w:jc w:val="left"/>
              <w:rPr>
                <w:rFonts w:cs="Arial"/>
                <w:bCs/>
                <w:color w:val="000000" w:themeColor="text1"/>
                <w:sz w:val="18"/>
                <w:szCs w:val="18"/>
              </w:rPr>
            </w:pPr>
            <w:r w:rsidRPr="002B71AB">
              <w:rPr>
                <w:rFonts w:cs="Arial"/>
                <w:bCs/>
                <w:color w:val="000000" w:themeColor="text1"/>
                <w:sz w:val="18"/>
                <w:szCs w:val="18"/>
              </w:rPr>
              <w:t>Provide proof three(</w:t>
            </w:r>
            <w:r>
              <w:rPr>
                <w:rFonts w:cs="Arial"/>
                <w:bCs/>
                <w:color w:val="000000" w:themeColor="text1"/>
                <w:sz w:val="18"/>
                <w:szCs w:val="18"/>
              </w:rPr>
              <w:t>1</w:t>
            </w:r>
            <w:r w:rsidR="00444306">
              <w:rPr>
                <w:rFonts w:cs="Arial"/>
                <w:bCs/>
                <w:color w:val="000000" w:themeColor="text1"/>
                <w:sz w:val="18"/>
                <w:szCs w:val="18"/>
              </w:rPr>
              <w:t>)</w:t>
            </w:r>
            <w:r w:rsidRPr="002B71AB">
              <w:rPr>
                <w:rFonts w:cs="Arial"/>
                <w:bCs/>
                <w:color w:val="000000" w:themeColor="text1"/>
                <w:sz w:val="18"/>
                <w:szCs w:val="18"/>
              </w:rPr>
              <w:t xml:space="preserve"> relevant reference</w:t>
            </w:r>
            <w:r>
              <w:rPr>
                <w:rFonts w:cs="Arial"/>
                <w:bCs/>
                <w:color w:val="000000" w:themeColor="text1"/>
                <w:sz w:val="18"/>
                <w:szCs w:val="18"/>
              </w:rPr>
              <w:t>s</w:t>
            </w:r>
            <w:r w:rsidRPr="002B71AB">
              <w:rPr>
                <w:rFonts w:cs="Arial"/>
                <w:bCs/>
                <w:color w:val="000000" w:themeColor="text1"/>
                <w:sz w:val="18"/>
                <w:szCs w:val="18"/>
              </w:rPr>
              <w:t xml:space="preserve"> with contact details of the clients in accordance with POPIA (name of client, telephone number and/or email address) and Value of contract</w:t>
            </w:r>
            <w:r w:rsidR="00444306">
              <w:rPr>
                <w:rFonts w:cs="Arial"/>
                <w:bCs/>
                <w:color w:val="000000" w:themeColor="text1"/>
                <w:sz w:val="18"/>
                <w:szCs w:val="18"/>
              </w:rPr>
              <w:t xml:space="preserve"> </w:t>
            </w:r>
            <w:r w:rsidR="00444306" w:rsidRPr="00444306">
              <w:rPr>
                <w:rFonts w:cs="Arial"/>
                <w:bCs/>
                <w:color w:val="000000" w:themeColor="text1"/>
                <w:sz w:val="18"/>
                <w:szCs w:val="18"/>
              </w:rPr>
              <w:t>(within the past 3 years)</w:t>
            </w:r>
          </w:p>
        </w:tc>
      </w:tr>
      <w:tr w:rsidR="000A2987" w:rsidRPr="000F5EFE" w14:paraId="4F82E808" w14:textId="77777777" w:rsidTr="00EB5082">
        <w:trPr>
          <w:trHeight w:val="180"/>
        </w:trPr>
        <w:tc>
          <w:tcPr>
            <w:tcW w:w="374" w:type="pct"/>
            <w:vMerge/>
          </w:tcPr>
          <w:p w14:paraId="113ACC8D" w14:textId="77777777" w:rsidR="000A2987" w:rsidRPr="000F5EFE" w:rsidRDefault="000A2987" w:rsidP="00591A56">
            <w:pPr>
              <w:pStyle w:val="aDSPara"/>
              <w:spacing w:before="60" w:after="60"/>
              <w:ind w:left="0"/>
              <w:jc w:val="left"/>
              <w:rPr>
                <w:color w:val="000000" w:themeColor="text1"/>
                <w:sz w:val="20"/>
                <w:szCs w:val="20"/>
              </w:rPr>
            </w:pPr>
          </w:p>
        </w:tc>
        <w:tc>
          <w:tcPr>
            <w:tcW w:w="1000" w:type="pct"/>
            <w:vMerge/>
          </w:tcPr>
          <w:p w14:paraId="17C5EF04" w14:textId="77777777" w:rsidR="000A2987" w:rsidRPr="000F5EFE" w:rsidRDefault="000A2987" w:rsidP="00591A56">
            <w:pPr>
              <w:pStyle w:val="aDSPara"/>
              <w:spacing w:before="60" w:after="60"/>
              <w:ind w:left="0"/>
              <w:jc w:val="left"/>
              <w:rPr>
                <w:rFonts w:cs="Arial"/>
                <w:color w:val="000000" w:themeColor="text1"/>
                <w:sz w:val="18"/>
                <w:szCs w:val="18"/>
              </w:rPr>
            </w:pPr>
          </w:p>
        </w:tc>
        <w:tc>
          <w:tcPr>
            <w:tcW w:w="538" w:type="pct"/>
            <w:vMerge/>
            <w:vAlign w:val="center"/>
          </w:tcPr>
          <w:p w14:paraId="1F6F279D" w14:textId="77777777" w:rsidR="000A2987" w:rsidRDefault="000A2987" w:rsidP="00591A56">
            <w:pPr>
              <w:pStyle w:val="aDSPara"/>
              <w:spacing w:before="60" w:after="60"/>
              <w:ind w:left="0"/>
              <w:jc w:val="center"/>
              <w:rPr>
                <w:color w:val="000000" w:themeColor="text1"/>
                <w:sz w:val="20"/>
                <w:szCs w:val="20"/>
              </w:rPr>
            </w:pPr>
          </w:p>
        </w:tc>
        <w:tc>
          <w:tcPr>
            <w:tcW w:w="433" w:type="pct"/>
            <w:vAlign w:val="center"/>
          </w:tcPr>
          <w:p w14:paraId="064F61E1" w14:textId="77777777" w:rsidR="000A2987" w:rsidRDefault="000A2987" w:rsidP="00591A56">
            <w:pPr>
              <w:pStyle w:val="aDSPara"/>
              <w:spacing w:before="60" w:after="60"/>
              <w:ind w:left="0"/>
              <w:jc w:val="center"/>
              <w:rPr>
                <w:color w:val="000000" w:themeColor="text1"/>
                <w:sz w:val="20"/>
                <w:szCs w:val="20"/>
              </w:rPr>
            </w:pPr>
            <w:r>
              <w:rPr>
                <w:color w:val="000000" w:themeColor="text1"/>
                <w:sz w:val="20"/>
                <w:szCs w:val="20"/>
              </w:rPr>
              <w:t>0</w:t>
            </w:r>
          </w:p>
        </w:tc>
        <w:tc>
          <w:tcPr>
            <w:tcW w:w="2655" w:type="pct"/>
          </w:tcPr>
          <w:p w14:paraId="2E6ABA89" w14:textId="77777777" w:rsidR="000A2987" w:rsidRDefault="000A2987" w:rsidP="00591A56">
            <w:pPr>
              <w:pStyle w:val="aDSPara"/>
              <w:spacing w:before="60" w:after="60"/>
              <w:ind w:left="0"/>
              <w:jc w:val="left"/>
              <w:rPr>
                <w:rFonts w:cs="Arial"/>
                <w:bCs/>
                <w:color w:val="000000" w:themeColor="text1"/>
                <w:sz w:val="18"/>
                <w:szCs w:val="18"/>
              </w:rPr>
            </w:pPr>
            <w:r>
              <w:rPr>
                <w:rFonts w:cs="Arial"/>
                <w:bCs/>
                <w:color w:val="000000" w:themeColor="text1"/>
                <w:sz w:val="18"/>
                <w:szCs w:val="18"/>
              </w:rPr>
              <w:t>No three(3)  year reference.</w:t>
            </w:r>
          </w:p>
        </w:tc>
      </w:tr>
      <w:tr w:rsidR="000A2987" w:rsidRPr="000F5EFE" w14:paraId="70D9CF56" w14:textId="77777777" w:rsidTr="00EB5082">
        <w:trPr>
          <w:trHeight w:val="180"/>
        </w:trPr>
        <w:tc>
          <w:tcPr>
            <w:tcW w:w="374" w:type="pct"/>
            <w:vMerge w:val="restart"/>
          </w:tcPr>
          <w:p w14:paraId="6C0C5D52" w14:textId="77777777" w:rsidR="000A2987" w:rsidRPr="000F5EFE" w:rsidRDefault="000A2987" w:rsidP="00591A56">
            <w:pPr>
              <w:pStyle w:val="aDSPara"/>
              <w:spacing w:before="60" w:after="60"/>
              <w:ind w:left="0"/>
              <w:jc w:val="left"/>
              <w:rPr>
                <w:color w:val="000000" w:themeColor="text1"/>
                <w:sz w:val="20"/>
                <w:szCs w:val="20"/>
              </w:rPr>
            </w:pPr>
            <w:r w:rsidRPr="000F5EFE">
              <w:rPr>
                <w:color w:val="000000" w:themeColor="text1"/>
                <w:sz w:val="20"/>
                <w:szCs w:val="20"/>
              </w:rPr>
              <w:t>6</w:t>
            </w:r>
          </w:p>
        </w:tc>
        <w:tc>
          <w:tcPr>
            <w:tcW w:w="1000" w:type="pct"/>
            <w:vMerge w:val="restart"/>
          </w:tcPr>
          <w:p w14:paraId="31651637" w14:textId="77777777" w:rsidR="000A2987" w:rsidRPr="000F5EFE" w:rsidRDefault="000A2987" w:rsidP="00591A56">
            <w:pPr>
              <w:pStyle w:val="aDSPara"/>
              <w:spacing w:before="60" w:after="60"/>
              <w:ind w:left="0"/>
              <w:jc w:val="left"/>
              <w:rPr>
                <w:color w:val="000000" w:themeColor="text1"/>
                <w:sz w:val="20"/>
                <w:szCs w:val="20"/>
              </w:rPr>
            </w:pPr>
            <w:r w:rsidRPr="000F5EFE">
              <w:rPr>
                <w:rFonts w:cs="Arial"/>
                <w:color w:val="000000" w:themeColor="text1"/>
                <w:sz w:val="18"/>
                <w:szCs w:val="18"/>
              </w:rPr>
              <w:t>Quality Management Systems</w:t>
            </w:r>
          </w:p>
        </w:tc>
        <w:tc>
          <w:tcPr>
            <w:tcW w:w="538" w:type="pct"/>
            <w:vMerge w:val="restart"/>
            <w:vAlign w:val="center"/>
          </w:tcPr>
          <w:p w14:paraId="0E12068A" w14:textId="77777777" w:rsidR="000A2987" w:rsidRPr="000F5EFE" w:rsidRDefault="000A2987" w:rsidP="00591A56">
            <w:pPr>
              <w:pStyle w:val="aDSPara"/>
              <w:spacing w:before="60" w:after="60"/>
              <w:ind w:left="0"/>
              <w:jc w:val="center"/>
              <w:rPr>
                <w:color w:val="000000" w:themeColor="text1"/>
                <w:sz w:val="20"/>
                <w:szCs w:val="20"/>
              </w:rPr>
            </w:pPr>
            <w:r>
              <w:rPr>
                <w:rFonts w:cs="Arial"/>
                <w:bCs/>
                <w:color w:val="000000" w:themeColor="text1"/>
                <w:sz w:val="18"/>
                <w:szCs w:val="18"/>
              </w:rPr>
              <w:t>10</w:t>
            </w:r>
          </w:p>
        </w:tc>
        <w:tc>
          <w:tcPr>
            <w:tcW w:w="433" w:type="pct"/>
            <w:vAlign w:val="center"/>
          </w:tcPr>
          <w:p w14:paraId="64918557" w14:textId="77777777" w:rsidR="000A2987" w:rsidRPr="00EB5082" w:rsidRDefault="000A2987" w:rsidP="00135FAB">
            <w:pPr>
              <w:pStyle w:val="aDSPara"/>
              <w:spacing w:before="60" w:after="60"/>
              <w:ind w:left="0"/>
              <w:jc w:val="center"/>
              <w:rPr>
                <w:rFonts w:cs="Arial"/>
                <w:bCs/>
                <w:color w:val="000000" w:themeColor="text1"/>
                <w:sz w:val="18"/>
                <w:szCs w:val="18"/>
              </w:rPr>
            </w:pPr>
            <w:r w:rsidRPr="00EB5082">
              <w:rPr>
                <w:rFonts w:cs="Arial"/>
                <w:bCs/>
                <w:color w:val="000000" w:themeColor="text1"/>
                <w:sz w:val="18"/>
                <w:szCs w:val="18"/>
              </w:rPr>
              <w:t>10</w:t>
            </w:r>
          </w:p>
        </w:tc>
        <w:tc>
          <w:tcPr>
            <w:tcW w:w="2655" w:type="pct"/>
          </w:tcPr>
          <w:p w14:paraId="3DB55710" w14:textId="77777777" w:rsidR="000A2987" w:rsidRPr="00EB5082" w:rsidRDefault="000A2987" w:rsidP="00591A56">
            <w:pPr>
              <w:pStyle w:val="aDSPara"/>
              <w:spacing w:before="60" w:after="60"/>
              <w:ind w:left="0"/>
              <w:jc w:val="left"/>
              <w:rPr>
                <w:rFonts w:cs="Arial"/>
                <w:bCs/>
                <w:color w:val="000000" w:themeColor="text1"/>
                <w:sz w:val="18"/>
                <w:szCs w:val="18"/>
              </w:rPr>
            </w:pPr>
            <w:r w:rsidRPr="000F5EFE">
              <w:rPr>
                <w:rFonts w:cs="Arial"/>
                <w:bCs/>
                <w:color w:val="000000" w:themeColor="text1"/>
                <w:sz w:val="18"/>
                <w:szCs w:val="18"/>
              </w:rPr>
              <w:t>Provide quality policy and</w:t>
            </w:r>
            <w:r w:rsidRPr="00EB5082">
              <w:rPr>
                <w:rFonts w:cs="Arial"/>
                <w:bCs/>
                <w:color w:val="000000" w:themeColor="text1"/>
                <w:sz w:val="18"/>
                <w:szCs w:val="18"/>
              </w:rPr>
              <w:t xml:space="preserve">  certification </w:t>
            </w:r>
            <w:r w:rsidR="00444306" w:rsidRPr="00EB5082">
              <w:rPr>
                <w:rFonts w:cs="Arial"/>
                <w:bCs/>
                <w:color w:val="000000" w:themeColor="text1"/>
                <w:sz w:val="18"/>
                <w:szCs w:val="18"/>
              </w:rPr>
              <w:t xml:space="preserve">(if available) </w:t>
            </w:r>
            <w:r w:rsidRPr="00EB5082">
              <w:rPr>
                <w:rFonts w:cs="Arial"/>
                <w:bCs/>
                <w:color w:val="000000" w:themeColor="text1"/>
                <w:sz w:val="18"/>
                <w:szCs w:val="18"/>
              </w:rPr>
              <w:t>of the company. Provide proof of how future quality control will be insured.</w:t>
            </w:r>
          </w:p>
        </w:tc>
      </w:tr>
      <w:tr w:rsidR="000A2987" w:rsidRPr="000F5EFE" w14:paraId="5033E2CD" w14:textId="77777777" w:rsidTr="00EB5082">
        <w:trPr>
          <w:trHeight w:val="180"/>
        </w:trPr>
        <w:tc>
          <w:tcPr>
            <w:tcW w:w="374" w:type="pct"/>
            <w:vMerge/>
          </w:tcPr>
          <w:p w14:paraId="6EF3FDDE" w14:textId="77777777" w:rsidR="000A2987" w:rsidRPr="000F5EFE" w:rsidRDefault="000A2987" w:rsidP="00591A56">
            <w:pPr>
              <w:pStyle w:val="aDSPara"/>
              <w:spacing w:before="60" w:after="60"/>
              <w:ind w:left="0"/>
              <w:jc w:val="left"/>
              <w:rPr>
                <w:color w:val="000000" w:themeColor="text1"/>
                <w:sz w:val="20"/>
                <w:szCs w:val="20"/>
              </w:rPr>
            </w:pPr>
          </w:p>
        </w:tc>
        <w:tc>
          <w:tcPr>
            <w:tcW w:w="1000" w:type="pct"/>
            <w:vMerge/>
          </w:tcPr>
          <w:p w14:paraId="215F0F95" w14:textId="77777777" w:rsidR="000A2987" w:rsidRPr="000F5EFE" w:rsidRDefault="000A2987" w:rsidP="00591A56">
            <w:pPr>
              <w:pStyle w:val="aDSPara"/>
              <w:spacing w:before="60" w:after="60"/>
              <w:ind w:left="0"/>
              <w:jc w:val="left"/>
              <w:rPr>
                <w:color w:val="000000" w:themeColor="text1"/>
                <w:sz w:val="20"/>
                <w:szCs w:val="20"/>
              </w:rPr>
            </w:pPr>
          </w:p>
        </w:tc>
        <w:tc>
          <w:tcPr>
            <w:tcW w:w="538" w:type="pct"/>
            <w:vMerge/>
            <w:vAlign w:val="center"/>
          </w:tcPr>
          <w:p w14:paraId="56E58A30" w14:textId="77777777" w:rsidR="000A2987" w:rsidRPr="000F5EFE" w:rsidRDefault="000A2987" w:rsidP="00591A56">
            <w:pPr>
              <w:pStyle w:val="aDSPara"/>
              <w:spacing w:before="60" w:after="60"/>
              <w:ind w:left="0"/>
              <w:jc w:val="center"/>
              <w:rPr>
                <w:color w:val="000000" w:themeColor="text1"/>
                <w:sz w:val="20"/>
                <w:szCs w:val="20"/>
              </w:rPr>
            </w:pPr>
          </w:p>
        </w:tc>
        <w:tc>
          <w:tcPr>
            <w:tcW w:w="433" w:type="pct"/>
            <w:vAlign w:val="center"/>
          </w:tcPr>
          <w:p w14:paraId="3EF34315" w14:textId="77777777" w:rsidR="000A2987" w:rsidRPr="00EB5082" w:rsidRDefault="000A2987" w:rsidP="006E77C9">
            <w:pPr>
              <w:pStyle w:val="aDSPara"/>
              <w:spacing w:before="60" w:after="60"/>
              <w:ind w:left="0"/>
              <w:jc w:val="center"/>
              <w:rPr>
                <w:rFonts w:cs="Arial"/>
                <w:bCs/>
                <w:color w:val="000000" w:themeColor="text1"/>
                <w:sz w:val="18"/>
                <w:szCs w:val="18"/>
              </w:rPr>
            </w:pPr>
            <w:r w:rsidRPr="00EB5082">
              <w:rPr>
                <w:rFonts w:cs="Arial"/>
                <w:bCs/>
                <w:color w:val="000000" w:themeColor="text1"/>
                <w:sz w:val="18"/>
                <w:szCs w:val="18"/>
              </w:rPr>
              <w:t>0</w:t>
            </w:r>
          </w:p>
        </w:tc>
        <w:tc>
          <w:tcPr>
            <w:tcW w:w="2655" w:type="pct"/>
          </w:tcPr>
          <w:p w14:paraId="156148D5" w14:textId="77777777" w:rsidR="000A2987" w:rsidRPr="00EB5082" w:rsidRDefault="000A2987" w:rsidP="00591A56">
            <w:pPr>
              <w:pStyle w:val="aDSPara"/>
              <w:spacing w:before="60" w:after="60"/>
              <w:ind w:left="0"/>
              <w:jc w:val="left"/>
              <w:rPr>
                <w:rFonts w:cs="Arial"/>
                <w:bCs/>
                <w:color w:val="000000" w:themeColor="text1"/>
                <w:sz w:val="18"/>
                <w:szCs w:val="18"/>
              </w:rPr>
            </w:pPr>
            <w:r w:rsidRPr="00EB5082">
              <w:rPr>
                <w:rFonts w:cs="Arial"/>
                <w:bCs/>
                <w:color w:val="000000" w:themeColor="text1"/>
                <w:sz w:val="18"/>
                <w:szCs w:val="18"/>
              </w:rPr>
              <w:t>No quality policy and  certification of the company. Provide proof of how future quality control will be insured.</w:t>
            </w:r>
          </w:p>
        </w:tc>
      </w:tr>
      <w:tr w:rsidR="000A2987" w:rsidRPr="000F5EFE" w14:paraId="420EFDA7" w14:textId="77777777" w:rsidTr="00EB5082">
        <w:trPr>
          <w:trHeight w:val="463"/>
        </w:trPr>
        <w:tc>
          <w:tcPr>
            <w:tcW w:w="374" w:type="pct"/>
            <w:vMerge w:val="restart"/>
          </w:tcPr>
          <w:p w14:paraId="7190C0FD" w14:textId="77777777" w:rsidR="000A2987" w:rsidRPr="000F5EFE" w:rsidRDefault="000A2987" w:rsidP="00591A56">
            <w:pPr>
              <w:pStyle w:val="aDSPara"/>
              <w:spacing w:before="60" w:after="60"/>
              <w:ind w:left="0"/>
              <w:jc w:val="left"/>
              <w:rPr>
                <w:color w:val="000000" w:themeColor="text1"/>
                <w:sz w:val="20"/>
                <w:szCs w:val="20"/>
              </w:rPr>
            </w:pPr>
            <w:r w:rsidRPr="000F5EFE">
              <w:rPr>
                <w:color w:val="000000" w:themeColor="text1"/>
                <w:sz w:val="20"/>
                <w:szCs w:val="20"/>
              </w:rPr>
              <w:t>7</w:t>
            </w:r>
          </w:p>
        </w:tc>
        <w:tc>
          <w:tcPr>
            <w:tcW w:w="1000" w:type="pct"/>
            <w:vMerge w:val="restart"/>
          </w:tcPr>
          <w:p w14:paraId="5948A70A" w14:textId="77777777" w:rsidR="000A2987" w:rsidRPr="000F5EFE" w:rsidRDefault="000A2987" w:rsidP="00591A56">
            <w:pPr>
              <w:pStyle w:val="aDSPara"/>
              <w:spacing w:before="60" w:after="60"/>
              <w:ind w:left="0"/>
              <w:jc w:val="left"/>
              <w:rPr>
                <w:color w:val="000000" w:themeColor="text1"/>
                <w:sz w:val="20"/>
                <w:szCs w:val="20"/>
              </w:rPr>
            </w:pPr>
            <w:r w:rsidRPr="000F5EFE">
              <w:rPr>
                <w:rFonts w:cs="Arial"/>
                <w:color w:val="000000" w:themeColor="text1"/>
                <w:sz w:val="18"/>
                <w:szCs w:val="18"/>
              </w:rPr>
              <w:t>Health and Safety File</w:t>
            </w:r>
          </w:p>
        </w:tc>
        <w:tc>
          <w:tcPr>
            <w:tcW w:w="538" w:type="pct"/>
            <w:vMerge w:val="restart"/>
            <w:vAlign w:val="center"/>
          </w:tcPr>
          <w:p w14:paraId="533D11A9" w14:textId="77777777" w:rsidR="000A2987" w:rsidRPr="000F5EFE" w:rsidRDefault="000A2987" w:rsidP="00591A56">
            <w:pPr>
              <w:pStyle w:val="aDSPara"/>
              <w:spacing w:before="60" w:after="60"/>
              <w:ind w:left="0"/>
              <w:jc w:val="center"/>
              <w:rPr>
                <w:color w:val="000000" w:themeColor="text1"/>
                <w:sz w:val="20"/>
                <w:szCs w:val="20"/>
              </w:rPr>
            </w:pPr>
            <w:r>
              <w:rPr>
                <w:rFonts w:cs="Arial"/>
                <w:bCs/>
                <w:color w:val="000000" w:themeColor="text1"/>
                <w:sz w:val="18"/>
                <w:szCs w:val="18"/>
              </w:rPr>
              <w:t>10</w:t>
            </w:r>
          </w:p>
        </w:tc>
        <w:tc>
          <w:tcPr>
            <w:tcW w:w="433" w:type="pct"/>
            <w:vAlign w:val="center"/>
          </w:tcPr>
          <w:p w14:paraId="68DB50DE" w14:textId="77777777" w:rsidR="000A2987" w:rsidRPr="00EB5082" w:rsidRDefault="000A2987" w:rsidP="006E77C9">
            <w:pPr>
              <w:pStyle w:val="aDSPara"/>
              <w:spacing w:before="60" w:after="60"/>
              <w:ind w:left="0"/>
              <w:jc w:val="center"/>
              <w:rPr>
                <w:rFonts w:cs="Arial"/>
                <w:bCs/>
                <w:color w:val="000000" w:themeColor="text1"/>
                <w:sz w:val="18"/>
                <w:szCs w:val="18"/>
              </w:rPr>
            </w:pPr>
            <w:r w:rsidRPr="00EB5082">
              <w:rPr>
                <w:rFonts w:cs="Arial"/>
                <w:bCs/>
                <w:color w:val="000000" w:themeColor="text1"/>
                <w:sz w:val="18"/>
                <w:szCs w:val="18"/>
              </w:rPr>
              <w:t>5</w:t>
            </w:r>
          </w:p>
        </w:tc>
        <w:tc>
          <w:tcPr>
            <w:tcW w:w="2655" w:type="pct"/>
          </w:tcPr>
          <w:p w14:paraId="40BA31A2" w14:textId="77777777" w:rsidR="000A2987" w:rsidRPr="00EB5082" w:rsidRDefault="000A2987" w:rsidP="00591A56">
            <w:pPr>
              <w:pStyle w:val="aDSPara"/>
              <w:spacing w:before="60" w:after="60"/>
              <w:ind w:left="0"/>
              <w:jc w:val="left"/>
              <w:rPr>
                <w:rFonts w:cs="Arial"/>
                <w:bCs/>
                <w:color w:val="000000" w:themeColor="text1"/>
                <w:sz w:val="18"/>
                <w:szCs w:val="18"/>
              </w:rPr>
            </w:pPr>
            <w:r w:rsidRPr="00EB5082">
              <w:rPr>
                <w:rFonts w:cs="Arial"/>
                <w:bCs/>
                <w:color w:val="000000" w:themeColor="text1"/>
                <w:sz w:val="18"/>
                <w:szCs w:val="18"/>
              </w:rPr>
              <w:t>Relevant risk assessment plan relating to this.</w:t>
            </w:r>
          </w:p>
        </w:tc>
      </w:tr>
      <w:tr w:rsidR="000A2987" w:rsidRPr="000F5EFE" w14:paraId="31A0EF6E" w14:textId="77777777" w:rsidTr="00EB5082">
        <w:trPr>
          <w:trHeight w:val="180"/>
        </w:trPr>
        <w:tc>
          <w:tcPr>
            <w:tcW w:w="374" w:type="pct"/>
            <w:vMerge/>
          </w:tcPr>
          <w:p w14:paraId="5425B56D" w14:textId="77777777" w:rsidR="000A2987" w:rsidRPr="000F5EFE" w:rsidRDefault="000A2987" w:rsidP="00591A56">
            <w:pPr>
              <w:pStyle w:val="aDSPara"/>
              <w:spacing w:before="60" w:after="60"/>
              <w:ind w:left="0"/>
              <w:jc w:val="left"/>
              <w:rPr>
                <w:color w:val="000000" w:themeColor="text1"/>
                <w:sz w:val="20"/>
                <w:szCs w:val="20"/>
              </w:rPr>
            </w:pPr>
          </w:p>
        </w:tc>
        <w:tc>
          <w:tcPr>
            <w:tcW w:w="1000" w:type="pct"/>
            <w:vMerge/>
          </w:tcPr>
          <w:p w14:paraId="45ADF48F" w14:textId="77777777" w:rsidR="000A2987" w:rsidRPr="000F5EFE" w:rsidRDefault="000A2987" w:rsidP="00591A56">
            <w:pPr>
              <w:pStyle w:val="aDSPara"/>
              <w:spacing w:before="60" w:after="60"/>
              <w:ind w:left="0"/>
              <w:jc w:val="left"/>
              <w:rPr>
                <w:color w:val="000000" w:themeColor="text1"/>
                <w:sz w:val="20"/>
                <w:szCs w:val="20"/>
              </w:rPr>
            </w:pPr>
          </w:p>
        </w:tc>
        <w:tc>
          <w:tcPr>
            <w:tcW w:w="538" w:type="pct"/>
            <w:vMerge/>
          </w:tcPr>
          <w:p w14:paraId="3D8BE33F" w14:textId="77777777" w:rsidR="000A2987" w:rsidRPr="000F5EFE" w:rsidRDefault="000A2987" w:rsidP="00591A56">
            <w:pPr>
              <w:pStyle w:val="aDSPara"/>
              <w:spacing w:before="60" w:after="60"/>
              <w:ind w:left="0"/>
              <w:jc w:val="center"/>
              <w:rPr>
                <w:color w:val="000000" w:themeColor="text1"/>
                <w:sz w:val="20"/>
                <w:szCs w:val="20"/>
              </w:rPr>
            </w:pPr>
          </w:p>
        </w:tc>
        <w:tc>
          <w:tcPr>
            <w:tcW w:w="433" w:type="pct"/>
            <w:vAlign w:val="center"/>
          </w:tcPr>
          <w:p w14:paraId="3A99C4CC" w14:textId="77777777" w:rsidR="000A2987" w:rsidRPr="00EB5082" w:rsidRDefault="000A2987" w:rsidP="006E77C9">
            <w:pPr>
              <w:pStyle w:val="aDSPara"/>
              <w:spacing w:before="60" w:after="60"/>
              <w:ind w:left="0"/>
              <w:jc w:val="center"/>
              <w:rPr>
                <w:rFonts w:cs="Arial"/>
                <w:bCs/>
                <w:color w:val="000000" w:themeColor="text1"/>
                <w:sz w:val="18"/>
                <w:szCs w:val="18"/>
              </w:rPr>
            </w:pPr>
            <w:r w:rsidRPr="00EB5082">
              <w:rPr>
                <w:rFonts w:cs="Arial"/>
                <w:bCs/>
                <w:color w:val="000000" w:themeColor="text1"/>
                <w:sz w:val="18"/>
                <w:szCs w:val="18"/>
              </w:rPr>
              <w:t>5</w:t>
            </w:r>
          </w:p>
        </w:tc>
        <w:tc>
          <w:tcPr>
            <w:tcW w:w="2655" w:type="pct"/>
          </w:tcPr>
          <w:p w14:paraId="381FA8F1" w14:textId="77777777" w:rsidR="000A2987" w:rsidRPr="00EB5082" w:rsidRDefault="000A2987" w:rsidP="00591A56">
            <w:pPr>
              <w:pStyle w:val="aDSPara"/>
              <w:spacing w:before="60" w:after="60"/>
              <w:ind w:left="0"/>
              <w:jc w:val="left"/>
              <w:rPr>
                <w:rFonts w:cs="Arial"/>
                <w:bCs/>
                <w:color w:val="000000" w:themeColor="text1"/>
                <w:sz w:val="18"/>
                <w:szCs w:val="18"/>
              </w:rPr>
            </w:pPr>
            <w:r w:rsidRPr="00EB5082">
              <w:rPr>
                <w:rFonts w:cs="Arial"/>
                <w:bCs/>
                <w:color w:val="000000" w:themeColor="text1"/>
                <w:sz w:val="18"/>
                <w:szCs w:val="18"/>
              </w:rPr>
              <w:t>Company Health and Safety policy.</w:t>
            </w:r>
          </w:p>
        </w:tc>
      </w:tr>
      <w:tr w:rsidR="000A2987" w:rsidRPr="000F5EFE" w14:paraId="47D82983" w14:textId="77777777" w:rsidTr="00EB5082">
        <w:trPr>
          <w:trHeight w:val="180"/>
        </w:trPr>
        <w:tc>
          <w:tcPr>
            <w:tcW w:w="1374" w:type="pct"/>
            <w:gridSpan w:val="2"/>
          </w:tcPr>
          <w:p w14:paraId="060E2C8D" w14:textId="77777777" w:rsidR="000A2987" w:rsidRPr="000F5EFE" w:rsidRDefault="000A2987" w:rsidP="00591A56">
            <w:pPr>
              <w:pStyle w:val="aDSPara"/>
              <w:spacing w:before="60" w:after="60"/>
              <w:ind w:left="0"/>
              <w:jc w:val="left"/>
              <w:rPr>
                <w:b/>
                <w:color w:val="000000" w:themeColor="text1"/>
                <w:sz w:val="20"/>
                <w:szCs w:val="20"/>
              </w:rPr>
            </w:pPr>
            <w:r w:rsidRPr="000F5EFE">
              <w:rPr>
                <w:b/>
                <w:color w:val="000000" w:themeColor="text1"/>
                <w:sz w:val="20"/>
                <w:szCs w:val="20"/>
              </w:rPr>
              <w:t>Total:</w:t>
            </w:r>
          </w:p>
        </w:tc>
        <w:tc>
          <w:tcPr>
            <w:tcW w:w="538" w:type="pct"/>
          </w:tcPr>
          <w:p w14:paraId="68CFCBAD" w14:textId="77777777" w:rsidR="000A2987" w:rsidRPr="000F5EFE" w:rsidRDefault="000A2987" w:rsidP="00591A56">
            <w:pPr>
              <w:pStyle w:val="aDSPara"/>
              <w:spacing w:before="60" w:after="60"/>
              <w:ind w:left="0"/>
              <w:jc w:val="center"/>
              <w:rPr>
                <w:b/>
                <w:color w:val="000000" w:themeColor="text1"/>
                <w:sz w:val="20"/>
                <w:szCs w:val="20"/>
              </w:rPr>
            </w:pPr>
            <w:r w:rsidRPr="000F5EFE">
              <w:rPr>
                <w:b/>
                <w:color w:val="000000" w:themeColor="text1"/>
                <w:sz w:val="20"/>
                <w:szCs w:val="20"/>
              </w:rPr>
              <w:t>100</w:t>
            </w:r>
          </w:p>
        </w:tc>
        <w:tc>
          <w:tcPr>
            <w:tcW w:w="433" w:type="pct"/>
          </w:tcPr>
          <w:p w14:paraId="06C59D5E" w14:textId="77777777" w:rsidR="000A2987" w:rsidRPr="000F5EFE" w:rsidRDefault="000A2987" w:rsidP="00591A56">
            <w:pPr>
              <w:pStyle w:val="aDSPara"/>
              <w:spacing w:before="60" w:after="60"/>
              <w:ind w:left="0"/>
              <w:jc w:val="center"/>
              <w:rPr>
                <w:b/>
                <w:color w:val="000000" w:themeColor="text1"/>
                <w:sz w:val="20"/>
                <w:szCs w:val="20"/>
              </w:rPr>
            </w:pPr>
          </w:p>
        </w:tc>
        <w:tc>
          <w:tcPr>
            <w:tcW w:w="2655" w:type="pct"/>
          </w:tcPr>
          <w:p w14:paraId="6632D9BE" w14:textId="77777777" w:rsidR="000A2987" w:rsidRPr="000F5EFE" w:rsidRDefault="000A2987" w:rsidP="00591A56">
            <w:pPr>
              <w:pStyle w:val="aDSPara"/>
              <w:spacing w:before="60" w:after="60"/>
              <w:ind w:left="0"/>
              <w:jc w:val="left"/>
              <w:rPr>
                <w:b/>
                <w:color w:val="000000" w:themeColor="text1"/>
                <w:sz w:val="20"/>
                <w:szCs w:val="20"/>
              </w:rPr>
            </w:pPr>
          </w:p>
        </w:tc>
      </w:tr>
    </w:tbl>
    <w:p w14:paraId="4ABD581D" w14:textId="77777777" w:rsidR="00E67CB6" w:rsidRPr="00E67CB6" w:rsidRDefault="00E67CB6" w:rsidP="00E67CB6">
      <w:pPr>
        <w:pStyle w:val="1Paragraph"/>
        <w:ind w:left="0"/>
      </w:pPr>
    </w:p>
    <w:p w14:paraId="5CEA1BFD" w14:textId="77777777" w:rsidR="0035761A" w:rsidRDefault="00264F10" w:rsidP="0030524C">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1C408F61" w14:textId="77777777" w:rsidR="008753D1" w:rsidRPr="0030524C" w:rsidRDefault="008753D1" w:rsidP="0030524C">
      <w:pPr>
        <w:rPr>
          <w:b/>
          <w:sz w:val="20"/>
        </w:rPr>
      </w:pPr>
    </w:p>
    <w:p w14:paraId="6DB5846C" w14:textId="77777777" w:rsidR="00606F19" w:rsidRPr="00D93AAA" w:rsidRDefault="00606F19" w:rsidP="00606F19">
      <w:pPr>
        <w:pStyle w:val="Index3"/>
        <w:ind w:left="1211"/>
      </w:pPr>
      <w:bookmarkStart w:id="34" w:name="_Toc125008752"/>
      <w:bookmarkStart w:id="35" w:name="_Toc135389244"/>
      <w:bookmarkStart w:id="36" w:name="_Toc137638301"/>
      <w:bookmarkStart w:id="37" w:name="_Toc171552297"/>
      <w:bookmarkStart w:id="38" w:name="_Toc511198085"/>
      <w:bookmarkStart w:id="39" w:name="_Hlk133378355"/>
      <w:r>
        <w:t>Specific Goal</w:t>
      </w:r>
      <w:r w:rsidRPr="006F28D4">
        <w:t xml:space="preserve"> and Price Evaluation Criteria</w:t>
      </w:r>
      <w:bookmarkEnd w:id="34"/>
      <w:bookmarkEnd w:id="35"/>
      <w:bookmarkEnd w:id="36"/>
      <w:bookmarkEnd w:id="37"/>
    </w:p>
    <w:p w14:paraId="67A614AC" w14:textId="77777777" w:rsidR="00606F19" w:rsidRDefault="00606F19" w:rsidP="00606F19">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69740AFC" w14:textId="77777777" w:rsidR="00606F19" w:rsidRPr="00D93AAA" w:rsidRDefault="00606F19" w:rsidP="00606F19">
      <w:pPr>
        <w:pStyle w:val="Index4"/>
        <w:numPr>
          <w:ilvl w:val="0"/>
          <w:numId w:val="0"/>
        </w:numPr>
        <w:ind w:left="851"/>
      </w:pPr>
    </w:p>
    <w:p w14:paraId="23D65318" w14:textId="77777777" w:rsidR="00606F19" w:rsidRPr="00D93AAA" w:rsidRDefault="00606F19" w:rsidP="00606F19">
      <w:pPr>
        <w:pStyle w:val="Index3"/>
        <w:ind w:left="1211"/>
      </w:pPr>
      <w:bookmarkStart w:id="40" w:name="_Toc125008753"/>
      <w:bookmarkStart w:id="41" w:name="_Toc135389245"/>
      <w:bookmarkStart w:id="42" w:name="_Toc137638302"/>
      <w:bookmarkStart w:id="43" w:name="_Toc171552298"/>
      <w:r w:rsidRPr="00D93AAA">
        <w:t>80/20 preference point system for acquisition of goods or services for Rand value equal to or above R30 000 and up to R50 million</w:t>
      </w:r>
      <w:bookmarkEnd w:id="40"/>
      <w:bookmarkEnd w:id="41"/>
      <w:bookmarkEnd w:id="42"/>
      <w:bookmarkEnd w:id="43"/>
    </w:p>
    <w:p w14:paraId="703E889F" w14:textId="77777777" w:rsidR="00606F19" w:rsidRPr="00D93AAA" w:rsidRDefault="00606F19" w:rsidP="00606F19">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2A0C31DA" w14:textId="77777777" w:rsidR="00606F19" w:rsidRPr="00D93AAA" w:rsidRDefault="00606F19" w:rsidP="00606F19">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Pr="00D93AAA">
        <w:t xml:space="preserve"> </w:t>
      </w:r>
    </w:p>
    <w:p w14:paraId="30E135DD" w14:textId="77777777" w:rsidR="00606F19" w:rsidRPr="00D93AAA" w:rsidRDefault="00606F19" w:rsidP="00606F19">
      <w:pPr>
        <w:pStyle w:val="1Paragraph"/>
      </w:pPr>
      <w:r w:rsidRPr="00D93AAA">
        <w:t>Where-</w:t>
      </w:r>
    </w:p>
    <w:p w14:paraId="4ADC2591" w14:textId="77777777" w:rsidR="00606F19" w:rsidRPr="00D93AAA" w:rsidRDefault="00606F19" w:rsidP="00606F19">
      <w:pPr>
        <w:pStyle w:val="1Paragraph"/>
      </w:pPr>
      <w:r w:rsidRPr="00D93AAA">
        <w:t>Ps</w:t>
      </w:r>
      <w:r w:rsidRPr="00D93AAA">
        <w:tab/>
        <w:t>=</w:t>
      </w:r>
      <w:r w:rsidRPr="00D93AAA">
        <w:tab/>
        <w:t>Points scored for price of tender under consideration</w:t>
      </w:r>
    </w:p>
    <w:p w14:paraId="7A9A140C" w14:textId="77777777" w:rsidR="00606F19" w:rsidRPr="00D93AAA" w:rsidRDefault="00606F19" w:rsidP="00606F19">
      <w:pPr>
        <w:pStyle w:val="1Paragraph"/>
      </w:pPr>
      <w:r w:rsidRPr="00D93AAA">
        <w:t>Pt</w:t>
      </w:r>
      <w:r w:rsidRPr="00D93AAA">
        <w:tab/>
        <w:t>=</w:t>
      </w:r>
      <w:r w:rsidRPr="00D93AAA">
        <w:tab/>
        <w:t>Price of tender under consideration; and</w:t>
      </w:r>
    </w:p>
    <w:p w14:paraId="0400118A" w14:textId="77777777" w:rsidR="00606F19" w:rsidRPr="00D93AAA" w:rsidRDefault="00606F19" w:rsidP="00606F19">
      <w:pPr>
        <w:pStyle w:val="1Paragraph"/>
      </w:pPr>
      <w:proofErr w:type="spellStart"/>
      <w:r w:rsidRPr="00D93AAA">
        <w:t>Pmin</w:t>
      </w:r>
      <w:proofErr w:type="spellEnd"/>
      <w:r w:rsidRPr="00D93AAA">
        <w:tab/>
        <w:t>=</w:t>
      </w:r>
      <w:r w:rsidRPr="00D93AAA">
        <w:tab/>
        <w:t>Price of lowest acceptable tender.</w:t>
      </w:r>
    </w:p>
    <w:p w14:paraId="11AD944E" w14:textId="77777777" w:rsidR="00606F19" w:rsidRPr="00D93AAA" w:rsidRDefault="00606F19" w:rsidP="00606F19">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606F19" w:rsidRPr="00D93AAA" w14:paraId="1B36B40F" w14:textId="77777777" w:rsidTr="00B514C9">
        <w:trPr>
          <w:tblHeader/>
        </w:trPr>
        <w:tc>
          <w:tcPr>
            <w:tcW w:w="4644" w:type="dxa"/>
            <w:shd w:val="clear" w:color="auto" w:fill="E7E6E6" w:themeFill="background2"/>
          </w:tcPr>
          <w:p w14:paraId="4B1F3E84" w14:textId="77777777" w:rsidR="00606F19" w:rsidRPr="00D93AAA" w:rsidRDefault="00606F19" w:rsidP="00B514C9">
            <w:pPr>
              <w:pStyle w:val="1Paragraph"/>
              <w:ind w:left="0"/>
              <w:jc w:val="center"/>
              <w:rPr>
                <w:b/>
              </w:rPr>
            </w:pPr>
            <w:r>
              <w:rPr>
                <w:b/>
              </w:rPr>
              <w:t>Ownership</w:t>
            </w:r>
          </w:p>
        </w:tc>
        <w:tc>
          <w:tcPr>
            <w:tcW w:w="2977" w:type="dxa"/>
            <w:shd w:val="clear" w:color="auto" w:fill="E7E6E6" w:themeFill="background2"/>
          </w:tcPr>
          <w:p w14:paraId="08AE210D" w14:textId="77777777" w:rsidR="00606F19" w:rsidRPr="00D93AAA" w:rsidRDefault="00606F19" w:rsidP="00B514C9">
            <w:pPr>
              <w:pStyle w:val="1Paragraph"/>
              <w:ind w:left="0"/>
              <w:jc w:val="center"/>
              <w:rPr>
                <w:b/>
              </w:rPr>
            </w:pPr>
            <w:r w:rsidRPr="00D93AAA">
              <w:rPr>
                <w:b/>
              </w:rPr>
              <w:t>Number of Points</w:t>
            </w:r>
          </w:p>
        </w:tc>
      </w:tr>
      <w:tr w:rsidR="00606F19" w:rsidRPr="00D93AAA" w14:paraId="5AD9C138" w14:textId="77777777" w:rsidTr="00B514C9">
        <w:trPr>
          <w:trHeight w:val="432"/>
        </w:trPr>
        <w:tc>
          <w:tcPr>
            <w:tcW w:w="4644" w:type="dxa"/>
          </w:tcPr>
          <w:p w14:paraId="1CA6701A" w14:textId="77777777" w:rsidR="00606F19" w:rsidRPr="00D93AAA" w:rsidRDefault="00606F19" w:rsidP="00B514C9">
            <w:pPr>
              <w:pStyle w:val="1Paragraph"/>
              <w:ind w:left="0"/>
              <w:jc w:val="center"/>
            </w:pPr>
            <w:r w:rsidRPr="00D93AAA">
              <w:t>1</w:t>
            </w:r>
            <w:r>
              <w:t>00% black ownership</w:t>
            </w:r>
          </w:p>
        </w:tc>
        <w:tc>
          <w:tcPr>
            <w:tcW w:w="2977" w:type="dxa"/>
          </w:tcPr>
          <w:p w14:paraId="38276851" w14:textId="77777777" w:rsidR="00606F19" w:rsidRPr="00D93AAA" w:rsidRDefault="00606F19" w:rsidP="00B514C9">
            <w:pPr>
              <w:pStyle w:val="1Paragraph"/>
              <w:ind w:left="0"/>
              <w:jc w:val="center"/>
            </w:pPr>
            <w:r w:rsidRPr="00D93AAA">
              <w:t>20</w:t>
            </w:r>
          </w:p>
        </w:tc>
      </w:tr>
      <w:tr w:rsidR="00606F19" w:rsidRPr="00D93AAA" w14:paraId="537E4B0E" w14:textId="77777777" w:rsidTr="00B514C9">
        <w:trPr>
          <w:trHeight w:val="432"/>
        </w:trPr>
        <w:tc>
          <w:tcPr>
            <w:tcW w:w="4644" w:type="dxa"/>
          </w:tcPr>
          <w:p w14:paraId="6ED65A5B" w14:textId="77777777" w:rsidR="00606F19" w:rsidRPr="00D93AAA" w:rsidRDefault="00606F19" w:rsidP="00B514C9">
            <w:pPr>
              <w:pStyle w:val="1Paragraph"/>
              <w:ind w:left="0"/>
              <w:jc w:val="center"/>
            </w:pPr>
            <w:r>
              <w:t>At least more than 51% black ownership</w:t>
            </w:r>
          </w:p>
        </w:tc>
        <w:tc>
          <w:tcPr>
            <w:tcW w:w="2977" w:type="dxa"/>
          </w:tcPr>
          <w:p w14:paraId="30554D2C" w14:textId="77777777" w:rsidR="00606F19" w:rsidRPr="00D93AAA" w:rsidRDefault="00606F19" w:rsidP="00B514C9">
            <w:pPr>
              <w:pStyle w:val="1Paragraph"/>
              <w:ind w:left="0"/>
              <w:jc w:val="center"/>
            </w:pPr>
            <w:r>
              <w:t>15</w:t>
            </w:r>
          </w:p>
        </w:tc>
      </w:tr>
      <w:tr w:rsidR="00606F19" w:rsidRPr="00D93AAA" w14:paraId="349E53C0" w14:textId="77777777" w:rsidTr="00B514C9">
        <w:trPr>
          <w:trHeight w:val="432"/>
        </w:trPr>
        <w:tc>
          <w:tcPr>
            <w:tcW w:w="4644" w:type="dxa"/>
          </w:tcPr>
          <w:p w14:paraId="2F122929" w14:textId="77777777" w:rsidR="00606F19" w:rsidRPr="00D93AAA" w:rsidRDefault="00606F19" w:rsidP="00B514C9">
            <w:pPr>
              <w:pStyle w:val="1Paragraph"/>
              <w:ind w:left="0"/>
              <w:jc w:val="center"/>
            </w:pPr>
            <w:r>
              <w:t>Less than 51 % black owned but more than 40% black ownership.</w:t>
            </w:r>
          </w:p>
        </w:tc>
        <w:tc>
          <w:tcPr>
            <w:tcW w:w="2977" w:type="dxa"/>
          </w:tcPr>
          <w:p w14:paraId="66C1D1E6" w14:textId="77777777" w:rsidR="00606F19" w:rsidRPr="00D93AAA" w:rsidRDefault="00606F19" w:rsidP="00B514C9">
            <w:pPr>
              <w:pStyle w:val="1Paragraph"/>
              <w:ind w:left="0"/>
              <w:jc w:val="center"/>
            </w:pPr>
            <w:r>
              <w:t>10</w:t>
            </w:r>
          </w:p>
        </w:tc>
      </w:tr>
      <w:tr w:rsidR="00606F19" w:rsidRPr="00D93AAA" w14:paraId="5337A55C" w14:textId="77777777" w:rsidTr="00B514C9">
        <w:trPr>
          <w:trHeight w:val="432"/>
        </w:trPr>
        <w:tc>
          <w:tcPr>
            <w:tcW w:w="4644" w:type="dxa"/>
          </w:tcPr>
          <w:p w14:paraId="38FFB582" w14:textId="77777777" w:rsidR="00606F19" w:rsidRDefault="00606F19" w:rsidP="00B514C9">
            <w:pPr>
              <w:pStyle w:val="1Paragraph"/>
              <w:ind w:left="0"/>
              <w:jc w:val="center"/>
            </w:pPr>
            <w:r>
              <w:t>Less than 40% black ownership and more than 0% black ownership.</w:t>
            </w:r>
          </w:p>
        </w:tc>
        <w:tc>
          <w:tcPr>
            <w:tcW w:w="2977" w:type="dxa"/>
          </w:tcPr>
          <w:p w14:paraId="44E2FE03" w14:textId="77777777" w:rsidR="00606F19" w:rsidRDefault="00606F19" w:rsidP="00B514C9">
            <w:pPr>
              <w:pStyle w:val="1Paragraph"/>
              <w:ind w:left="0"/>
              <w:jc w:val="center"/>
            </w:pPr>
            <w:r>
              <w:t>05</w:t>
            </w:r>
          </w:p>
        </w:tc>
      </w:tr>
      <w:tr w:rsidR="00606F19" w:rsidRPr="00D93AAA" w14:paraId="4E8C1C21" w14:textId="77777777" w:rsidTr="00B514C9">
        <w:trPr>
          <w:trHeight w:val="432"/>
        </w:trPr>
        <w:tc>
          <w:tcPr>
            <w:tcW w:w="4644" w:type="dxa"/>
          </w:tcPr>
          <w:p w14:paraId="18CFA652" w14:textId="77777777" w:rsidR="00606F19" w:rsidRPr="00D93AAA" w:rsidRDefault="00606F19" w:rsidP="00B514C9">
            <w:pPr>
              <w:pStyle w:val="1Paragraph"/>
              <w:ind w:left="0"/>
              <w:jc w:val="center"/>
            </w:pPr>
            <w:r>
              <w:t xml:space="preserve">0% black ownership </w:t>
            </w:r>
          </w:p>
        </w:tc>
        <w:tc>
          <w:tcPr>
            <w:tcW w:w="2977" w:type="dxa"/>
          </w:tcPr>
          <w:p w14:paraId="712C60D7" w14:textId="77777777" w:rsidR="00606F19" w:rsidRPr="00D93AAA" w:rsidRDefault="00606F19" w:rsidP="00B514C9">
            <w:pPr>
              <w:pStyle w:val="1Paragraph"/>
              <w:ind w:left="0"/>
              <w:jc w:val="center"/>
            </w:pPr>
            <w:r>
              <w:t>0</w:t>
            </w:r>
          </w:p>
        </w:tc>
      </w:tr>
    </w:tbl>
    <w:p w14:paraId="701FF9EC" w14:textId="77777777" w:rsidR="00606F19" w:rsidRPr="00D93AAA" w:rsidRDefault="00606F19" w:rsidP="00606F19">
      <w:pPr>
        <w:pStyle w:val="Index4"/>
        <w:numPr>
          <w:ilvl w:val="3"/>
          <w:numId w:val="17"/>
        </w:numPr>
      </w:pPr>
      <w:r w:rsidRPr="00D93AAA">
        <w:t>A tenderer must submit proof of its B-BBEE status level of contributor</w:t>
      </w:r>
      <w:r>
        <w:t xml:space="preserve"> (Specific goal)</w:t>
      </w:r>
      <w:r w:rsidRPr="00D93AAA">
        <w:t>.</w:t>
      </w:r>
    </w:p>
    <w:p w14:paraId="15C3CE12" w14:textId="77777777" w:rsidR="00606F19" w:rsidRPr="00D93AAA" w:rsidRDefault="00606F19" w:rsidP="00606F19">
      <w:pPr>
        <w:pStyle w:val="Index4"/>
        <w:numPr>
          <w:ilvl w:val="3"/>
          <w:numId w:val="17"/>
        </w:numPr>
      </w:pPr>
      <w:r w:rsidRPr="00D93AAA">
        <w:t xml:space="preserve">A tenderer failing to submit proof of </w:t>
      </w:r>
      <w:r>
        <w:t>specific goal,</w:t>
      </w:r>
      <w:r w:rsidRPr="00D93AAA">
        <w:t xml:space="preserve"> may not be disqualified, but:</w:t>
      </w:r>
    </w:p>
    <w:p w14:paraId="13C53B6B" w14:textId="77777777" w:rsidR="00606F19" w:rsidRPr="00FF1570" w:rsidRDefault="00606F19" w:rsidP="00606F19">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1085382A" w14:textId="77777777" w:rsidR="00606F19" w:rsidRPr="00D93AAA" w:rsidRDefault="00606F19" w:rsidP="00606F19">
      <w:pPr>
        <w:pStyle w:val="Index5"/>
        <w:numPr>
          <w:ilvl w:val="4"/>
          <w:numId w:val="17"/>
        </w:numPr>
      </w:pPr>
      <w:r w:rsidRPr="00D93AAA">
        <w:t xml:space="preserve">Score 0 points out of 20 for </w:t>
      </w:r>
      <w:r>
        <w:t>specific goal</w:t>
      </w:r>
    </w:p>
    <w:p w14:paraId="61C850E3" w14:textId="77777777" w:rsidR="00606F19" w:rsidRPr="00D93AAA" w:rsidRDefault="00606F19" w:rsidP="00606F19">
      <w:pPr>
        <w:pStyle w:val="Index4"/>
        <w:numPr>
          <w:ilvl w:val="3"/>
          <w:numId w:val="17"/>
        </w:numPr>
      </w:pPr>
      <w:r w:rsidRPr="00D93AAA">
        <w:t xml:space="preserve">The points scored by a tenderer for </w:t>
      </w:r>
      <w:r>
        <w:t xml:space="preserve">a specific goal must be added to the points scored for </w:t>
      </w:r>
      <w:r>
        <w:lastRenderedPageBreak/>
        <w:t>price and the total must be rounded off to the nearest two decimal places.</w:t>
      </w:r>
    </w:p>
    <w:p w14:paraId="5CD4060E" w14:textId="77777777" w:rsidR="00606F19" w:rsidRPr="003D5E89" w:rsidRDefault="00606F19" w:rsidP="00606F19">
      <w:pPr>
        <w:pStyle w:val="Index4"/>
        <w:numPr>
          <w:ilvl w:val="3"/>
          <w:numId w:val="17"/>
        </w:numPr>
      </w:pPr>
      <w:r w:rsidRPr="003D5E89">
        <w:t xml:space="preserve">Subject to sub regulation </w:t>
      </w:r>
      <w:r w:rsidRPr="00A866F0">
        <w:t>4(4),</w:t>
      </w:r>
      <w:r w:rsidRPr="003D5E89">
        <w:t xml:space="preserve"> the contract must be awarded to the tenderer scoring the highest points.</w:t>
      </w:r>
    </w:p>
    <w:p w14:paraId="4CF92F03" w14:textId="77777777" w:rsidR="00606F19" w:rsidRPr="003D5E89" w:rsidRDefault="00606F19" w:rsidP="00606F19">
      <w:pPr>
        <w:pStyle w:val="Index4"/>
        <w:numPr>
          <w:ilvl w:val="3"/>
          <w:numId w:val="17"/>
        </w:numPr>
      </w:pPr>
      <w:r w:rsidRPr="003D5E89">
        <w:t>If the price offered by a tenderer scoring the highest points is not market-related, the organ of state may not award the contract to that tenderer.</w:t>
      </w:r>
    </w:p>
    <w:p w14:paraId="0E8D5D76" w14:textId="77777777" w:rsidR="00606F19" w:rsidRPr="00D93AAA" w:rsidRDefault="00606F19" w:rsidP="00606F19">
      <w:pPr>
        <w:pStyle w:val="Index4"/>
        <w:numPr>
          <w:ilvl w:val="3"/>
          <w:numId w:val="17"/>
        </w:numPr>
      </w:pPr>
      <w:r w:rsidRPr="00D93AAA">
        <w:t>The organs of state may:</w:t>
      </w:r>
    </w:p>
    <w:p w14:paraId="60472366" w14:textId="77777777" w:rsidR="00606F19" w:rsidRPr="00D93AAA" w:rsidRDefault="00606F19" w:rsidP="00606F19">
      <w:pPr>
        <w:pStyle w:val="Index5"/>
        <w:numPr>
          <w:ilvl w:val="4"/>
          <w:numId w:val="17"/>
        </w:numPr>
      </w:pPr>
      <w:r w:rsidRPr="00D93AAA">
        <w:t>Negotiate a market-related price with the tenderer scoring the highest points or cancel the tender;</w:t>
      </w:r>
    </w:p>
    <w:p w14:paraId="2425EE5A" w14:textId="77777777" w:rsidR="00606F19" w:rsidRPr="00D93AAA" w:rsidRDefault="00606F19" w:rsidP="00606F19">
      <w:pPr>
        <w:pStyle w:val="Index5"/>
        <w:numPr>
          <w:ilvl w:val="4"/>
          <w:numId w:val="17"/>
        </w:numPr>
      </w:pPr>
      <w:r w:rsidRPr="00D93AAA">
        <w:t>If the tenderer does not agree to a market-related price, negotiate a market-related price with the tenderer scoring the second highest points or cancel the tender;</w:t>
      </w:r>
    </w:p>
    <w:p w14:paraId="5E35B48E" w14:textId="77777777" w:rsidR="00606F19" w:rsidRPr="00D93AAA" w:rsidRDefault="00606F19" w:rsidP="00606F19">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4D5C9ED3" w14:textId="77777777" w:rsidR="00606F19" w:rsidRDefault="00606F19" w:rsidP="00606F19">
      <w:pPr>
        <w:pStyle w:val="Index5"/>
        <w:numPr>
          <w:ilvl w:val="4"/>
          <w:numId w:val="17"/>
        </w:numPr>
      </w:pPr>
      <w:r w:rsidRPr="00D93AAA">
        <w:t>If a market-related price is still not agreed the organ of state must cancel the tender.</w:t>
      </w:r>
      <w:bookmarkEnd w:id="38"/>
      <w:bookmarkEnd w:id="39"/>
    </w:p>
    <w:p w14:paraId="4DB16191" w14:textId="77777777" w:rsidR="009457DF" w:rsidRDefault="009457DF" w:rsidP="009457DF">
      <w:pPr>
        <w:pStyle w:val="1Paragraph"/>
      </w:pPr>
    </w:p>
    <w:p w14:paraId="28F8CC7F" w14:textId="77777777" w:rsidR="009457DF" w:rsidRDefault="009457DF" w:rsidP="009457DF">
      <w:pPr>
        <w:pStyle w:val="1Paragraph"/>
      </w:pPr>
    </w:p>
    <w:p w14:paraId="6BC9EF4A" w14:textId="77777777" w:rsidR="009457DF" w:rsidRDefault="009457DF" w:rsidP="009457DF">
      <w:pPr>
        <w:pStyle w:val="1Paragraph"/>
      </w:pPr>
    </w:p>
    <w:p w14:paraId="3CEDCAD7" w14:textId="77777777" w:rsidR="009457DF" w:rsidRDefault="009457DF" w:rsidP="009457DF">
      <w:pPr>
        <w:pStyle w:val="1Paragraph"/>
      </w:pPr>
    </w:p>
    <w:p w14:paraId="098B75BF" w14:textId="77777777" w:rsidR="009457DF" w:rsidRDefault="009457DF" w:rsidP="009457DF">
      <w:pPr>
        <w:pStyle w:val="1Paragraph"/>
      </w:pPr>
    </w:p>
    <w:p w14:paraId="4630D97B" w14:textId="77777777" w:rsidR="00EE5C88" w:rsidRDefault="00EE5C88" w:rsidP="009457DF">
      <w:pPr>
        <w:pStyle w:val="1Paragraph"/>
      </w:pPr>
    </w:p>
    <w:p w14:paraId="5B142D42" w14:textId="77777777" w:rsidR="009457DF" w:rsidRDefault="009457DF" w:rsidP="009457DF">
      <w:pPr>
        <w:pStyle w:val="1Paragraph"/>
      </w:pPr>
    </w:p>
    <w:p w14:paraId="30191432" w14:textId="77777777" w:rsidR="009457DF" w:rsidRDefault="009457DF" w:rsidP="009457DF">
      <w:pPr>
        <w:pStyle w:val="1Paragraph"/>
      </w:pPr>
    </w:p>
    <w:p w14:paraId="4D288620" w14:textId="77777777" w:rsidR="009457DF" w:rsidRDefault="009457DF" w:rsidP="009457DF">
      <w:pPr>
        <w:pStyle w:val="1Paragraph"/>
      </w:pPr>
    </w:p>
    <w:p w14:paraId="26AE49CD" w14:textId="77777777" w:rsidR="009457DF" w:rsidRPr="00D36F9C" w:rsidRDefault="009457DF" w:rsidP="009457DF">
      <w:pPr>
        <w:pStyle w:val="1Paragraph"/>
      </w:pPr>
    </w:p>
    <w:p w14:paraId="0751FE97" w14:textId="77777777" w:rsidR="0058701E" w:rsidRDefault="0058701E" w:rsidP="00DA39DC">
      <w:pPr>
        <w:pStyle w:val="Index1"/>
      </w:pPr>
      <w:bookmarkStart w:id="44" w:name="_Toc494699131"/>
      <w:bookmarkEnd w:id="44"/>
    </w:p>
    <w:p w14:paraId="6FA09469" w14:textId="77777777" w:rsidR="00DA39DC" w:rsidRPr="00C95C94" w:rsidRDefault="00DA39DC" w:rsidP="00B87D31">
      <w:pPr>
        <w:pStyle w:val="Index2"/>
        <w:numPr>
          <w:ilvl w:val="1"/>
          <w:numId w:val="13"/>
        </w:numPr>
      </w:pPr>
      <w:bookmarkStart w:id="45" w:name="_Toc494699132"/>
      <w:r w:rsidRPr="00C95C94">
        <w:t>Returnable documents</w:t>
      </w:r>
      <w:r w:rsidR="00292449" w:rsidRPr="00C95C94">
        <w:t xml:space="preserve"> C</w:t>
      </w:r>
      <w:r w:rsidR="002D3216" w:rsidRPr="00C95C94">
        <w:t>hecklist</w:t>
      </w:r>
      <w:bookmarkEnd w:id="45"/>
    </w:p>
    <w:p w14:paraId="7E6A6AC4" w14:textId="77777777" w:rsidR="00DA39DC" w:rsidRDefault="00DA39DC" w:rsidP="002D3216">
      <w:pPr>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r w:rsidR="00C95C94" w:rsidRPr="00C95C94">
        <w:rPr>
          <w:color w:val="FF0000"/>
          <w:highlight w:val="yellow"/>
        </w:rPr>
        <w:t xml:space="preserve"> </w:t>
      </w:r>
    </w:p>
    <w:p w14:paraId="538ECD53" w14:textId="77777777" w:rsidR="002D3216" w:rsidRDefault="002D3216" w:rsidP="002E3842">
      <w:pPr>
        <w:pStyle w:val="Index3"/>
      </w:pPr>
      <w:bookmarkStart w:id="46" w:name="_Toc494699133"/>
      <w:r>
        <w:t>Mandatory Documents</w:t>
      </w:r>
      <w:bookmarkEnd w:id="46"/>
    </w:p>
    <w:p w14:paraId="2867C730" w14:textId="77777777" w:rsidR="002D3216" w:rsidRDefault="00FD62D7" w:rsidP="00844159">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(Annexure A)</w:t>
      </w:r>
    </w:p>
    <w:p w14:paraId="305154B4" w14:textId="77777777" w:rsidR="002D3216" w:rsidRDefault="00FD62D7" w:rsidP="00844159">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3B2B562E" w14:textId="77777777" w:rsidR="002D3216" w:rsidRDefault="00FD62D7" w:rsidP="00844159">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089605EB" w14:textId="77777777" w:rsidR="002D3216" w:rsidRDefault="00FD62D7" w:rsidP="00844159">
      <w:pPr>
        <w:pStyle w:val="Index4"/>
      </w:pPr>
      <w:sdt>
        <w:sdtPr>
          <w:id w:val="539559154"/>
        </w:sdtPr>
        <w:sdtContent>
          <w:r w:rsidR="00C95C94">
            <w:rPr>
              <w:rFonts w:ascii="MS Gothic" w:eastAsia="MS Gothic" w:hAnsi="MS Gothic" w:hint="eastAsia"/>
            </w:rPr>
            <w:t>☐</w:t>
          </w:r>
        </w:sdtContent>
      </w:sdt>
      <w:r w:rsidR="00C95C94">
        <w:t xml:space="preserve"> </w:t>
      </w:r>
      <w:r w:rsidR="002D3216" w:rsidRPr="002D3216">
        <w:t>Compensation for Occupational Injuries and Diseases Act (COIDA).</w:t>
      </w:r>
    </w:p>
    <w:p w14:paraId="7E6DCEBA" w14:textId="77777777" w:rsidR="00D16A98" w:rsidRDefault="00FD62D7" w:rsidP="00135FAB">
      <w:pPr>
        <w:pStyle w:val="Index4"/>
      </w:pPr>
      <w:sdt>
        <w:sdtPr>
          <w:id w:val="660047314"/>
        </w:sdtPr>
        <w:sdtContent>
          <w:r w:rsidR="00D16A98">
            <w:rPr>
              <w:rFonts w:ascii="MS Gothic" w:eastAsia="MS Gothic" w:hAnsi="MS Gothic" w:hint="eastAsia"/>
            </w:rPr>
            <w:t>☐</w:t>
          </w:r>
        </w:sdtContent>
      </w:sdt>
      <w:r w:rsidR="00D16A98" w:rsidRPr="00D16A98">
        <w:t xml:space="preserve"> Proof of availability of appropriate vehicle/s to enable delivery of coal to Necsa site to deliver a mini</w:t>
      </w:r>
      <w:r w:rsidR="009457DF">
        <w:t>mum of 30 tons of coal to</w:t>
      </w:r>
      <w:r w:rsidR="00D16A98" w:rsidRPr="00D16A98">
        <w:t xml:space="preserve"> Necsa on a weekly basis Certified copies of vehicle registration certificates must be </w:t>
      </w:r>
      <w:r w:rsidR="009457DF" w:rsidRPr="00D16A98">
        <w:t>attached. If</w:t>
      </w:r>
      <w:r w:rsidR="00D16A98" w:rsidRPr="00D16A98">
        <w:t xml:space="preserve"> the vehicles do not belong to the company or </w:t>
      </w:r>
      <w:r w:rsidR="00D16A98" w:rsidRPr="00D16A98">
        <w:lastRenderedPageBreak/>
        <w:t xml:space="preserve">any of the </w:t>
      </w:r>
      <w:r w:rsidR="009457DF" w:rsidRPr="00D16A98">
        <w:t>directors, a</w:t>
      </w:r>
      <w:r w:rsidR="00D16A98" w:rsidRPr="00D16A98">
        <w:t xml:space="preserve"> letter of intent to enter into a vehicle leasing contract should be attached.</w:t>
      </w:r>
    </w:p>
    <w:p w14:paraId="55A0A4EA" w14:textId="77777777" w:rsidR="00D16A98" w:rsidRDefault="00FD62D7" w:rsidP="00D16A98">
      <w:pPr>
        <w:pStyle w:val="Index4"/>
      </w:pPr>
      <w:sdt>
        <w:sdtPr>
          <w:id w:val="-1363364285"/>
        </w:sdtPr>
        <w:sdtContent>
          <w:r w:rsidR="00D16A98">
            <w:rPr>
              <w:rFonts w:ascii="MS Gothic" w:eastAsia="MS Gothic" w:hAnsi="MS Gothic" w:hint="eastAsia"/>
            </w:rPr>
            <w:t>☐</w:t>
          </w:r>
        </w:sdtContent>
      </w:sdt>
      <w:r w:rsidR="00D16A98" w:rsidRPr="00D16A98">
        <w:t xml:space="preserve"> Proof of calibration of the weigh bridge.</w:t>
      </w:r>
    </w:p>
    <w:p w14:paraId="0EE37BDA" w14:textId="77777777" w:rsidR="00D16A98" w:rsidRDefault="00D16A98" w:rsidP="00D16A98">
      <w:pPr>
        <w:pStyle w:val="Index4"/>
      </w:pPr>
      <w:r w:rsidRPr="00D16A98">
        <w:rPr>
          <w:rFonts w:ascii="MS Gothic" w:eastAsia="MS Gothic" w:hAnsi="MS Gothic" w:cs="MS Gothic" w:hint="eastAsia"/>
        </w:rPr>
        <w:t>☐</w:t>
      </w:r>
      <w:r w:rsidRPr="00D16A98">
        <w:t xml:space="preserve"> </w:t>
      </w:r>
      <w:r>
        <w:t xml:space="preserve">Proof of agreement with the source mine </w:t>
      </w:r>
    </w:p>
    <w:p w14:paraId="481321AD" w14:textId="77777777" w:rsidR="00D16A98" w:rsidRDefault="00FD62D7" w:rsidP="00D16A98">
      <w:pPr>
        <w:pStyle w:val="Index4"/>
      </w:pPr>
      <w:sdt>
        <w:sdtPr>
          <w:id w:val="-1495876568"/>
        </w:sdtPr>
        <w:sdtContent>
          <w:r w:rsidR="00135FAB">
            <w:rPr>
              <w:rFonts w:ascii="MS Gothic" w:eastAsia="MS Gothic" w:hAnsi="MS Gothic" w:hint="eastAsia"/>
            </w:rPr>
            <w:t>☐</w:t>
          </w:r>
        </w:sdtContent>
      </w:sdt>
      <w:r w:rsidR="00135FAB">
        <w:t xml:space="preserve"> </w:t>
      </w:r>
      <w:r w:rsidR="00D16A98">
        <w:t>Proof that the mine is registered with the Department of Minerals.</w:t>
      </w:r>
    </w:p>
    <w:p w14:paraId="20FFCEA1" w14:textId="77777777" w:rsidR="00D16A98" w:rsidRPr="002D3216" w:rsidRDefault="00FD62D7" w:rsidP="00D16A98">
      <w:pPr>
        <w:pStyle w:val="Index4"/>
      </w:pPr>
      <w:sdt>
        <w:sdtPr>
          <w:id w:val="-959343637"/>
        </w:sdtPr>
        <w:sdtContent>
          <w:r w:rsidR="009457DF">
            <w:rPr>
              <w:rFonts w:ascii="MS Gothic" w:eastAsia="MS Gothic" w:hAnsi="MS Gothic" w:hint="eastAsia"/>
            </w:rPr>
            <w:t>☐</w:t>
          </w:r>
        </w:sdtContent>
      </w:sdt>
      <w:r w:rsidR="009457DF">
        <w:t xml:space="preserve"> </w:t>
      </w:r>
      <w:r w:rsidR="00D16A98">
        <w:t>Coal mine certificate for the quality and specification of the coal to be delivered to Necsa.</w:t>
      </w:r>
    </w:p>
    <w:p w14:paraId="10A6B5BB" w14:textId="77777777" w:rsidR="002D3216" w:rsidRDefault="002D3216" w:rsidP="002E3842">
      <w:pPr>
        <w:pStyle w:val="Index3"/>
      </w:pPr>
      <w:bookmarkStart w:id="47" w:name="_Toc494699134"/>
      <w:r>
        <w:t>Price</w:t>
      </w:r>
      <w:bookmarkEnd w:id="47"/>
    </w:p>
    <w:p w14:paraId="66968619" w14:textId="77777777" w:rsidR="002D3216" w:rsidRDefault="00FD62D7" w:rsidP="00844159">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37A34BA4" w14:textId="77777777" w:rsidR="002D3216" w:rsidRDefault="002D3216" w:rsidP="002E3842">
      <w:pPr>
        <w:pStyle w:val="Index3"/>
      </w:pPr>
      <w:bookmarkStart w:id="48" w:name="_Toc494699135"/>
      <w:r>
        <w:t>Compliance Documents</w:t>
      </w:r>
      <w:bookmarkEnd w:id="48"/>
    </w:p>
    <w:p w14:paraId="0E99B543" w14:textId="77777777" w:rsidR="002D3216" w:rsidRDefault="00FD62D7" w:rsidP="00844159">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39CB8748" w14:textId="77777777" w:rsidR="002D3216" w:rsidRDefault="00FD62D7" w:rsidP="00844159">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5011BAFC" w14:textId="77777777" w:rsidR="002D3216" w:rsidRDefault="00FD62D7" w:rsidP="00844159">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533F299E" w14:textId="51EB8D4D" w:rsidR="002D3216" w:rsidRDefault="00FD62D7" w:rsidP="00844159">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w:t>
      </w:r>
      <w:r w:rsidR="00606F19">
        <w:t>22</w:t>
      </w:r>
      <w:r w:rsidR="002D3216">
        <w:t>.</w:t>
      </w:r>
    </w:p>
    <w:p w14:paraId="771BFF05" w14:textId="77777777" w:rsidR="002D3216" w:rsidRDefault="00FD62D7" w:rsidP="00844159">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Good/Works.</w:t>
      </w:r>
    </w:p>
    <w:p w14:paraId="081360ED" w14:textId="77777777" w:rsidR="002D3216" w:rsidRDefault="00FD62D7" w:rsidP="00844159">
      <w:pPr>
        <w:pStyle w:val="Index4"/>
      </w:pPr>
      <w:sdt>
        <w:sdtPr>
          <w:id w:val="-146586753"/>
        </w:sdtPr>
        <w:sdtContent>
          <w:r w:rsidR="00C95C94">
            <w:rPr>
              <w:rFonts w:ascii="MS Gothic" w:eastAsia="MS Gothic" w:hAnsi="MS Gothic" w:hint="eastAsia"/>
            </w:rPr>
            <w:t>☐</w:t>
          </w:r>
        </w:sdtContent>
      </w:sdt>
      <w:r w:rsidR="00C95C94">
        <w:t xml:space="preserve"> </w:t>
      </w:r>
      <w:r w:rsidR="002D3216">
        <w:t>Necsa Terms and Conditions of Contract.</w:t>
      </w:r>
    </w:p>
    <w:p w14:paraId="6A7A0C2F" w14:textId="77777777" w:rsidR="002D3216" w:rsidRDefault="00FD62D7" w:rsidP="00844159">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673247BB" w14:textId="77777777" w:rsidR="002D3216" w:rsidRDefault="00FD62D7" w:rsidP="00844159">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0EF6B6EA" w14:textId="77777777" w:rsidR="00DA39DC" w:rsidRDefault="00FD62D7" w:rsidP="00844159">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29D3EAA7" w14:textId="77777777" w:rsidR="005565CF" w:rsidRDefault="005565CF" w:rsidP="002E3842">
      <w:pPr>
        <w:pStyle w:val="Index3"/>
        <w:numPr>
          <w:ilvl w:val="0"/>
          <w:numId w:val="0"/>
        </w:numPr>
        <w:ind w:left="851"/>
      </w:pPr>
    </w:p>
    <w:p w14:paraId="41DDD29F" w14:textId="77777777" w:rsidR="00E67CB6" w:rsidRPr="005565CF" w:rsidRDefault="00E67CB6" w:rsidP="005565CF">
      <w:pPr>
        <w:pStyle w:val="1Paragraph"/>
      </w:pPr>
    </w:p>
    <w:p w14:paraId="75E60250" w14:textId="77777777" w:rsidR="003B0F32" w:rsidRPr="00F02CA8" w:rsidRDefault="00DA39DC" w:rsidP="00B87D31">
      <w:pPr>
        <w:pStyle w:val="Index2"/>
      </w:pPr>
      <w:bookmarkStart w:id="49" w:name="_Toc494699136"/>
      <w:r w:rsidRPr="00F02CA8">
        <w:t>B</w:t>
      </w:r>
      <w:r w:rsidR="00F616A4">
        <w:t>idder</w:t>
      </w:r>
      <w:r w:rsidRPr="00F02CA8">
        <w:t xml:space="preserve"> I</w:t>
      </w:r>
      <w:r w:rsidR="00F616A4">
        <w:t>nformation</w:t>
      </w:r>
      <w:bookmarkEnd w:id="49"/>
    </w:p>
    <w:p w14:paraId="13F3AE20"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70AD0E79" w14:textId="77777777" w:rsidTr="00DA39DC">
        <w:trPr>
          <w:trHeight w:val="502"/>
        </w:trPr>
        <w:tc>
          <w:tcPr>
            <w:tcW w:w="5000" w:type="pct"/>
            <w:gridSpan w:val="2"/>
            <w:shd w:val="clear" w:color="auto" w:fill="ECE8D3"/>
            <w:vAlign w:val="center"/>
          </w:tcPr>
          <w:p w14:paraId="066BCD3B" w14:textId="77777777" w:rsidR="00DA39DC" w:rsidRPr="00DA39DC" w:rsidRDefault="00DA39DC" w:rsidP="00DA39DC">
            <w:pPr>
              <w:spacing w:before="40" w:after="40"/>
              <w:rPr>
                <w:b/>
                <w:sz w:val="20"/>
              </w:rPr>
            </w:pPr>
            <w:r w:rsidRPr="00DA39DC">
              <w:rPr>
                <w:b/>
                <w:sz w:val="20"/>
              </w:rPr>
              <w:t>BIDDER INFORMATION</w:t>
            </w:r>
          </w:p>
        </w:tc>
      </w:tr>
      <w:tr w:rsidR="00DA39DC" w:rsidRPr="00DA39DC" w14:paraId="2AB2639D" w14:textId="77777777" w:rsidTr="00DA39DC">
        <w:trPr>
          <w:trHeight w:val="502"/>
        </w:trPr>
        <w:tc>
          <w:tcPr>
            <w:tcW w:w="1470" w:type="pct"/>
            <w:vAlign w:val="center"/>
          </w:tcPr>
          <w:p w14:paraId="3A112115"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3E2EF679" w14:textId="77777777" w:rsidR="00DA39DC" w:rsidRPr="00DA39DC" w:rsidRDefault="00DA39DC" w:rsidP="00DA39DC">
            <w:pPr>
              <w:spacing w:before="40" w:after="40"/>
              <w:rPr>
                <w:sz w:val="20"/>
              </w:rPr>
            </w:pPr>
          </w:p>
        </w:tc>
      </w:tr>
      <w:tr w:rsidR="00DA39DC" w:rsidRPr="00DA39DC" w14:paraId="45016726" w14:textId="77777777" w:rsidTr="00DA39DC">
        <w:trPr>
          <w:trHeight w:val="539"/>
        </w:trPr>
        <w:tc>
          <w:tcPr>
            <w:tcW w:w="1470" w:type="pct"/>
            <w:vAlign w:val="center"/>
          </w:tcPr>
          <w:p w14:paraId="18A447D8"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7164D9B8" w14:textId="77777777" w:rsidR="00DA39DC" w:rsidRPr="00DA39DC" w:rsidRDefault="00DA39DC" w:rsidP="00DA39DC">
            <w:pPr>
              <w:spacing w:before="40" w:after="40"/>
              <w:rPr>
                <w:sz w:val="20"/>
              </w:rPr>
            </w:pPr>
          </w:p>
        </w:tc>
      </w:tr>
      <w:tr w:rsidR="00DA39DC" w:rsidRPr="00DA39DC" w14:paraId="61144B4A" w14:textId="77777777" w:rsidTr="00DA39DC">
        <w:trPr>
          <w:trHeight w:val="502"/>
        </w:trPr>
        <w:tc>
          <w:tcPr>
            <w:tcW w:w="1470" w:type="pct"/>
            <w:vAlign w:val="center"/>
          </w:tcPr>
          <w:p w14:paraId="61DEE7A8"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3F6A037B" w14:textId="77777777" w:rsidR="00DA39DC" w:rsidRPr="00DA39DC" w:rsidRDefault="00DA39DC" w:rsidP="00DA39DC">
            <w:pPr>
              <w:spacing w:before="40" w:after="40"/>
              <w:rPr>
                <w:sz w:val="20"/>
              </w:rPr>
            </w:pPr>
          </w:p>
        </w:tc>
      </w:tr>
      <w:tr w:rsidR="00DA39DC" w:rsidRPr="00DA39DC" w14:paraId="2F293279" w14:textId="77777777" w:rsidTr="00DA39DC">
        <w:trPr>
          <w:trHeight w:val="1041"/>
        </w:trPr>
        <w:tc>
          <w:tcPr>
            <w:tcW w:w="1470" w:type="pct"/>
            <w:vAlign w:val="center"/>
          </w:tcPr>
          <w:p w14:paraId="62994C45"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2E0FCC9B" w14:textId="77777777" w:rsidR="00DA39DC" w:rsidRPr="00DA39DC" w:rsidRDefault="00DA39DC" w:rsidP="00DA39DC">
            <w:pPr>
              <w:spacing w:before="40" w:after="40"/>
              <w:rPr>
                <w:sz w:val="20"/>
              </w:rPr>
            </w:pPr>
          </w:p>
        </w:tc>
      </w:tr>
      <w:tr w:rsidR="00DA39DC" w:rsidRPr="00DA39DC" w14:paraId="4D2892A1" w14:textId="77777777" w:rsidTr="00DA39DC">
        <w:trPr>
          <w:trHeight w:val="502"/>
        </w:trPr>
        <w:tc>
          <w:tcPr>
            <w:tcW w:w="1470" w:type="pct"/>
            <w:vAlign w:val="center"/>
          </w:tcPr>
          <w:p w14:paraId="5A820F7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4A983B52" w14:textId="77777777" w:rsidR="00DA39DC" w:rsidRPr="00DA39DC" w:rsidRDefault="00DA39DC" w:rsidP="00DA39DC">
            <w:pPr>
              <w:spacing w:before="40" w:after="40"/>
              <w:rPr>
                <w:sz w:val="20"/>
              </w:rPr>
            </w:pPr>
          </w:p>
        </w:tc>
      </w:tr>
      <w:tr w:rsidR="00DA39DC" w:rsidRPr="00DA39DC" w14:paraId="7138E0BE" w14:textId="77777777" w:rsidTr="00DA39DC">
        <w:trPr>
          <w:trHeight w:val="539"/>
        </w:trPr>
        <w:tc>
          <w:tcPr>
            <w:tcW w:w="1470" w:type="pct"/>
            <w:vAlign w:val="center"/>
          </w:tcPr>
          <w:p w14:paraId="288DFC29"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6A0F8A48" w14:textId="77777777" w:rsidR="00DA39DC" w:rsidRPr="00DA39DC" w:rsidRDefault="00DA39DC" w:rsidP="00DA39DC">
            <w:pPr>
              <w:spacing w:before="40" w:after="40"/>
              <w:rPr>
                <w:sz w:val="20"/>
              </w:rPr>
            </w:pPr>
          </w:p>
        </w:tc>
      </w:tr>
      <w:tr w:rsidR="00DA39DC" w:rsidRPr="00DA39DC" w14:paraId="259409D7" w14:textId="77777777" w:rsidTr="00DA39DC">
        <w:trPr>
          <w:trHeight w:val="502"/>
        </w:trPr>
        <w:tc>
          <w:tcPr>
            <w:tcW w:w="1470" w:type="pct"/>
            <w:vAlign w:val="center"/>
          </w:tcPr>
          <w:p w14:paraId="2E12CB24"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2207F022" w14:textId="77777777" w:rsidR="00DA39DC" w:rsidRPr="00DA39DC" w:rsidRDefault="00DA39DC" w:rsidP="00DA39DC">
            <w:pPr>
              <w:spacing w:before="40" w:after="40"/>
              <w:rPr>
                <w:sz w:val="20"/>
              </w:rPr>
            </w:pPr>
          </w:p>
        </w:tc>
      </w:tr>
      <w:tr w:rsidR="00DA39DC" w:rsidRPr="00DA39DC" w14:paraId="17495CA9" w14:textId="77777777" w:rsidTr="00DA39DC">
        <w:trPr>
          <w:trHeight w:val="502"/>
        </w:trPr>
        <w:tc>
          <w:tcPr>
            <w:tcW w:w="1470" w:type="pct"/>
            <w:vAlign w:val="center"/>
          </w:tcPr>
          <w:p w14:paraId="3B4A4D81" w14:textId="77777777" w:rsidR="00DA39DC" w:rsidRPr="00DA39DC" w:rsidRDefault="00DA39DC" w:rsidP="00DA39DC">
            <w:pPr>
              <w:spacing w:before="40" w:after="40"/>
              <w:rPr>
                <w:sz w:val="20"/>
              </w:rPr>
            </w:pPr>
            <w:r w:rsidRPr="00DA39DC">
              <w:rPr>
                <w:sz w:val="20"/>
              </w:rPr>
              <w:lastRenderedPageBreak/>
              <w:t>Email Address:</w:t>
            </w:r>
          </w:p>
        </w:tc>
        <w:tc>
          <w:tcPr>
            <w:tcW w:w="3530" w:type="pct"/>
            <w:vAlign w:val="center"/>
          </w:tcPr>
          <w:p w14:paraId="2C8C23E2" w14:textId="77777777" w:rsidR="00DA39DC" w:rsidRPr="00DA39DC" w:rsidRDefault="00DA39DC" w:rsidP="00DA39DC">
            <w:pPr>
              <w:spacing w:before="40" w:after="40"/>
              <w:rPr>
                <w:sz w:val="20"/>
              </w:rPr>
            </w:pPr>
          </w:p>
        </w:tc>
      </w:tr>
      <w:tr w:rsidR="00DA39DC" w:rsidRPr="00DA39DC" w14:paraId="412F3CE8" w14:textId="77777777" w:rsidTr="00DA39DC">
        <w:trPr>
          <w:trHeight w:val="539"/>
        </w:trPr>
        <w:tc>
          <w:tcPr>
            <w:tcW w:w="1470" w:type="pct"/>
            <w:vAlign w:val="center"/>
          </w:tcPr>
          <w:p w14:paraId="747484C6"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516A7C7" w14:textId="77777777" w:rsidR="00DA39DC" w:rsidRPr="00DA39DC" w:rsidRDefault="00DA39DC" w:rsidP="00DA39DC">
            <w:pPr>
              <w:spacing w:before="40" w:after="40"/>
              <w:rPr>
                <w:sz w:val="20"/>
              </w:rPr>
            </w:pPr>
          </w:p>
        </w:tc>
      </w:tr>
      <w:tr w:rsidR="00DA39DC" w:rsidRPr="00DA39DC" w14:paraId="7EDCD84B" w14:textId="77777777" w:rsidTr="00DA39DC">
        <w:trPr>
          <w:trHeight w:val="1215"/>
        </w:trPr>
        <w:tc>
          <w:tcPr>
            <w:tcW w:w="1470" w:type="pct"/>
          </w:tcPr>
          <w:p w14:paraId="4C407249"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F6D4AD6" w14:textId="77777777" w:rsidR="00DA39DC" w:rsidRPr="00DA39DC" w:rsidRDefault="00DA39DC" w:rsidP="00DA39DC">
            <w:pPr>
              <w:spacing w:before="40" w:after="40"/>
              <w:rPr>
                <w:sz w:val="20"/>
              </w:rPr>
            </w:pPr>
          </w:p>
        </w:tc>
      </w:tr>
    </w:tbl>
    <w:p w14:paraId="7962AC4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9C6B7E8" w14:textId="77777777" w:rsidTr="009C1CB7">
        <w:tc>
          <w:tcPr>
            <w:tcW w:w="7148" w:type="dxa"/>
            <w:gridSpan w:val="3"/>
            <w:tcBorders>
              <w:bottom w:val="single" w:sz="4" w:space="0" w:color="auto"/>
              <w:right w:val="nil"/>
            </w:tcBorders>
          </w:tcPr>
          <w:p w14:paraId="59791E4D"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168C547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2090AFDF" w14:textId="77777777" w:rsidR="00C42470" w:rsidRDefault="00C42470" w:rsidP="009C1CB7">
            <w:pPr>
              <w:spacing w:before="40" w:after="40"/>
              <w:rPr>
                <w:b/>
                <w:szCs w:val="20"/>
              </w:rPr>
            </w:pPr>
          </w:p>
        </w:tc>
        <w:tc>
          <w:tcPr>
            <w:tcW w:w="906" w:type="dxa"/>
            <w:gridSpan w:val="2"/>
            <w:tcBorders>
              <w:bottom w:val="single" w:sz="4" w:space="0" w:color="auto"/>
            </w:tcBorders>
          </w:tcPr>
          <w:p w14:paraId="69B7CDA9"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B59A975" w14:textId="77777777" w:rsidR="00C42470" w:rsidRDefault="00C42470" w:rsidP="009C1CB7">
            <w:pPr>
              <w:spacing w:before="40" w:after="40"/>
              <w:rPr>
                <w:b/>
                <w:szCs w:val="20"/>
              </w:rPr>
            </w:pPr>
          </w:p>
        </w:tc>
      </w:tr>
      <w:tr w:rsidR="00C42470" w14:paraId="3A11D37E" w14:textId="77777777" w:rsidTr="009C1CB7">
        <w:tc>
          <w:tcPr>
            <w:tcW w:w="9853" w:type="dxa"/>
            <w:gridSpan w:val="9"/>
            <w:tcBorders>
              <w:left w:val="nil"/>
              <w:right w:val="nil"/>
            </w:tcBorders>
          </w:tcPr>
          <w:p w14:paraId="678A2748" w14:textId="77777777" w:rsidR="00C42470" w:rsidRDefault="00C42470" w:rsidP="009C1CB7">
            <w:pPr>
              <w:spacing w:before="40" w:after="40"/>
              <w:rPr>
                <w:b/>
                <w:szCs w:val="20"/>
              </w:rPr>
            </w:pPr>
          </w:p>
        </w:tc>
      </w:tr>
      <w:tr w:rsidR="00C42470" w14:paraId="75DE1ACB" w14:textId="77777777" w:rsidTr="009C1CB7">
        <w:tc>
          <w:tcPr>
            <w:tcW w:w="6300" w:type="dxa"/>
            <w:tcBorders>
              <w:bottom w:val="single" w:sz="4" w:space="0" w:color="auto"/>
            </w:tcBorders>
          </w:tcPr>
          <w:p w14:paraId="58EB568C"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64278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4D4AB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839600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C25897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6717786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A7360B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751F6A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E70BBB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537C66E8" w14:textId="77777777" w:rsidTr="009C1CB7">
        <w:tc>
          <w:tcPr>
            <w:tcW w:w="9853" w:type="dxa"/>
            <w:gridSpan w:val="9"/>
            <w:tcBorders>
              <w:left w:val="nil"/>
              <w:right w:val="nil"/>
            </w:tcBorders>
          </w:tcPr>
          <w:p w14:paraId="64B6CA51" w14:textId="77777777" w:rsidR="00C42470" w:rsidRDefault="00C42470" w:rsidP="009C1CB7">
            <w:pPr>
              <w:spacing w:before="40" w:after="40"/>
              <w:rPr>
                <w:b/>
                <w:szCs w:val="20"/>
              </w:rPr>
            </w:pPr>
          </w:p>
        </w:tc>
      </w:tr>
      <w:tr w:rsidR="00C42470" w14:paraId="18F825A5" w14:textId="77777777" w:rsidTr="009C1CB7">
        <w:tc>
          <w:tcPr>
            <w:tcW w:w="7148" w:type="dxa"/>
            <w:gridSpan w:val="3"/>
            <w:tcBorders>
              <w:bottom w:val="single" w:sz="4" w:space="0" w:color="auto"/>
              <w:right w:val="nil"/>
            </w:tcBorders>
          </w:tcPr>
          <w:p w14:paraId="6684B82F"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C9ABE1E"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277C2C9D"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1C840D9"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5A6CBF6A" w14:textId="77777777" w:rsidR="00C42470" w:rsidRDefault="00C42470" w:rsidP="009C1CB7">
            <w:pPr>
              <w:spacing w:before="40" w:after="40"/>
              <w:rPr>
                <w:b/>
                <w:szCs w:val="20"/>
              </w:rPr>
            </w:pPr>
          </w:p>
        </w:tc>
      </w:tr>
      <w:tr w:rsidR="00C42470" w14:paraId="6F4B9D91" w14:textId="77777777" w:rsidTr="009C1CB7">
        <w:tc>
          <w:tcPr>
            <w:tcW w:w="9853" w:type="dxa"/>
            <w:gridSpan w:val="9"/>
            <w:tcBorders>
              <w:left w:val="nil"/>
              <w:right w:val="nil"/>
            </w:tcBorders>
          </w:tcPr>
          <w:p w14:paraId="02C8E025" w14:textId="77777777" w:rsidR="00C42470" w:rsidRDefault="00C42470" w:rsidP="009C1CB7">
            <w:pPr>
              <w:spacing w:before="40" w:after="40"/>
              <w:rPr>
                <w:b/>
                <w:szCs w:val="20"/>
              </w:rPr>
            </w:pPr>
          </w:p>
        </w:tc>
      </w:tr>
      <w:tr w:rsidR="00C42470" w14:paraId="262EAAFC" w14:textId="77777777" w:rsidTr="009C1CB7">
        <w:tc>
          <w:tcPr>
            <w:tcW w:w="6300" w:type="dxa"/>
          </w:tcPr>
          <w:p w14:paraId="42E8B160"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73E9776E"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E97A2B5"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A49DB62"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7E723270"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E05EBFE"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443B7279"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37A367E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12D5912A" w14:textId="77777777" w:rsidR="00C42470" w:rsidRDefault="00C42470" w:rsidP="009C1CB7">
            <w:pPr>
              <w:spacing w:before="40" w:after="40"/>
              <w:rPr>
                <w:b/>
                <w:szCs w:val="20"/>
              </w:rPr>
            </w:pPr>
            <w:r w:rsidRPr="0064176A">
              <w:rPr>
                <w:b/>
                <w:color w:val="D9D9D9" w:themeColor="background1" w:themeShade="D9"/>
                <w:szCs w:val="20"/>
              </w:rPr>
              <w:t>Y</w:t>
            </w:r>
          </w:p>
        </w:tc>
      </w:tr>
    </w:tbl>
    <w:p w14:paraId="67625E43" w14:textId="77777777" w:rsidR="00C42470" w:rsidRDefault="00C42470" w:rsidP="008610B6">
      <w:pPr>
        <w:spacing w:before="0" w:after="0" w:line="240" w:lineRule="auto"/>
      </w:pPr>
    </w:p>
    <w:p w14:paraId="43C70C94"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6BEBD7E" w14:textId="77777777" w:rsidTr="00DA39DC">
        <w:trPr>
          <w:trHeight w:val="478"/>
        </w:trPr>
        <w:tc>
          <w:tcPr>
            <w:tcW w:w="5000" w:type="pct"/>
            <w:gridSpan w:val="2"/>
            <w:shd w:val="clear" w:color="auto" w:fill="ECE8D3"/>
            <w:vAlign w:val="center"/>
          </w:tcPr>
          <w:p w14:paraId="463A543F" w14:textId="77777777" w:rsidR="00DA39DC" w:rsidRPr="00DA39DC" w:rsidRDefault="00DA39DC" w:rsidP="00DA39DC">
            <w:pPr>
              <w:rPr>
                <w:sz w:val="20"/>
              </w:rPr>
            </w:pPr>
            <w:r w:rsidRPr="00DA39DC">
              <w:rPr>
                <w:b/>
                <w:sz w:val="20"/>
              </w:rPr>
              <w:t>Name of Company (1):</w:t>
            </w:r>
          </w:p>
        </w:tc>
      </w:tr>
      <w:tr w:rsidR="00DA39DC" w:rsidRPr="00DA39DC" w14:paraId="6E268698" w14:textId="77777777" w:rsidTr="00DA39DC">
        <w:trPr>
          <w:trHeight w:val="478"/>
        </w:trPr>
        <w:tc>
          <w:tcPr>
            <w:tcW w:w="1470" w:type="pct"/>
            <w:vAlign w:val="center"/>
          </w:tcPr>
          <w:p w14:paraId="1E7864FD" w14:textId="77777777" w:rsidR="00DA39DC" w:rsidRPr="00DA39DC" w:rsidRDefault="00DA39DC" w:rsidP="00DA39DC">
            <w:pPr>
              <w:rPr>
                <w:sz w:val="20"/>
              </w:rPr>
            </w:pPr>
            <w:r w:rsidRPr="00DA39DC">
              <w:rPr>
                <w:sz w:val="20"/>
              </w:rPr>
              <w:t>Registration Number:</w:t>
            </w:r>
          </w:p>
        </w:tc>
        <w:tc>
          <w:tcPr>
            <w:tcW w:w="3530" w:type="pct"/>
            <w:vAlign w:val="center"/>
          </w:tcPr>
          <w:p w14:paraId="0BC70C10" w14:textId="77777777" w:rsidR="00DA39DC" w:rsidRPr="00DA39DC" w:rsidRDefault="00DA39DC" w:rsidP="00DA39DC">
            <w:pPr>
              <w:rPr>
                <w:sz w:val="20"/>
                <w:szCs w:val="20"/>
              </w:rPr>
            </w:pPr>
          </w:p>
        </w:tc>
      </w:tr>
      <w:tr w:rsidR="00DA39DC" w:rsidRPr="00DA39DC" w14:paraId="266C94C2" w14:textId="77777777" w:rsidTr="00DA39DC">
        <w:trPr>
          <w:trHeight w:val="478"/>
        </w:trPr>
        <w:tc>
          <w:tcPr>
            <w:tcW w:w="1470" w:type="pct"/>
            <w:vAlign w:val="center"/>
          </w:tcPr>
          <w:p w14:paraId="57066BAE" w14:textId="77777777" w:rsidR="00DA39DC" w:rsidRPr="00DA39DC" w:rsidRDefault="00DA39DC" w:rsidP="00DA39DC">
            <w:pPr>
              <w:rPr>
                <w:sz w:val="20"/>
              </w:rPr>
            </w:pPr>
            <w:r w:rsidRPr="00DA39DC">
              <w:rPr>
                <w:sz w:val="20"/>
              </w:rPr>
              <w:t>VAT Registration Number:</w:t>
            </w:r>
          </w:p>
        </w:tc>
        <w:tc>
          <w:tcPr>
            <w:tcW w:w="3530" w:type="pct"/>
            <w:vAlign w:val="center"/>
          </w:tcPr>
          <w:p w14:paraId="2C5DD2CC" w14:textId="77777777" w:rsidR="00DA39DC" w:rsidRPr="00DA39DC" w:rsidRDefault="00DA39DC" w:rsidP="00DA39DC">
            <w:pPr>
              <w:rPr>
                <w:sz w:val="20"/>
                <w:szCs w:val="20"/>
              </w:rPr>
            </w:pPr>
          </w:p>
        </w:tc>
      </w:tr>
      <w:tr w:rsidR="00DA39DC" w:rsidRPr="00DA39DC" w14:paraId="2AACD786" w14:textId="77777777" w:rsidTr="00DA39DC">
        <w:trPr>
          <w:trHeight w:val="478"/>
        </w:trPr>
        <w:tc>
          <w:tcPr>
            <w:tcW w:w="1470" w:type="pct"/>
            <w:vAlign w:val="center"/>
          </w:tcPr>
          <w:p w14:paraId="2E93963E" w14:textId="77777777" w:rsidR="00DA39DC" w:rsidRPr="00DA39DC" w:rsidRDefault="00DA39DC" w:rsidP="00DA39DC">
            <w:pPr>
              <w:rPr>
                <w:sz w:val="20"/>
              </w:rPr>
            </w:pPr>
            <w:r w:rsidRPr="00DA39DC">
              <w:rPr>
                <w:sz w:val="20"/>
              </w:rPr>
              <w:t>Contact Person:</w:t>
            </w:r>
          </w:p>
        </w:tc>
        <w:tc>
          <w:tcPr>
            <w:tcW w:w="3530" w:type="pct"/>
            <w:vAlign w:val="center"/>
          </w:tcPr>
          <w:p w14:paraId="6EF7921A" w14:textId="77777777" w:rsidR="00DA39DC" w:rsidRPr="00DA39DC" w:rsidRDefault="00DA39DC" w:rsidP="00DA39DC">
            <w:pPr>
              <w:rPr>
                <w:sz w:val="20"/>
                <w:szCs w:val="20"/>
              </w:rPr>
            </w:pPr>
          </w:p>
        </w:tc>
      </w:tr>
      <w:tr w:rsidR="00DA39DC" w:rsidRPr="00DA39DC" w14:paraId="5CE32271" w14:textId="77777777" w:rsidTr="00DA39DC">
        <w:trPr>
          <w:trHeight w:val="478"/>
        </w:trPr>
        <w:tc>
          <w:tcPr>
            <w:tcW w:w="1470" w:type="pct"/>
            <w:vAlign w:val="center"/>
          </w:tcPr>
          <w:p w14:paraId="43D4EEB2" w14:textId="77777777" w:rsidR="00DA39DC" w:rsidRPr="00DA39DC" w:rsidRDefault="00DA39DC" w:rsidP="00DA39DC">
            <w:pPr>
              <w:rPr>
                <w:sz w:val="20"/>
              </w:rPr>
            </w:pPr>
            <w:r w:rsidRPr="00DA39DC">
              <w:rPr>
                <w:sz w:val="20"/>
              </w:rPr>
              <w:t>Telephone Number:</w:t>
            </w:r>
          </w:p>
        </w:tc>
        <w:tc>
          <w:tcPr>
            <w:tcW w:w="3530" w:type="pct"/>
            <w:vAlign w:val="center"/>
          </w:tcPr>
          <w:p w14:paraId="5AD5F349" w14:textId="77777777" w:rsidR="00DA39DC" w:rsidRPr="00DA39DC" w:rsidRDefault="00DA39DC" w:rsidP="00DA39DC">
            <w:pPr>
              <w:rPr>
                <w:sz w:val="20"/>
                <w:szCs w:val="20"/>
              </w:rPr>
            </w:pPr>
          </w:p>
        </w:tc>
      </w:tr>
      <w:tr w:rsidR="00DA39DC" w:rsidRPr="00DA39DC" w14:paraId="1AF7E0A1" w14:textId="77777777" w:rsidTr="00DA39DC">
        <w:trPr>
          <w:trHeight w:val="478"/>
        </w:trPr>
        <w:tc>
          <w:tcPr>
            <w:tcW w:w="1470" w:type="pct"/>
            <w:vAlign w:val="center"/>
          </w:tcPr>
          <w:p w14:paraId="10AD2A9C" w14:textId="77777777" w:rsidR="00DA39DC" w:rsidRPr="00DA39DC" w:rsidRDefault="00DA39DC" w:rsidP="00DA39DC">
            <w:pPr>
              <w:rPr>
                <w:sz w:val="20"/>
              </w:rPr>
            </w:pPr>
            <w:r w:rsidRPr="00DA39DC">
              <w:rPr>
                <w:sz w:val="20"/>
              </w:rPr>
              <w:t>Fax Number:</w:t>
            </w:r>
          </w:p>
        </w:tc>
        <w:tc>
          <w:tcPr>
            <w:tcW w:w="3530" w:type="pct"/>
            <w:vAlign w:val="center"/>
          </w:tcPr>
          <w:p w14:paraId="5E48692E" w14:textId="77777777" w:rsidR="00DA39DC" w:rsidRPr="00DA39DC" w:rsidRDefault="00DA39DC" w:rsidP="00DA39DC">
            <w:pPr>
              <w:rPr>
                <w:sz w:val="20"/>
                <w:szCs w:val="20"/>
              </w:rPr>
            </w:pPr>
          </w:p>
        </w:tc>
      </w:tr>
      <w:tr w:rsidR="00DA39DC" w:rsidRPr="00DA39DC" w14:paraId="2F619D73" w14:textId="77777777" w:rsidTr="00DA39DC">
        <w:trPr>
          <w:trHeight w:val="478"/>
        </w:trPr>
        <w:tc>
          <w:tcPr>
            <w:tcW w:w="1470" w:type="pct"/>
            <w:vAlign w:val="center"/>
          </w:tcPr>
          <w:p w14:paraId="32714EF0" w14:textId="77777777" w:rsidR="00DA39DC" w:rsidRPr="00DA39DC" w:rsidRDefault="00DA39DC" w:rsidP="00DA39DC">
            <w:pPr>
              <w:rPr>
                <w:sz w:val="20"/>
              </w:rPr>
            </w:pPr>
            <w:r w:rsidRPr="00DA39DC">
              <w:rPr>
                <w:sz w:val="20"/>
              </w:rPr>
              <w:t>Email Address:</w:t>
            </w:r>
          </w:p>
        </w:tc>
        <w:tc>
          <w:tcPr>
            <w:tcW w:w="3530" w:type="pct"/>
            <w:vAlign w:val="center"/>
          </w:tcPr>
          <w:p w14:paraId="3FEE2DD8" w14:textId="77777777" w:rsidR="00DA39DC" w:rsidRPr="00DA39DC" w:rsidRDefault="00DA39DC" w:rsidP="00DA39DC">
            <w:pPr>
              <w:rPr>
                <w:sz w:val="20"/>
                <w:szCs w:val="20"/>
              </w:rPr>
            </w:pPr>
          </w:p>
        </w:tc>
      </w:tr>
      <w:tr w:rsidR="00DA39DC" w:rsidRPr="00DA39DC" w14:paraId="0B028AFF" w14:textId="77777777" w:rsidTr="00DA39DC">
        <w:trPr>
          <w:trHeight w:val="478"/>
        </w:trPr>
        <w:tc>
          <w:tcPr>
            <w:tcW w:w="1470" w:type="pct"/>
            <w:vAlign w:val="center"/>
          </w:tcPr>
          <w:p w14:paraId="4EE2006B" w14:textId="77777777" w:rsidR="00DA39DC" w:rsidRPr="00DA39DC" w:rsidRDefault="00DA39DC" w:rsidP="00DA39DC">
            <w:pPr>
              <w:rPr>
                <w:sz w:val="20"/>
              </w:rPr>
            </w:pPr>
            <w:r w:rsidRPr="00DA39DC">
              <w:rPr>
                <w:sz w:val="20"/>
              </w:rPr>
              <w:t>Postal Address:</w:t>
            </w:r>
          </w:p>
        </w:tc>
        <w:tc>
          <w:tcPr>
            <w:tcW w:w="3530" w:type="pct"/>
            <w:vAlign w:val="center"/>
          </w:tcPr>
          <w:p w14:paraId="4F36F930" w14:textId="77777777" w:rsidR="00DA39DC" w:rsidRPr="00DA39DC" w:rsidRDefault="00DA39DC" w:rsidP="00DA39DC">
            <w:pPr>
              <w:rPr>
                <w:sz w:val="20"/>
                <w:szCs w:val="20"/>
              </w:rPr>
            </w:pPr>
          </w:p>
        </w:tc>
      </w:tr>
      <w:tr w:rsidR="00DA39DC" w:rsidRPr="00DA39DC" w14:paraId="679701FB" w14:textId="77777777" w:rsidTr="00DA39DC">
        <w:trPr>
          <w:trHeight w:val="673"/>
        </w:trPr>
        <w:tc>
          <w:tcPr>
            <w:tcW w:w="1470" w:type="pct"/>
            <w:vAlign w:val="center"/>
          </w:tcPr>
          <w:p w14:paraId="7B9B02F8" w14:textId="77777777" w:rsidR="00DA39DC" w:rsidRPr="00DA39DC" w:rsidRDefault="00DA39DC" w:rsidP="00DA39DC">
            <w:pPr>
              <w:rPr>
                <w:sz w:val="20"/>
              </w:rPr>
            </w:pPr>
            <w:r w:rsidRPr="00DA39DC">
              <w:rPr>
                <w:sz w:val="20"/>
              </w:rPr>
              <w:t>Physical Address:</w:t>
            </w:r>
          </w:p>
        </w:tc>
        <w:tc>
          <w:tcPr>
            <w:tcW w:w="3530" w:type="pct"/>
            <w:vAlign w:val="center"/>
          </w:tcPr>
          <w:p w14:paraId="04CDD5FD" w14:textId="77777777" w:rsidR="00DA39DC" w:rsidRPr="00DA39DC" w:rsidRDefault="00DA39DC" w:rsidP="00DA39DC">
            <w:pPr>
              <w:rPr>
                <w:sz w:val="20"/>
                <w:szCs w:val="20"/>
              </w:rPr>
            </w:pPr>
          </w:p>
        </w:tc>
      </w:tr>
    </w:tbl>
    <w:p w14:paraId="2733E76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1149C495" w14:textId="77777777" w:rsidTr="009C1CB7">
        <w:tc>
          <w:tcPr>
            <w:tcW w:w="7148" w:type="dxa"/>
            <w:gridSpan w:val="3"/>
            <w:tcBorders>
              <w:bottom w:val="single" w:sz="4" w:space="0" w:color="auto"/>
              <w:right w:val="nil"/>
            </w:tcBorders>
          </w:tcPr>
          <w:p w14:paraId="0D423A5C"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C5954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FC343B" w14:textId="77777777" w:rsidR="00C42470" w:rsidRDefault="00C42470" w:rsidP="009C1CB7">
            <w:pPr>
              <w:spacing w:before="40" w:after="40"/>
              <w:rPr>
                <w:b/>
                <w:szCs w:val="20"/>
              </w:rPr>
            </w:pPr>
          </w:p>
        </w:tc>
        <w:tc>
          <w:tcPr>
            <w:tcW w:w="906" w:type="dxa"/>
            <w:gridSpan w:val="2"/>
            <w:tcBorders>
              <w:bottom w:val="single" w:sz="4" w:space="0" w:color="auto"/>
            </w:tcBorders>
          </w:tcPr>
          <w:p w14:paraId="446CB62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995577B" w14:textId="77777777" w:rsidR="00C42470" w:rsidRDefault="00C42470" w:rsidP="009C1CB7">
            <w:pPr>
              <w:spacing w:before="40" w:after="40"/>
              <w:rPr>
                <w:b/>
                <w:szCs w:val="20"/>
              </w:rPr>
            </w:pPr>
          </w:p>
        </w:tc>
      </w:tr>
      <w:tr w:rsidR="00C42470" w14:paraId="6D334A3D" w14:textId="77777777" w:rsidTr="009C1CB7">
        <w:tc>
          <w:tcPr>
            <w:tcW w:w="9853" w:type="dxa"/>
            <w:gridSpan w:val="9"/>
            <w:tcBorders>
              <w:left w:val="nil"/>
              <w:right w:val="nil"/>
            </w:tcBorders>
          </w:tcPr>
          <w:p w14:paraId="560732C3" w14:textId="77777777" w:rsidR="00C42470" w:rsidRDefault="00C42470" w:rsidP="009C1CB7">
            <w:pPr>
              <w:spacing w:before="40" w:after="40"/>
              <w:rPr>
                <w:b/>
                <w:szCs w:val="20"/>
              </w:rPr>
            </w:pPr>
          </w:p>
        </w:tc>
      </w:tr>
      <w:tr w:rsidR="00C42470" w14:paraId="4AA16F05" w14:textId="77777777" w:rsidTr="009C1CB7">
        <w:tc>
          <w:tcPr>
            <w:tcW w:w="6300" w:type="dxa"/>
            <w:tcBorders>
              <w:bottom w:val="single" w:sz="4" w:space="0" w:color="auto"/>
            </w:tcBorders>
          </w:tcPr>
          <w:p w14:paraId="63B3F979"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A7685C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F6EF9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F518A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63888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1D6E8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C9FC99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904479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43C5BF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0CA23928" w14:textId="77777777" w:rsidTr="009C1CB7">
        <w:tc>
          <w:tcPr>
            <w:tcW w:w="9853" w:type="dxa"/>
            <w:gridSpan w:val="9"/>
            <w:tcBorders>
              <w:left w:val="nil"/>
              <w:right w:val="nil"/>
            </w:tcBorders>
          </w:tcPr>
          <w:p w14:paraId="2E2CED8E" w14:textId="77777777" w:rsidR="00C42470" w:rsidRDefault="00C42470" w:rsidP="009C1CB7">
            <w:pPr>
              <w:spacing w:before="40" w:after="40"/>
              <w:rPr>
                <w:b/>
                <w:szCs w:val="20"/>
              </w:rPr>
            </w:pPr>
          </w:p>
        </w:tc>
      </w:tr>
      <w:tr w:rsidR="00C42470" w14:paraId="2FA9F429" w14:textId="77777777" w:rsidTr="009C1CB7">
        <w:tc>
          <w:tcPr>
            <w:tcW w:w="7148" w:type="dxa"/>
            <w:gridSpan w:val="3"/>
            <w:tcBorders>
              <w:bottom w:val="single" w:sz="4" w:space="0" w:color="auto"/>
              <w:right w:val="nil"/>
            </w:tcBorders>
          </w:tcPr>
          <w:p w14:paraId="46775B7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BFCDD50"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5EC3344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1B98F7E"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6C28660" w14:textId="77777777" w:rsidR="00C42470" w:rsidRDefault="00C42470" w:rsidP="009C1CB7">
            <w:pPr>
              <w:spacing w:before="40" w:after="40"/>
              <w:rPr>
                <w:b/>
                <w:szCs w:val="20"/>
              </w:rPr>
            </w:pPr>
          </w:p>
        </w:tc>
      </w:tr>
      <w:tr w:rsidR="00C42470" w14:paraId="302A8814" w14:textId="77777777" w:rsidTr="009C1CB7">
        <w:tc>
          <w:tcPr>
            <w:tcW w:w="9853" w:type="dxa"/>
            <w:gridSpan w:val="9"/>
            <w:tcBorders>
              <w:left w:val="nil"/>
              <w:right w:val="nil"/>
            </w:tcBorders>
          </w:tcPr>
          <w:p w14:paraId="260886DD" w14:textId="77777777" w:rsidR="00C42470" w:rsidRDefault="00C42470" w:rsidP="009C1CB7">
            <w:pPr>
              <w:spacing w:before="40" w:after="40"/>
              <w:rPr>
                <w:b/>
                <w:szCs w:val="20"/>
              </w:rPr>
            </w:pPr>
          </w:p>
        </w:tc>
      </w:tr>
      <w:tr w:rsidR="00C42470" w14:paraId="307822A8" w14:textId="77777777" w:rsidTr="009C1CB7">
        <w:tc>
          <w:tcPr>
            <w:tcW w:w="6300" w:type="dxa"/>
          </w:tcPr>
          <w:p w14:paraId="6AB33F2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798ABDD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AA1D8EA"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E0B73EF"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86B5304"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5CAD52"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672201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334520FD"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7E0F6A90" w14:textId="77777777" w:rsidR="00C42470" w:rsidRDefault="00C42470" w:rsidP="009C1CB7">
            <w:pPr>
              <w:spacing w:before="40" w:after="40"/>
              <w:rPr>
                <w:b/>
                <w:szCs w:val="20"/>
              </w:rPr>
            </w:pPr>
            <w:r w:rsidRPr="0064176A">
              <w:rPr>
                <w:b/>
                <w:color w:val="D9D9D9" w:themeColor="background1" w:themeShade="D9"/>
                <w:szCs w:val="20"/>
              </w:rPr>
              <w:t>Y</w:t>
            </w:r>
          </w:p>
        </w:tc>
      </w:tr>
    </w:tbl>
    <w:p w14:paraId="0BD642C1"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D79F6EA" w14:textId="77777777" w:rsidTr="00C42470">
        <w:trPr>
          <w:trHeight w:val="558"/>
        </w:trPr>
        <w:tc>
          <w:tcPr>
            <w:tcW w:w="5000" w:type="pct"/>
            <w:gridSpan w:val="2"/>
            <w:shd w:val="clear" w:color="auto" w:fill="ECE8D3"/>
            <w:vAlign w:val="center"/>
          </w:tcPr>
          <w:p w14:paraId="35CB90AC" w14:textId="77777777" w:rsidR="00DA39DC" w:rsidRPr="00C42470" w:rsidRDefault="00DA39DC" w:rsidP="00DA39DC">
            <w:pPr>
              <w:rPr>
                <w:sz w:val="20"/>
              </w:rPr>
            </w:pPr>
            <w:r w:rsidRPr="00C42470">
              <w:rPr>
                <w:b/>
                <w:sz w:val="20"/>
              </w:rPr>
              <w:t>Name of Company (2):</w:t>
            </w:r>
          </w:p>
        </w:tc>
      </w:tr>
      <w:tr w:rsidR="00DA39DC" w:rsidRPr="00C42470" w14:paraId="07F45712" w14:textId="77777777" w:rsidTr="00C42470">
        <w:trPr>
          <w:trHeight w:val="454"/>
        </w:trPr>
        <w:tc>
          <w:tcPr>
            <w:tcW w:w="1470" w:type="pct"/>
            <w:vAlign w:val="center"/>
          </w:tcPr>
          <w:p w14:paraId="2B026672" w14:textId="77777777" w:rsidR="00DA39DC" w:rsidRPr="00C42470" w:rsidRDefault="00DA39DC" w:rsidP="00DA39DC">
            <w:pPr>
              <w:rPr>
                <w:sz w:val="20"/>
              </w:rPr>
            </w:pPr>
            <w:r w:rsidRPr="00C42470">
              <w:rPr>
                <w:sz w:val="20"/>
              </w:rPr>
              <w:t>Registration Number:</w:t>
            </w:r>
          </w:p>
        </w:tc>
        <w:tc>
          <w:tcPr>
            <w:tcW w:w="3530" w:type="pct"/>
            <w:vAlign w:val="center"/>
          </w:tcPr>
          <w:p w14:paraId="1620EB6C" w14:textId="77777777" w:rsidR="00DA39DC" w:rsidRPr="00C42470" w:rsidRDefault="00DA39DC" w:rsidP="00DA39DC">
            <w:pPr>
              <w:rPr>
                <w:sz w:val="20"/>
              </w:rPr>
            </w:pPr>
          </w:p>
        </w:tc>
      </w:tr>
      <w:tr w:rsidR="00DA39DC" w:rsidRPr="00C42470" w14:paraId="2E3FFDF2" w14:textId="77777777" w:rsidTr="00C42470">
        <w:trPr>
          <w:trHeight w:val="454"/>
        </w:trPr>
        <w:tc>
          <w:tcPr>
            <w:tcW w:w="1470" w:type="pct"/>
            <w:vAlign w:val="center"/>
          </w:tcPr>
          <w:p w14:paraId="43BCEFEE" w14:textId="77777777" w:rsidR="00DA39DC" w:rsidRPr="00C42470" w:rsidRDefault="00DA39DC" w:rsidP="00DA39DC">
            <w:pPr>
              <w:rPr>
                <w:sz w:val="20"/>
              </w:rPr>
            </w:pPr>
            <w:r w:rsidRPr="00C42470">
              <w:rPr>
                <w:sz w:val="20"/>
              </w:rPr>
              <w:t>VAT Registration Number:</w:t>
            </w:r>
          </w:p>
        </w:tc>
        <w:tc>
          <w:tcPr>
            <w:tcW w:w="3530" w:type="pct"/>
            <w:vAlign w:val="center"/>
          </w:tcPr>
          <w:p w14:paraId="424D659D" w14:textId="77777777" w:rsidR="00DA39DC" w:rsidRPr="00C42470" w:rsidRDefault="00DA39DC" w:rsidP="00DA39DC">
            <w:pPr>
              <w:rPr>
                <w:sz w:val="20"/>
              </w:rPr>
            </w:pPr>
          </w:p>
        </w:tc>
      </w:tr>
      <w:tr w:rsidR="00DA39DC" w:rsidRPr="00C42470" w14:paraId="19B93F0B" w14:textId="77777777" w:rsidTr="00C42470">
        <w:trPr>
          <w:trHeight w:val="454"/>
        </w:trPr>
        <w:tc>
          <w:tcPr>
            <w:tcW w:w="1470" w:type="pct"/>
            <w:vAlign w:val="center"/>
          </w:tcPr>
          <w:p w14:paraId="67FDF272" w14:textId="77777777" w:rsidR="00DA39DC" w:rsidRPr="00C42470" w:rsidRDefault="00DA39DC" w:rsidP="00DA39DC">
            <w:pPr>
              <w:rPr>
                <w:sz w:val="20"/>
              </w:rPr>
            </w:pPr>
            <w:r w:rsidRPr="00C42470">
              <w:rPr>
                <w:sz w:val="20"/>
              </w:rPr>
              <w:lastRenderedPageBreak/>
              <w:t>Contact Person:</w:t>
            </w:r>
          </w:p>
        </w:tc>
        <w:tc>
          <w:tcPr>
            <w:tcW w:w="3530" w:type="pct"/>
            <w:vAlign w:val="center"/>
          </w:tcPr>
          <w:p w14:paraId="144AEED6" w14:textId="77777777" w:rsidR="00DA39DC" w:rsidRPr="00C42470" w:rsidRDefault="00DA39DC" w:rsidP="00DA39DC">
            <w:pPr>
              <w:rPr>
                <w:sz w:val="20"/>
              </w:rPr>
            </w:pPr>
          </w:p>
        </w:tc>
      </w:tr>
      <w:tr w:rsidR="00DA39DC" w:rsidRPr="00C42470" w14:paraId="246B1E09" w14:textId="77777777" w:rsidTr="00C42470">
        <w:trPr>
          <w:trHeight w:val="454"/>
        </w:trPr>
        <w:tc>
          <w:tcPr>
            <w:tcW w:w="1470" w:type="pct"/>
            <w:vAlign w:val="center"/>
          </w:tcPr>
          <w:p w14:paraId="72B43E6B" w14:textId="77777777" w:rsidR="00DA39DC" w:rsidRPr="00C42470" w:rsidRDefault="00DA39DC" w:rsidP="00DA39DC">
            <w:pPr>
              <w:rPr>
                <w:sz w:val="20"/>
              </w:rPr>
            </w:pPr>
            <w:r w:rsidRPr="00C42470">
              <w:rPr>
                <w:sz w:val="20"/>
              </w:rPr>
              <w:t>Telephone Number:</w:t>
            </w:r>
          </w:p>
        </w:tc>
        <w:tc>
          <w:tcPr>
            <w:tcW w:w="3530" w:type="pct"/>
            <w:vAlign w:val="center"/>
          </w:tcPr>
          <w:p w14:paraId="07CB7C45" w14:textId="77777777" w:rsidR="00DA39DC" w:rsidRPr="00C42470" w:rsidRDefault="00DA39DC" w:rsidP="00DA39DC">
            <w:pPr>
              <w:rPr>
                <w:sz w:val="20"/>
              </w:rPr>
            </w:pPr>
          </w:p>
        </w:tc>
      </w:tr>
      <w:tr w:rsidR="00DA39DC" w:rsidRPr="00C42470" w14:paraId="18419898" w14:textId="77777777" w:rsidTr="00C42470">
        <w:trPr>
          <w:trHeight w:val="454"/>
        </w:trPr>
        <w:tc>
          <w:tcPr>
            <w:tcW w:w="1470" w:type="pct"/>
            <w:vAlign w:val="center"/>
          </w:tcPr>
          <w:p w14:paraId="3C6C173C" w14:textId="77777777" w:rsidR="00DA39DC" w:rsidRPr="00C42470" w:rsidRDefault="00DA39DC" w:rsidP="00DA39DC">
            <w:pPr>
              <w:rPr>
                <w:sz w:val="20"/>
              </w:rPr>
            </w:pPr>
            <w:r w:rsidRPr="00C42470">
              <w:rPr>
                <w:sz w:val="20"/>
              </w:rPr>
              <w:t>Fax Number:</w:t>
            </w:r>
          </w:p>
        </w:tc>
        <w:tc>
          <w:tcPr>
            <w:tcW w:w="3530" w:type="pct"/>
            <w:vAlign w:val="center"/>
          </w:tcPr>
          <w:p w14:paraId="19C43C14" w14:textId="77777777" w:rsidR="00DA39DC" w:rsidRPr="00C42470" w:rsidRDefault="00DA39DC" w:rsidP="00DA39DC">
            <w:pPr>
              <w:rPr>
                <w:sz w:val="20"/>
              </w:rPr>
            </w:pPr>
          </w:p>
        </w:tc>
      </w:tr>
      <w:tr w:rsidR="00DA39DC" w:rsidRPr="00C42470" w14:paraId="4AEB3B44" w14:textId="77777777" w:rsidTr="00C42470">
        <w:trPr>
          <w:trHeight w:val="454"/>
        </w:trPr>
        <w:tc>
          <w:tcPr>
            <w:tcW w:w="1470" w:type="pct"/>
            <w:vAlign w:val="center"/>
          </w:tcPr>
          <w:p w14:paraId="2787C414" w14:textId="77777777" w:rsidR="00DA39DC" w:rsidRPr="00C42470" w:rsidRDefault="00DA39DC" w:rsidP="00DA39DC">
            <w:pPr>
              <w:rPr>
                <w:sz w:val="20"/>
              </w:rPr>
            </w:pPr>
            <w:r w:rsidRPr="00C42470">
              <w:rPr>
                <w:sz w:val="20"/>
              </w:rPr>
              <w:t>Email Address:</w:t>
            </w:r>
          </w:p>
        </w:tc>
        <w:tc>
          <w:tcPr>
            <w:tcW w:w="3530" w:type="pct"/>
            <w:vAlign w:val="center"/>
          </w:tcPr>
          <w:p w14:paraId="1E7A0A56" w14:textId="77777777" w:rsidR="00DA39DC" w:rsidRPr="00C42470" w:rsidRDefault="00DA39DC" w:rsidP="00DA39DC">
            <w:pPr>
              <w:rPr>
                <w:sz w:val="20"/>
              </w:rPr>
            </w:pPr>
          </w:p>
        </w:tc>
      </w:tr>
      <w:tr w:rsidR="00DA39DC" w:rsidRPr="00C42470" w14:paraId="60DFBE16" w14:textId="77777777" w:rsidTr="00C42470">
        <w:trPr>
          <w:trHeight w:val="454"/>
        </w:trPr>
        <w:tc>
          <w:tcPr>
            <w:tcW w:w="1470" w:type="pct"/>
            <w:vAlign w:val="center"/>
          </w:tcPr>
          <w:p w14:paraId="3D4D781E" w14:textId="77777777" w:rsidR="00DA39DC" w:rsidRPr="00C42470" w:rsidRDefault="00DA39DC" w:rsidP="00DA39DC">
            <w:pPr>
              <w:rPr>
                <w:sz w:val="20"/>
              </w:rPr>
            </w:pPr>
            <w:r w:rsidRPr="00C42470">
              <w:rPr>
                <w:sz w:val="20"/>
              </w:rPr>
              <w:t>Postal Address:</w:t>
            </w:r>
          </w:p>
        </w:tc>
        <w:tc>
          <w:tcPr>
            <w:tcW w:w="3530" w:type="pct"/>
            <w:vAlign w:val="center"/>
          </w:tcPr>
          <w:p w14:paraId="6005FDA0" w14:textId="77777777" w:rsidR="00DA39DC" w:rsidRPr="00C42470" w:rsidRDefault="00DA39DC" w:rsidP="00DA39DC">
            <w:pPr>
              <w:rPr>
                <w:sz w:val="20"/>
              </w:rPr>
            </w:pPr>
          </w:p>
        </w:tc>
      </w:tr>
      <w:tr w:rsidR="00DA39DC" w:rsidRPr="00C42470" w14:paraId="0B3A9779" w14:textId="77777777" w:rsidTr="00C42470">
        <w:trPr>
          <w:trHeight w:val="980"/>
        </w:trPr>
        <w:tc>
          <w:tcPr>
            <w:tcW w:w="1470" w:type="pct"/>
          </w:tcPr>
          <w:p w14:paraId="028C3F77"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596B7A2B" w14:textId="77777777" w:rsidR="00DA39DC" w:rsidRPr="00C42470" w:rsidRDefault="00DA39DC" w:rsidP="00DA39DC">
            <w:pPr>
              <w:rPr>
                <w:sz w:val="20"/>
              </w:rPr>
            </w:pPr>
          </w:p>
        </w:tc>
      </w:tr>
    </w:tbl>
    <w:p w14:paraId="61D1AAE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252E7A8" w14:textId="77777777" w:rsidTr="009C1CB7">
        <w:tc>
          <w:tcPr>
            <w:tcW w:w="7148" w:type="dxa"/>
            <w:gridSpan w:val="3"/>
            <w:tcBorders>
              <w:bottom w:val="single" w:sz="4" w:space="0" w:color="auto"/>
              <w:right w:val="nil"/>
            </w:tcBorders>
          </w:tcPr>
          <w:p w14:paraId="4395AD91"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60306B1E"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3C8A36C4" w14:textId="77777777" w:rsidR="00C42470" w:rsidRDefault="00C42470" w:rsidP="009C1CB7">
            <w:pPr>
              <w:spacing w:before="40" w:after="40"/>
              <w:rPr>
                <w:b/>
                <w:szCs w:val="20"/>
              </w:rPr>
            </w:pPr>
          </w:p>
        </w:tc>
        <w:tc>
          <w:tcPr>
            <w:tcW w:w="906" w:type="dxa"/>
            <w:gridSpan w:val="2"/>
            <w:tcBorders>
              <w:bottom w:val="single" w:sz="4" w:space="0" w:color="auto"/>
            </w:tcBorders>
          </w:tcPr>
          <w:p w14:paraId="1D63C104"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6F078B1" w14:textId="77777777" w:rsidR="00C42470" w:rsidRDefault="00C42470" w:rsidP="009C1CB7">
            <w:pPr>
              <w:spacing w:before="40" w:after="40"/>
              <w:rPr>
                <w:b/>
                <w:szCs w:val="20"/>
              </w:rPr>
            </w:pPr>
          </w:p>
        </w:tc>
      </w:tr>
      <w:tr w:rsidR="00C42470" w14:paraId="1C84F532" w14:textId="77777777" w:rsidTr="009C1CB7">
        <w:tc>
          <w:tcPr>
            <w:tcW w:w="9853" w:type="dxa"/>
            <w:gridSpan w:val="9"/>
            <w:tcBorders>
              <w:left w:val="nil"/>
              <w:right w:val="nil"/>
            </w:tcBorders>
          </w:tcPr>
          <w:p w14:paraId="618DEB33" w14:textId="77777777" w:rsidR="00C42470" w:rsidRDefault="00C42470" w:rsidP="009C1CB7">
            <w:pPr>
              <w:spacing w:before="40" w:after="40"/>
              <w:rPr>
                <w:b/>
                <w:szCs w:val="20"/>
              </w:rPr>
            </w:pPr>
          </w:p>
        </w:tc>
      </w:tr>
      <w:tr w:rsidR="00C42470" w14:paraId="00DAE059" w14:textId="77777777" w:rsidTr="009C1CB7">
        <w:tc>
          <w:tcPr>
            <w:tcW w:w="6300" w:type="dxa"/>
            <w:tcBorders>
              <w:bottom w:val="single" w:sz="4" w:space="0" w:color="auto"/>
            </w:tcBorders>
          </w:tcPr>
          <w:p w14:paraId="33BF47B2"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C2E4AE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6FC9EE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46961C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9D9094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645B78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B9F25A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374C04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003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4F19EB5" w14:textId="77777777" w:rsidTr="009C1CB7">
        <w:tc>
          <w:tcPr>
            <w:tcW w:w="9853" w:type="dxa"/>
            <w:gridSpan w:val="9"/>
            <w:tcBorders>
              <w:left w:val="nil"/>
              <w:right w:val="nil"/>
            </w:tcBorders>
          </w:tcPr>
          <w:p w14:paraId="67DD6ED4" w14:textId="77777777" w:rsidR="00C42470" w:rsidRDefault="00C42470" w:rsidP="009C1CB7">
            <w:pPr>
              <w:spacing w:before="40" w:after="40"/>
              <w:rPr>
                <w:b/>
                <w:szCs w:val="20"/>
              </w:rPr>
            </w:pPr>
          </w:p>
        </w:tc>
      </w:tr>
      <w:tr w:rsidR="00C42470" w14:paraId="04E2DADD" w14:textId="77777777" w:rsidTr="009C1CB7">
        <w:tc>
          <w:tcPr>
            <w:tcW w:w="7148" w:type="dxa"/>
            <w:gridSpan w:val="3"/>
            <w:tcBorders>
              <w:bottom w:val="single" w:sz="4" w:space="0" w:color="auto"/>
              <w:right w:val="nil"/>
            </w:tcBorders>
          </w:tcPr>
          <w:p w14:paraId="34624F4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877816"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7A16A70D"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52138D5D"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53231B80" w14:textId="77777777" w:rsidR="00C42470" w:rsidRDefault="00C42470" w:rsidP="009C1CB7">
            <w:pPr>
              <w:spacing w:before="40" w:after="40"/>
              <w:rPr>
                <w:b/>
                <w:szCs w:val="20"/>
              </w:rPr>
            </w:pPr>
          </w:p>
        </w:tc>
      </w:tr>
      <w:tr w:rsidR="00C42470" w14:paraId="40C14C0B" w14:textId="77777777" w:rsidTr="009C1CB7">
        <w:tc>
          <w:tcPr>
            <w:tcW w:w="9853" w:type="dxa"/>
            <w:gridSpan w:val="9"/>
            <w:tcBorders>
              <w:left w:val="nil"/>
              <w:right w:val="nil"/>
            </w:tcBorders>
          </w:tcPr>
          <w:p w14:paraId="0DF31034" w14:textId="77777777" w:rsidR="00C42470" w:rsidRDefault="00C42470" w:rsidP="009C1CB7">
            <w:pPr>
              <w:spacing w:before="40" w:after="40"/>
              <w:rPr>
                <w:b/>
                <w:szCs w:val="20"/>
              </w:rPr>
            </w:pPr>
          </w:p>
        </w:tc>
      </w:tr>
      <w:tr w:rsidR="00C42470" w14:paraId="63E7E246" w14:textId="77777777" w:rsidTr="009C1CB7">
        <w:tc>
          <w:tcPr>
            <w:tcW w:w="6300" w:type="dxa"/>
          </w:tcPr>
          <w:p w14:paraId="528F21D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811A811"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8697D2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F30700"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3606FEE"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5B2CAA3"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714AC7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6F2A89CE"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4DF5A5D6" w14:textId="77777777" w:rsidR="00C42470" w:rsidRDefault="00C42470" w:rsidP="009C1CB7">
            <w:pPr>
              <w:spacing w:before="40" w:after="40"/>
              <w:rPr>
                <w:b/>
                <w:szCs w:val="20"/>
              </w:rPr>
            </w:pPr>
            <w:r w:rsidRPr="0064176A">
              <w:rPr>
                <w:b/>
                <w:color w:val="D9D9D9" w:themeColor="background1" w:themeShade="D9"/>
                <w:szCs w:val="20"/>
              </w:rPr>
              <w:t>Y</w:t>
            </w:r>
          </w:p>
        </w:tc>
      </w:tr>
    </w:tbl>
    <w:p w14:paraId="51E087F9"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37FC1EC" w14:textId="77777777" w:rsidTr="00C42470">
        <w:trPr>
          <w:trHeight w:val="472"/>
        </w:trPr>
        <w:tc>
          <w:tcPr>
            <w:tcW w:w="5000" w:type="pct"/>
            <w:gridSpan w:val="2"/>
            <w:shd w:val="clear" w:color="auto" w:fill="ECE8D3"/>
            <w:vAlign w:val="center"/>
          </w:tcPr>
          <w:p w14:paraId="2DCD2E8E" w14:textId="77777777" w:rsidR="00DA39DC" w:rsidRPr="00C42470" w:rsidRDefault="00DA39DC" w:rsidP="00DA39DC">
            <w:pPr>
              <w:rPr>
                <w:sz w:val="20"/>
              </w:rPr>
            </w:pPr>
            <w:r w:rsidRPr="00C42470">
              <w:rPr>
                <w:b/>
                <w:sz w:val="20"/>
              </w:rPr>
              <w:t>Name of Company (3):</w:t>
            </w:r>
          </w:p>
        </w:tc>
      </w:tr>
      <w:tr w:rsidR="00DA39DC" w:rsidRPr="00C42470" w14:paraId="3042AE89" w14:textId="77777777" w:rsidTr="00C42470">
        <w:trPr>
          <w:trHeight w:val="472"/>
        </w:trPr>
        <w:tc>
          <w:tcPr>
            <w:tcW w:w="1470" w:type="pct"/>
            <w:vAlign w:val="center"/>
          </w:tcPr>
          <w:p w14:paraId="473F4763" w14:textId="77777777" w:rsidR="00DA39DC" w:rsidRPr="00C42470" w:rsidRDefault="00DA39DC" w:rsidP="00DA39DC">
            <w:pPr>
              <w:rPr>
                <w:sz w:val="20"/>
              </w:rPr>
            </w:pPr>
            <w:r w:rsidRPr="00C42470">
              <w:rPr>
                <w:sz w:val="20"/>
              </w:rPr>
              <w:t>Registration Number:</w:t>
            </w:r>
          </w:p>
        </w:tc>
        <w:tc>
          <w:tcPr>
            <w:tcW w:w="3530" w:type="pct"/>
            <w:vAlign w:val="center"/>
          </w:tcPr>
          <w:p w14:paraId="61A273D5" w14:textId="77777777" w:rsidR="00DA39DC" w:rsidRPr="00C42470" w:rsidRDefault="00DA39DC" w:rsidP="00DA39DC">
            <w:pPr>
              <w:rPr>
                <w:sz w:val="20"/>
              </w:rPr>
            </w:pPr>
          </w:p>
        </w:tc>
      </w:tr>
      <w:tr w:rsidR="00DA39DC" w:rsidRPr="00C42470" w14:paraId="5DB5358F" w14:textId="77777777" w:rsidTr="00C42470">
        <w:trPr>
          <w:trHeight w:val="472"/>
        </w:trPr>
        <w:tc>
          <w:tcPr>
            <w:tcW w:w="1470" w:type="pct"/>
            <w:vAlign w:val="center"/>
          </w:tcPr>
          <w:p w14:paraId="092E96CA" w14:textId="77777777" w:rsidR="00DA39DC" w:rsidRPr="00C42470" w:rsidRDefault="00DA39DC" w:rsidP="00DA39DC">
            <w:pPr>
              <w:rPr>
                <w:sz w:val="20"/>
              </w:rPr>
            </w:pPr>
            <w:r w:rsidRPr="00C42470">
              <w:rPr>
                <w:sz w:val="20"/>
              </w:rPr>
              <w:t>VAT Registration Number:</w:t>
            </w:r>
          </w:p>
        </w:tc>
        <w:tc>
          <w:tcPr>
            <w:tcW w:w="3530" w:type="pct"/>
            <w:vAlign w:val="center"/>
          </w:tcPr>
          <w:p w14:paraId="5B5B6EC4" w14:textId="77777777" w:rsidR="00DA39DC" w:rsidRPr="00C42470" w:rsidRDefault="00DA39DC" w:rsidP="00DA39DC">
            <w:pPr>
              <w:rPr>
                <w:sz w:val="20"/>
              </w:rPr>
            </w:pPr>
          </w:p>
        </w:tc>
      </w:tr>
      <w:tr w:rsidR="00DA39DC" w:rsidRPr="00C42470" w14:paraId="20780075" w14:textId="77777777" w:rsidTr="00C42470">
        <w:trPr>
          <w:trHeight w:val="472"/>
        </w:trPr>
        <w:tc>
          <w:tcPr>
            <w:tcW w:w="1470" w:type="pct"/>
            <w:vAlign w:val="center"/>
          </w:tcPr>
          <w:p w14:paraId="0BD49F6C" w14:textId="77777777" w:rsidR="00DA39DC" w:rsidRPr="00C42470" w:rsidRDefault="00DA39DC" w:rsidP="00DA39DC">
            <w:pPr>
              <w:rPr>
                <w:sz w:val="20"/>
              </w:rPr>
            </w:pPr>
            <w:r w:rsidRPr="00C42470">
              <w:rPr>
                <w:sz w:val="20"/>
              </w:rPr>
              <w:t>Contact Person:</w:t>
            </w:r>
          </w:p>
        </w:tc>
        <w:tc>
          <w:tcPr>
            <w:tcW w:w="3530" w:type="pct"/>
            <w:vAlign w:val="center"/>
          </w:tcPr>
          <w:p w14:paraId="76F497FF" w14:textId="77777777" w:rsidR="00DA39DC" w:rsidRPr="00C42470" w:rsidRDefault="00DA39DC" w:rsidP="00DA39DC">
            <w:pPr>
              <w:rPr>
                <w:sz w:val="20"/>
              </w:rPr>
            </w:pPr>
          </w:p>
        </w:tc>
      </w:tr>
      <w:tr w:rsidR="00DA39DC" w:rsidRPr="00C42470" w14:paraId="7FC847A5" w14:textId="77777777" w:rsidTr="00C42470">
        <w:trPr>
          <w:trHeight w:val="472"/>
        </w:trPr>
        <w:tc>
          <w:tcPr>
            <w:tcW w:w="1470" w:type="pct"/>
            <w:vAlign w:val="center"/>
          </w:tcPr>
          <w:p w14:paraId="36B654DB" w14:textId="77777777" w:rsidR="00DA39DC" w:rsidRPr="00C42470" w:rsidRDefault="00DA39DC" w:rsidP="00DA39DC">
            <w:pPr>
              <w:rPr>
                <w:sz w:val="20"/>
              </w:rPr>
            </w:pPr>
            <w:r w:rsidRPr="00C42470">
              <w:rPr>
                <w:sz w:val="20"/>
              </w:rPr>
              <w:t>Telephone Number:</w:t>
            </w:r>
          </w:p>
        </w:tc>
        <w:tc>
          <w:tcPr>
            <w:tcW w:w="3530" w:type="pct"/>
            <w:vAlign w:val="center"/>
          </w:tcPr>
          <w:p w14:paraId="0BE232EC" w14:textId="77777777" w:rsidR="00DA39DC" w:rsidRPr="00C42470" w:rsidRDefault="00DA39DC" w:rsidP="00DA39DC">
            <w:pPr>
              <w:rPr>
                <w:sz w:val="20"/>
              </w:rPr>
            </w:pPr>
          </w:p>
        </w:tc>
      </w:tr>
      <w:tr w:rsidR="00DA39DC" w:rsidRPr="00C42470" w14:paraId="3C569551" w14:textId="77777777" w:rsidTr="00C42470">
        <w:trPr>
          <w:trHeight w:val="472"/>
        </w:trPr>
        <w:tc>
          <w:tcPr>
            <w:tcW w:w="1470" w:type="pct"/>
            <w:vAlign w:val="center"/>
          </w:tcPr>
          <w:p w14:paraId="417182D2" w14:textId="77777777" w:rsidR="00DA39DC" w:rsidRPr="00C42470" w:rsidRDefault="00DA39DC" w:rsidP="00DA39DC">
            <w:pPr>
              <w:rPr>
                <w:sz w:val="20"/>
              </w:rPr>
            </w:pPr>
            <w:r w:rsidRPr="00C42470">
              <w:rPr>
                <w:sz w:val="20"/>
              </w:rPr>
              <w:t>Fax Number:</w:t>
            </w:r>
          </w:p>
        </w:tc>
        <w:tc>
          <w:tcPr>
            <w:tcW w:w="3530" w:type="pct"/>
            <w:vAlign w:val="center"/>
          </w:tcPr>
          <w:p w14:paraId="3AB4921F" w14:textId="77777777" w:rsidR="00DA39DC" w:rsidRPr="00C42470" w:rsidRDefault="00DA39DC" w:rsidP="00DA39DC">
            <w:pPr>
              <w:rPr>
                <w:sz w:val="20"/>
              </w:rPr>
            </w:pPr>
          </w:p>
        </w:tc>
      </w:tr>
      <w:tr w:rsidR="00DA39DC" w:rsidRPr="00C42470" w14:paraId="70FF4A28" w14:textId="77777777" w:rsidTr="00C42470">
        <w:trPr>
          <w:trHeight w:val="472"/>
        </w:trPr>
        <w:tc>
          <w:tcPr>
            <w:tcW w:w="1470" w:type="pct"/>
            <w:vAlign w:val="center"/>
          </w:tcPr>
          <w:p w14:paraId="60AB0709" w14:textId="77777777" w:rsidR="00DA39DC" w:rsidRPr="00C42470" w:rsidRDefault="00DA39DC" w:rsidP="00DA39DC">
            <w:pPr>
              <w:rPr>
                <w:sz w:val="20"/>
              </w:rPr>
            </w:pPr>
            <w:r w:rsidRPr="00C42470">
              <w:rPr>
                <w:sz w:val="20"/>
              </w:rPr>
              <w:t>Email Address:</w:t>
            </w:r>
          </w:p>
        </w:tc>
        <w:tc>
          <w:tcPr>
            <w:tcW w:w="3530" w:type="pct"/>
            <w:vAlign w:val="center"/>
          </w:tcPr>
          <w:p w14:paraId="1C39D078" w14:textId="77777777" w:rsidR="00DA39DC" w:rsidRPr="00C42470" w:rsidRDefault="00DA39DC" w:rsidP="00DA39DC">
            <w:pPr>
              <w:rPr>
                <w:sz w:val="20"/>
              </w:rPr>
            </w:pPr>
          </w:p>
        </w:tc>
      </w:tr>
      <w:tr w:rsidR="00DA39DC" w:rsidRPr="00C42470" w14:paraId="3069A4B4" w14:textId="77777777" w:rsidTr="00C42470">
        <w:trPr>
          <w:trHeight w:val="472"/>
        </w:trPr>
        <w:tc>
          <w:tcPr>
            <w:tcW w:w="1470" w:type="pct"/>
            <w:vAlign w:val="center"/>
          </w:tcPr>
          <w:p w14:paraId="0CCCD413" w14:textId="77777777" w:rsidR="00DA39DC" w:rsidRPr="00C42470" w:rsidRDefault="00DA39DC" w:rsidP="00DA39DC">
            <w:pPr>
              <w:rPr>
                <w:sz w:val="20"/>
              </w:rPr>
            </w:pPr>
            <w:r w:rsidRPr="00C42470">
              <w:rPr>
                <w:sz w:val="20"/>
              </w:rPr>
              <w:t>Postal Address:</w:t>
            </w:r>
          </w:p>
        </w:tc>
        <w:tc>
          <w:tcPr>
            <w:tcW w:w="3530" w:type="pct"/>
            <w:vAlign w:val="center"/>
          </w:tcPr>
          <w:p w14:paraId="28F093FA" w14:textId="77777777" w:rsidR="00DA39DC" w:rsidRPr="00C42470" w:rsidRDefault="00DA39DC" w:rsidP="00DA39DC">
            <w:pPr>
              <w:rPr>
                <w:sz w:val="20"/>
              </w:rPr>
            </w:pPr>
          </w:p>
        </w:tc>
      </w:tr>
      <w:tr w:rsidR="00DA39DC" w:rsidRPr="00C42470" w14:paraId="69999699" w14:textId="77777777" w:rsidTr="00C42470">
        <w:trPr>
          <w:trHeight w:val="888"/>
        </w:trPr>
        <w:tc>
          <w:tcPr>
            <w:tcW w:w="1470" w:type="pct"/>
          </w:tcPr>
          <w:p w14:paraId="5FE060C9"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3DEDDF3A" w14:textId="77777777" w:rsidR="00DA39DC" w:rsidRPr="00C42470" w:rsidRDefault="00DA39DC" w:rsidP="00DA39DC">
            <w:pPr>
              <w:rPr>
                <w:sz w:val="20"/>
              </w:rPr>
            </w:pPr>
          </w:p>
        </w:tc>
      </w:tr>
    </w:tbl>
    <w:p w14:paraId="44336651"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6D5F1008" w14:textId="77777777" w:rsidTr="00DA39DC">
        <w:tc>
          <w:tcPr>
            <w:tcW w:w="7148" w:type="dxa"/>
            <w:gridSpan w:val="3"/>
            <w:tcBorders>
              <w:bottom w:val="single" w:sz="4" w:space="0" w:color="auto"/>
              <w:right w:val="nil"/>
            </w:tcBorders>
          </w:tcPr>
          <w:p w14:paraId="02E8F923"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EAA60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4B7FBA" w14:textId="77777777" w:rsidR="00DA39DC" w:rsidRDefault="00DA39DC" w:rsidP="00DA39DC">
            <w:pPr>
              <w:spacing w:before="40" w:after="40"/>
              <w:rPr>
                <w:b/>
                <w:szCs w:val="20"/>
              </w:rPr>
            </w:pPr>
          </w:p>
        </w:tc>
        <w:tc>
          <w:tcPr>
            <w:tcW w:w="906" w:type="dxa"/>
            <w:gridSpan w:val="2"/>
            <w:tcBorders>
              <w:bottom w:val="single" w:sz="4" w:space="0" w:color="auto"/>
            </w:tcBorders>
          </w:tcPr>
          <w:p w14:paraId="506FD9DC"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6E05BE36" w14:textId="77777777" w:rsidR="00DA39DC" w:rsidRDefault="00DA39DC" w:rsidP="00DA39DC">
            <w:pPr>
              <w:spacing w:before="40" w:after="40"/>
              <w:rPr>
                <w:b/>
                <w:szCs w:val="20"/>
              </w:rPr>
            </w:pPr>
          </w:p>
        </w:tc>
      </w:tr>
      <w:tr w:rsidR="00DA39DC" w14:paraId="059BC4D3" w14:textId="77777777" w:rsidTr="00DA39DC">
        <w:tc>
          <w:tcPr>
            <w:tcW w:w="9853" w:type="dxa"/>
            <w:gridSpan w:val="9"/>
            <w:tcBorders>
              <w:left w:val="nil"/>
              <w:right w:val="nil"/>
            </w:tcBorders>
          </w:tcPr>
          <w:p w14:paraId="72F6EAD4" w14:textId="77777777" w:rsidR="00DA39DC" w:rsidRDefault="00DA39DC" w:rsidP="00DA39DC">
            <w:pPr>
              <w:spacing w:before="40" w:after="40"/>
              <w:rPr>
                <w:b/>
                <w:szCs w:val="20"/>
              </w:rPr>
            </w:pPr>
          </w:p>
        </w:tc>
      </w:tr>
      <w:tr w:rsidR="00DA39DC" w14:paraId="1652D516" w14:textId="77777777" w:rsidTr="00DA39DC">
        <w:tc>
          <w:tcPr>
            <w:tcW w:w="6300" w:type="dxa"/>
            <w:tcBorders>
              <w:bottom w:val="single" w:sz="4" w:space="0" w:color="auto"/>
            </w:tcBorders>
          </w:tcPr>
          <w:p w14:paraId="43DA853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135F33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DC0431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3DADF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EC8FE3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4FCD3A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F50EF9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F05420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7C3319A"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6C37890D" w14:textId="77777777" w:rsidTr="00DA39DC">
        <w:tc>
          <w:tcPr>
            <w:tcW w:w="9853" w:type="dxa"/>
            <w:gridSpan w:val="9"/>
            <w:tcBorders>
              <w:left w:val="nil"/>
              <w:right w:val="nil"/>
            </w:tcBorders>
          </w:tcPr>
          <w:p w14:paraId="02C57574" w14:textId="77777777" w:rsidR="00DA39DC" w:rsidRDefault="00DA39DC" w:rsidP="00DA39DC">
            <w:pPr>
              <w:spacing w:before="40" w:after="40"/>
              <w:rPr>
                <w:b/>
                <w:szCs w:val="20"/>
              </w:rPr>
            </w:pPr>
          </w:p>
        </w:tc>
      </w:tr>
      <w:tr w:rsidR="00DA39DC" w14:paraId="7CED87FF" w14:textId="77777777" w:rsidTr="00DA39DC">
        <w:tc>
          <w:tcPr>
            <w:tcW w:w="7148" w:type="dxa"/>
            <w:gridSpan w:val="3"/>
            <w:tcBorders>
              <w:bottom w:val="single" w:sz="4" w:space="0" w:color="auto"/>
              <w:right w:val="nil"/>
            </w:tcBorders>
          </w:tcPr>
          <w:p w14:paraId="2991B47B"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5C5ADB8"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A6604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58C88E56"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21094D77" w14:textId="77777777" w:rsidR="00DA39DC" w:rsidRDefault="00DA39DC" w:rsidP="00DA39DC">
            <w:pPr>
              <w:spacing w:before="40" w:after="40"/>
              <w:rPr>
                <w:b/>
                <w:szCs w:val="20"/>
              </w:rPr>
            </w:pPr>
          </w:p>
        </w:tc>
      </w:tr>
      <w:tr w:rsidR="00DA39DC" w14:paraId="4337C3F4" w14:textId="77777777" w:rsidTr="00DA39DC">
        <w:tc>
          <w:tcPr>
            <w:tcW w:w="9853" w:type="dxa"/>
            <w:gridSpan w:val="9"/>
            <w:tcBorders>
              <w:left w:val="nil"/>
              <w:right w:val="nil"/>
            </w:tcBorders>
          </w:tcPr>
          <w:p w14:paraId="3F874390" w14:textId="77777777" w:rsidR="00DA39DC" w:rsidRDefault="00DA39DC" w:rsidP="00DA39DC">
            <w:pPr>
              <w:spacing w:before="40" w:after="40"/>
              <w:rPr>
                <w:b/>
                <w:szCs w:val="20"/>
              </w:rPr>
            </w:pPr>
          </w:p>
        </w:tc>
      </w:tr>
      <w:tr w:rsidR="00DA39DC" w14:paraId="5EE5ECF0" w14:textId="77777777" w:rsidTr="00DA39DC">
        <w:tc>
          <w:tcPr>
            <w:tcW w:w="6300" w:type="dxa"/>
          </w:tcPr>
          <w:p w14:paraId="4D653CE9"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3FDE853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56AA8A1E"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7817EA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DE3EF9B"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5C6BF695"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34DF93E9"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003A2D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52DF6301" w14:textId="77777777" w:rsidR="00DA39DC" w:rsidRDefault="00DA39DC" w:rsidP="00DA39DC">
            <w:pPr>
              <w:spacing w:before="40" w:after="40"/>
              <w:rPr>
                <w:b/>
                <w:szCs w:val="20"/>
              </w:rPr>
            </w:pPr>
            <w:r w:rsidRPr="0064176A">
              <w:rPr>
                <w:b/>
                <w:color w:val="D9D9D9" w:themeColor="background1" w:themeShade="D9"/>
                <w:szCs w:val="20"/>
              </w:rPr>
              <w:t>Y</w:t>
            </w:r>
          </w:p>
        </w:tc>
      </w:tr>
    </w:tbl>
    <w:p w14:paraId="35BF97AB"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08D2C785" w14:textId="77777777" w:rsidTr="00DA39DC">
        <w:tc>
          <w:tcPr>
            <w:tcW w:w="5000" w:type="pct"/>
            <w:gridSpan w:val="5"/>
            <w:tcBorders>
              <w:bottom w:val="nil"/>
            </w:tcBorders>
          </w:tcPr>
          <w:p w14:paraId="122A44DB"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7AA02ED7"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E31F187" w14:textId="77777777" w:rsidR="00DA39DC" w:rsidRPr="00C42470" w:rsidRDefault="00DA39DC" w:rsidP="00DA39DC">
            <w:pPr>
              <w:rPr>
                <w:sz w:val="20"/>
                <w:szCs w:val="20"/>
              </w:rPr>
            </w:pPr>
          </w:p>
          <w:p w14:paraId="0D0BB8F7" w14:textId="77777777" w:rsidR="00DA39DC" w:rsidRPr="00C42470" w:rsidRDefault="00DA39DC" w:rsidP="00DA39DC">
            <w:pPr>
              <w:rPr>
                <w:sz w:val="20"/>
                <w:szCs w:val="20"/>
              </w:rPr>
            </w:pPr>
          </w:p>
          <w:p w14:paraId="15C38505" w14:textId="77777777" w:rsidR="00DA39DC" w:rsidRPr="00C42470" w:rsidRDefault="00DA39DC" w:rsidP="00DA39DC">
            <w:pPr>
              <w:rPr>
                <w:sz w:val="20"/>
                <w:szCs w:val="20"/>
              </w:rPr>
            </w:pPr>
          </w:p>
        </w:tc>
      </w:tr>
      <w:tr w:rsidR="00DA39DC" w:rsidRPr="00C42470" w14:paraId="33586A4A" w14:textId="77777777" w:rsidTr="00DA39DC">
        <w:tc>
          <w:tcPr>
            <w:tcW w:w="2356" w:type="pct"/>
            <w:gridSpan w:val="2"/>
            <w:tcBorders>
              <w:top w:val="nil"/>
              <w:bottom w:val="single" w:sz="4" w:space="0" w:color="auto"/>
              <w:right w:val="nil"/>
            </w:tcBorders>
          </w:tcPr>
          <w:p w14:paraId="193CDD5C" w14:textId="77777777" w:rsidR="00DA39DC" w:rsidRPr="00C42470" w:rsidRDefault="00DA39DC" w:rsidP="00DA39DC">
            <w:pPr>
              <w:rPr>
                <w:sz w:val="20"/>
                <w:szCs w:val="20"/>
              </w:rPr>
            </w:pPr>
          </w:p>
          <w:p w14:paraId="4F04D40F" w14:textId="77777777" w:rsidR="00DA39DC" w:rsidRPr="00C42470" w:rsidRDefault="00DA39DC" w:rsidP="00DA39DC">
            <w:pPr>
              <w:rPr>
                <w:sz w:val="20"/>
                <w:szCs w:val="20"/>
              </w:rPr>
            </w:pPr>
          </w:p>
          <w:p w14:paraId="074821CA" w14:textId="77777777" w:rsidR="00DA39DC" w:rsidRPr="00C42470" w:rsidRDefault="00DA39DC" w:rsidP="00DA39DC">
            <w:pPr>
              <w:rPr>
                <w:sz w:val="20"/>
                <w:szCs w:val="20"/>
              </w:rPr>
            </w:pPr>
          </w:p>
        </w:tc>
        <w:tc>
          <w:tcPr>
            <w:tcW w:w="229" w:type="pct"/>
            <w:tcBorders>
              <w:top w:val="nil"/>
              <w:left w:val="nil"/>
              <w:bottom w:val="nil"/>
              <w:right w:val="nil"/>
            </w:tcBorders>
          </w:tcPr>
          <w:p w14:paraId="7544E9CB"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6FC9FF6A" w14:textId="77777777" w:rsidR="00DA39DC" w:rsidRPr="00C42470" w:rsidRDefault="00DA39DC" w:rsidP="00DA39DC">
            <w:pPr>
              <w:rPr>
                <w:sz w:val="20"/>
                <w:szCs w:val="20"/>
              </w:rPr>
            </w:pPr>
          </w:p>
        </w:tc>
      </w:tr>
      <w:tr w:rsidR="00DA39DC" w:rsidRPr="00C42470" w14:paraId="04A29643" w14:textId="77777777" w:rsidTr="00DA39DC">
        <w:tc>
          <w:tcPr>
            <w:tcW w:w="2356" w:type="pct"/>
            <w:gridSpan w:val="2"/>
            <w:tcBorders>
              <w:bottom w:val="nil"/>
              <w:right w:val="nil"/>
            </w:tcBorders>
          </w:tcPr>
          <w:p w14:paraId="61F25832"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292E62A9" w14:textId="77777777" w:rsidR="00DA39DC" w:rsidRPr="00C42470" w:rsidRDefault="00DA39DC" w:rsidP="00DA39DC">
            <w:pPr>
              <w:rPr>
                <w:sz w:val="20"/>
                <w:szCs w:val="20"/>
              </w:rPr>
            </w:pPr>
          </w:p>
        </w:tc>
        <w:tc>
          <w:tcPr>
            <w:tcW w:w="2416" w:type="pct"/>
            <w:gridSpan w:val="2"/>
            <w:tcBorders>
              <w:left w:val="nil"/>
              <w:bottom w:val="nil"/>
            </w:tcBorders>
          </w:tcPr>
          <w:p w14:paraId="738BC7D5" w14:textId="77777777" w:rsidR="00DA39DC" w:rsidRPr="00C42470" w:rsidRDefault="00DA39DC" w:rsidP="00DA39DC">
            <w:pPr>
              <w:spacing w:before="40"/>
              <w:rPr>
                <w:sz w:val="20"/>
                <w:szCs w:val="20"/>
              </w:rPr>
            </w:pPr>
            <w:r w:rsidRPr="00C42470">
              <w:rPr>
                <w:b/>
                <w:sz w:val="20"/>
                <w:szCs w:val="20"/>
              </w:rPr>
              <w:t>DATE</w:t>
            </w:r>
          </w:p>
          <w:p w14:paraId="547E196F" w14:textId="77777777" w:rsidR="00DA39DC" w:rsidRPr="00C42470" w:rsidRDefault="00DA39DC" w:rsidP="00DA39DC">
            <w:pPr>
              <w:rPr>
                <w:sz w:val="20"/>
                <w:szCs w:val="20"/>
              </w:rPr>
            </w:pPr>
          </w:p>
        </w:tc>
      </w:tr>
      <w:tr w:rsidR="00DA39DC" w:rsidRPr="00C42470" w14:paraId="4D46B00D" w14:textId="77777777" w:rsidTr="00DA39DC">
        <w:tc>
          <w:tcPr>
            <w:tcW w:w="1177" w:type="pct"/>
            <w:tcBorders>
              <w:top w:val="nil"/>
              <w:bottom w:val="nil"/>
              <w:right w:val="nil"/>
            </w:tcBorders>
          </w:tcPr>
          <w:p w14:paraId="6C6B4122" w14:textId="77777777" w:rsidR="00DA39DC" w:rsidRPr="00C42470" w:rsidRDefault="00DA39DC" w:rsidP="00DA39DC">
            <w:pPr>
              <w:rPr>
                <w:b/>
                <w:sz w:val="20"/>
                <w:szCs w:val="20"/>
              </w:rPr>
            </w:pPr>
          </w:p>
          <w:p w14:paraId="69AEA96A" w14:textId="77777777" w:rsidR="00DA39DC" w:rsidRPr="00C42470" w:rsidRDefault="00DA39DC" w:rsidP="00DA39DC">
            <w:pPr>
              <w:rPr>
                <w:b/>
                <w:sz w:val="20"/>
                <w:szCs w:val="20"/>
              </w:rPr>
            </w:pPr>
          </w:p>
          <w:p w14:paraId="6CA62F48"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3E70CCF3" w14:textId="77777777" w:rsidR="00DA39DC" w:rsidRPr="00C42470" w:rsidRDefault="00DA39DC" w:rsidP="00DA39DC">
            <w:pPr>
              <w:rPr>
                <w:sz w:val="20"/>
                <w:szCs w:val="20"/>
              </w:rPr>
            </w:pPr>
          </w:p>
        </w:tc>
        <w:tc>
          <w:tcPr>
            <w:tcW w:w="1208" w:type="pct"/>
            <w:tcBorders>
              <w:top w:val="nil"/>
              <w:left w:val="nil"/>
              <w:bottom w:val="nil"/>
            </w:tcBorders>
          </w:tcPr>
          <w:p w14:paraId="0873606B" w14:textId="77777777" w:rsidR="00DA39DC" w:rsidRPr="00C42470" w:rsidRDefault="00DA39DC" w:rsidP="00DA39DC">
            <w:pPr>
              <w:rPr>
                <w:sz w:val="20"/>
                <w:szCs w:val="20"/>
              </w:rPr>
            </w:pPr>
          </w:p>
        </w:tc>
      </w:tr>
      <w:tr w:rsidR="00DA39DC" w:rsidRPr="00C42470" w14:paraId="6F7536AA" w14:textId="77777777" w:rsidTr="00DA39DC">
        <w:tc>
          <w:tcPr>
            <w:tcW w:w="5000" w:type="pct"/>
            <w:gridSpan w:val="5"/>
            <w:tcBorders>
              <w:top w:val="nil"/>
            </w:tcBorders>
          </w:tcPr>
          <w:p w14:paraId="2BDCD1F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5170CCFF" w14:textId="77777777" w:rsidR="00DA39DC" w:rsidRPr="00C42470" w:rsidRDefault="00DA39DC" w:rsidP="00DA39DC">
            <w:pPr>
              <w:jc w:val="center"/>
              <w:rPr>
                <w:sz w:val="20"/>
                <w:szCs w:val="20"/>
              </w:rPr>
            </w:pPr>
          </w:p>
        </w:tc>
      </w:tr>
    </w:tbl>
    <w:p w14:paraId="7EBF0466" w14:textId="77777777" w:rsidR="00881341" w:rsidRDefault="00881341" w:rsidP="00DA39DC"/>
    <w:p w14:paraId="0118CBF2" w14:textId="77777777" w:rsidR="00881341" w:rsidRDefault="00881341" w:rsidP="00881341"/>
    <w:sectPr w:rsidR="00881341" w:rsidSect="00E014D9">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A5906" w14:textId="77777777" w:rsidR="004378F2" w:rsidRDefault="004378F2" w:rsidP="00CD1845">
      <w:pPr>
        <w:spacing w:before="0" w:after="0" w:line="240" w:lineRule="auto"/>
      </w:pPr>
      <w:r>
        <w:separator/>
      </w:r>
    </w:p>
    <w:p w14:paraId="58D6147E" w14:textId="77777777" w:rsidR="004378F2" w:rsidRDefault="004378F2"/>
  </w:endnote>
  <w:endnote w:type="continuationSeparator" w:id="0">
    <w:p w14:paraId="673DD990" w14:textId="77777777" w:rsidR="004378F2" w:rsidRDefault="004378F2" w:rsidP="00CD1845">
      <w:pPr>
        <w:spacing w:before="0" w:after="0" w:line="240" w:lineRule="auto"/>
      </w:pPr>
      <w:r>
        <w:continuationSeparator/>
      </w:r>
    </w:p>
    <w:p w14:paraId="4AD05B47" w14:textId="77777777" w:rsidR="004378F2" w:rsidRDefault="00437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6E8E" w14:textId="77777777" w:rsidR="00FD62D7" w:rsidRPr="000C2C64" w:rsidRDefault="00FD62D7">
    <w:pPr>
      <w:pStyle w:val="Footer"/>
      <w:rPr>
        <w:color w:val="A6A6A6" w:themeColor="background1" w:themeShade="A6"/>
      </w:rPr>
    </w:pPr>
    <w:r w:rsidRPr="000C2C64">
      <w:rPr>
        <w:color w:val="A6A6A6" w:themeColor="background1" w:themeShade="A6"/>
      </w:rPr>
      <w:t>FBD-SCM-20</w:t>
    </w:r>
    <w:r>
      <w:rPr>
        <w:color w:val="A6A6A6" w:themeColor="background1" w:themeShade="A6"/>
      </w:rPr>
      <w:t>22</w:t>
    </w:r>
    <w:r w:rsidRPr="000C2C64">
      <w:rPr>
        <w:color w:val="A6A6A6" w:themeColor="background1" w:themeShade="A6"/>
      </w:rPr>
      <w:t>-</w:t>
    </w:r>
    <w:r>
      <w:rPr>
        <w:color w:val="A6A6A6" w:themeColor="background1" w:themeShade="A6"/>
      </w:rPr>
      <w:t>TEM-</w:t>
    </w:r>
    <w:r w:rsidRPr="000C2C64">
      <w:rPr>
        <w:color w:val="A6A6A6" w:themeColor="background1" w:themeShade="A6"/>
      </w:rPr>
      <w:t>00 R</w:t>
    </w:r>
    <w:r>
      <w:rPr>
        <w:color w:val="A6A6A6" w:themeColor="background1" w:themeShade="A6"/>
      </w:rPr>
      <w:t xml:space="preserve">ev </w:t>
    </w:r>
    <w:r w:rsidRPr="000C2C64">
      <w:rPr>
        <w:color w:val="A6A6A6" w:themeColor="background1" w:themeShade="A6"/>
      </w:rPr>
      <w:t>0</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20</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20</w:t>
    </w:r>
    <w:r>
      <w:rPr>
        <w:noProof/>
        <w:color w:val="A6A6A6" w:themeColor="background1" w:themeShade="A6"/>
      </w:rPr>
      <w:fldChar w:fldCharType="end"/>
    </w:r>
  </w:p>
  <w:p w14:paraId="277C1614" w14:textId="77777777" w:rsidR="00FD62D7" w:rsidRDefault="00FD62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E8B59" w14:textId="77777777" w:rsidR="004378F2" w:rsidRDefault="004378F2" w:rsidP="00CD1845">
      <w:pPr>
        <w:spacing w:before="0" w:after="0" w:line="240" w:lineRule="auto"/>
      </w:pPr>
      <w:r>
        <w:separator/>
      </w:r>
    </w:p>
    <w:p w14:paraId="14C4BBC3" w14:textId="77777777" w:rsidR="004378F2" w:rsidRDefault="004378F2"/>
  </w:footnote>
  <w:footnote w:type="continuationSeparator" w:id="0">
    <w:p w14:paraId="459F100D" w14:textId="77777777" w:rsidR="004378F2" w:rsidRDefault="004378F2" w:rsidP="00CD1845">
      <w:pPr>
        <w:spacing w:before="0" w:after="0" w:line="240" w:lineRule="auto"/>
      </w:pPr>
      <w:r>
        <w:continuationSeparator/>
      </w:r>
    </w:p>
    <w:p w14:paraId="0237A987" w14:textId="77777777" w:rsidR="004378F2" w:rsidRDefault="004378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3"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4"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5" w15:restartNumberingAfterBreak="0">
    <w:nsid w:val="1F524508"/>
    <w:multiLevelType w:val="hybridMultilevel"/>
    <w:tmpl w:val="16AAE7A6"/>
    <w:lvl w:ilvl="0" w:tplc="04090001">
      <w:start w:val="1"/>
      <w:numFmt w:val="bullet"/>
      <w:lvlText w:val=""/>
      <w:lvlJc w:val="left"/>
      <w:pPr>
        <w:ind w:left="2451" w:hanging="360"/>
      </w:pPr>
      <w:rPr>
        <w:rFonts w:ascii="Symbol" w:hAnsi="Symbol" w:hint="default"/>
      </w:rPr>
    </w:lvl>
    <w:lvl w:ilvl="1" w:tplc="1C090003" w:tentative="1">
      <w:start w:val="1"/>
      <w:numFmt w:val="bullet"/>
      <w:lvlText w:val="o"/>
      <w:lvlJc w:val="left"/>
      <w:pPr>
        <w:ind w:left="3171" w:hanging="360"/>
      </w:pPr>
      <w:rPr>
        <w:rFonts w:ascii="Courier New" w:hAnsi="Courier New" w:cs="Courier New" w:hint="default"/>
      </w:rPr>
    </w:lvl>
    <w:lvl w:ilvl="2" w:tplc="1C090005" w:tentative="1">
      <w:start w:val="1"/>
      <w:numFmt w:val="bullet"/>
      <w:lvlText w:val=""/>
      <w:lvlJc w:val="left"/>
      <w:pPr>
        <w:ind w:left="3891" w:hanging="360"/>
      </w:pPr>
      <w:rPr>
        <w:rFonts w:ascii="Wingdings" w:hAnsi="Wingdings" w:hint="default"/>
      </w:rPr>
    </w:lvl>
    <w:lvl w:ilvl="3" w:tplc="1C090001" w:tentative="1">
      <w:start w:val="1"/>
      <w:numFmt w:val="bullet"/>
      <w:lvlText w:val=""/>
      <w:lvlJc w:val="left"/>
      <w:pPr>
        <w:ind w:left="4611" w:hanging="360"/>
      </w:pPr>
      <w:rPr>
        <w:rFonts w:ascii="Symbol" w:hAnsi="Symbol" w:hint="default"/>
      </w:rPr>
    </w:lvl>
    <w:lvl w:ilvl="4" w:tplc="1C090003" w:tentative="1">
      <w:start w:val="1"/>
      <w:numFmt w:val="bullet"/>
      <w:lvlText w:val="o"/>
      <w:lvlJc w:val="left"/>
      <w:pPr>
        <w:ind w:left="5331" w:hanging="360"/>
      </w:pPr>
      <w:rPr>
        <w:rFonts w:ascii="Courier New" w:hAnsi="Courier New" w:cs="Courier New" w:hint="default"/>
      </w:rPr>
    </w:lvl>
    <w:lvl w:ilvl="5" w:tplc="1C090005" w:tentative="1">
      <w:start w:val="1"/>
      <w:numFmt w:val="bullet"/>
      <w:lvlText w:val=""/>
      <w:lvlJc w:val="left"/>
      <w:pPr>
        <w:ind w:left="6051" w:hanging="360"/>
      </w:pPr>
      <w:rPr>
        <w:rFonts w:ascii="Wingdings" w:hAnsi="Wingdings" w:hint="default"/>
      </w:rPr>
    </w:lvl>
    <w:lvl w:ilvl="6" w:tplc="1C090001" w:tentative="1">
      <w:start w:val="1"/>
      <w:numFmt w:val="bullet"/>
      <w:lvlText w:val=""/>
      <w:lvlJc w:val="left"/>
      <w:pPr>
        <w:ind w:left="6771" w:hanging="360"/>
      </w:pPr>
      <w:rPr>
        <w:rFonts w:ascii="Symbol" w:hAnsi="Symbol" w:hint="default"/>
      </w:rPr>
    </w:lvl>
    <w:lvl w:ilvl="7" w:tplc="1C090003" w:tentative="1">
      <w:start w:val="1"/>
      <w:numFmt w:val="bullet"/>
      <w:lvlText w:val="o"/>
      <w:lvlJc w:val="left"/>
      <w:pPr>
        <w:ind w:left="7491" w:hanging="360"/>
      </w:pPr>
      <w:rPr>
        <w:rFonts w:ascii="Courier New" w:hAnsi="Courier New" w:cs="Courier New" w:hint="default"/>
      </w:rPr>
    </w:lvl>
    <w:lvl w:ilvl="8" w:tplc="1C090005" w:tentative="1">
      <w:start w:val="1"/>
      <w:numFmt w:val="bullet"/>
      <w:lvlText w:val=""/>
      <w:lvlJc w:val="left"/>
      <w:pPr>
        <w:ind w:left="8211" w:hanging="360"/>
      </w:pPr>
      <w:rPr>
        <w:rFonts w:ascii="Wingdings" w:hAnsi="Wingdings" w:hint="default"/>
      </w:rPr>
    </w:lvl>
  </w:abstractNum>
  <w:abstractNum w:abstractNumId="6"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 w15:restartNumberingAfterBreak="0">
    <w:nsid w:val="2E897EE2"/>
    <w:multiLevelType w:val="multilevel"/>
    <w:tmpl w:val="3266E85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8"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0"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1" w15:restartNumberingAfterBreak="0">
    <w:nsid w:val="3BE45291"/>
    <w:multiLevelType w:val="multilevel"/>
    <w:tmpl w:val="166EED9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3" w15:restartNumberingAfterBreak="0">
    <w:nsid w:val="43EF6A38"/>
    <w:multiLevelType w:val="hybridMultilevel"/>
    <w:tmpl w:val="6F7AF366"/>
    <w:lvl w:ilvl="0" w:tplc="1C09000B">
      <w:start w:val="1"/>
      <w:numFmt w:val="bullet"/>
      <w:lvlText w:val=""/>
      <w:lvlJc w:val="left"/>
      <w:pPr>
        <w:ind w:left="2487"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6"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585F0240"/>
    <w:multiLevelType w:val="hybridMultilevel"/>
    <w:tmpl w:val="CB365B6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9"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FC30324"/>
    <w:multiLevelType w:val="multilevel"/>
    <w:tmpl w:val="DC66D6FA"/>
    <w:numStyleLink w:val="ACSListStyle"/>
  </w:abstractNum>
  <w:abstractNum w:abstractNumId="21" w15:restartNumberingAfterBreak="0">
    <w:nsid w:val="61751A1B"/>
    <w:multiLevelType w:val="hybridMultilevel"/>
    <w:tmpl w:val="FDECDBB6"/>
    <w:lvl w:ilvl="0" w:tplc="8EF23D2A">
      <w:start w:val="3"/>
      <w:numFmt w:val="bullet"/>
      <w:lvlText w:val="-"/>
      <w:lvlJc w:val="left"/>
      <w:pPr>
        <w:ind w:left="2451" w:hanging="360"/>
      </w:pPr>
      <w:rPr>
        <w:rFonts w:ascii="Arial" w:eastAsia="Times New Roman" w:hAnsi="Arial" w:cs="Arial" w:hint="default"/>
      </w:rPr>
    </w:lvl>
    <w:lvl w:ilvl="1" w:tplc="1C090003" w:tentative="1">
      <w:start w:val="1"/>
      <w:numFmt w:val="bullet"/>
      <w:lvlText w:val="o"/>
      <w:lvlJc w:val="left"/>
      <w:pPr>
        <w:ind w:left="3171" w:hanging="360"/>
      </w:pPr>
      <w:rPr>
        <w:rFonts w:ascii="Courier New" w:hAnsi="Courier New" w:cs="Courier New" w:hint="default"/>
      </w:rPr>
    </w:lvl>
    <w:lvl w:ilvl="2" w:tplc="1C090005" w:tentative="1">
      <w:start w:val="1"/>
      <w:numFmt w:val="bullet"/>
      <w:lvlText w:val=""/>
      <w:lvlJc w:val="left"/>
      <w:pPr>
        <w:ind w:left="3891" w:hanging="360"/>
      </w:pPr>
      <w:rPr>
        <w:rFonts w:ascii="Wingdings" w:hAnsi="Wingdings" w:hint="default"/>
      </w:rPr>
    </w:lvl>
    <w:lvl w:ilvl="3" w:tplc="1C090001" w:tentative="1">
      <w:start w:val="1"/>
      <w:numFmt w:val="bullet"/>
      <w:lvlText w:val=""/>
      <w:lvlJc w:val="left"/>
      <w:pPr>
        <w:ind w:left="4611" w:hanging="360"/>
      </w:pPr>
      <w:rPr>
        <w:rFonts w:ascii="Symbol" w:hAnsi="Symbol" w:hint="default"/>
      </w:rPr>
    </w:lvl>
    <w:lvl w:ilvl="4" w:tplc="1C090003" w:tentative="1">
      <w:start w:val="1"/>
      <w:numFmt w:val="bullet"/>
      <w:lvlText w:val="o"/>
      <w:lvlJc w:val="left"/>
      <w:pPr>
        <w:ind w:left="5331" w:hanging="360"/>
      </w:pPr>
      <w:rPr>
        <w:rFonts w:ascii="Courier New" w:hAnsi="Courier New" w:cs="Courier New" w:hint="default"/>
      </w:rPr>
    </w:lvl>
    <w:lvl w:ilvl="5" w:tplc="1C090005" w:tentative="1">
      <w:start w:val="1"/>
      <w:numFmt w:val="bullet"/>
      <w:lvlText w:val=""/>
      <w:lvlJc w:val="left"/>
      <w:pPr>
        <w:ind w:left="6051" w:hanging="360"/>
      </w:pPr>
      <w:rPr>
        <w:rFonts w:ascii="Wingdings" w:hAnsi="Wingdings" w:hint="default"/>
      </w:rPr>
    </w:lvl>
    <w:lvl w:ilvl="6" w:tplc="1C090001" w:tentative="1">
      <w:start w:val="1"/>
      <w:numFmt w:val="bullet"/>
      <w:lvlText w:val=""/>
      <w:lvlJc w:val="left"/>
      <w:pPr>
        <w:ind w:left="6771" w:hanging="360"/>
      </w:pPr>
      <w:rPr>
        <w:rFonts w:ascii="Symbol" w:hAnsi="Symbol" w:hint="default"/>
      </w:rPr>
    </w:lvl>
    <w:lvl w:ilvl="7" w:tplc="1C090003" w:tentative="1">
      <w:start w:val="1"/>
      <w:numFmt w:val="bullet"/>
      <w:lvlText w:val="o"/>
      <w:lvlJc w:val="left"/>
      <w:pPr>
        <w:ind w:left="7491" w:hanging="360"/>
      </w:pPr>
      <w:rPr>
        <w:rFonts w:ascii="Courier New" w:hAnsi="Courier New" w:cs="Courier New" w:hint="default"/>
      </w:rPr>
    </w:lvl>
    <w:lvl w:ilvl="8" w:tplc="1C090005" w:tentative="1">
      <w:start w:val="1"/>
      <w:numFmt w:val="bullet"/>
      <w:lvlText w:val=""/>
      <w:lvlJc w:val="left"/>
      <w:pPr>
        <w:ind w:left="8211" w:hanging="360"/>
      </w:pPr>
      <w:rPr>
        <w:rFonts w:ascii="Wingdings" w:hAnsi="Wingdings" w:hint="default"/>
      </w:rPr>
    </w:lvl>
  </w:abstractNum>
  <w:abstractNum w:abstractNumId="22"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3"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3"/>
  </w:num>
  <w:num w:numId="3">
    <w:abstractNumId w:val="2"/>
  </w:num>
  <w:num w:numId="4">
    <w:abstractNumId w:val="12"/>
  </w:num>
  <w:num w:numId="5">
    <w:abstractNumId w:val="20"/>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3"/>
  </w:num>
  <w:num w:numId="7">
    <w:abstractNumId w:val="7"/>
  </w:num>
  <w:num w:numId="8">
    <w:abstractNumId w:val="18"/>
  </w:num>
  <w:num w:numId="9">
    <w:abstractNumId w:val="4"/>
  </w:num>
  <w:num w:numId="10">
    <w:abstractNumId w:val="8"/>
  </w:num>
  <w:num w:numId="11">
    <w:abstractNumId w:val="7"/>
  </w:num>
  <w:num w:numId="12">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5"/>
  </w:num>
  <w:num w:numId="16">
    <w:abstractNumId w:val="0"/>
  </w:num>
  <w:num w:numId="17">
    <w:abstractNumId w:val="7"/>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1211" w:hanging="851"/>
        </w:pPr>
        <w:rPr>
          <w:rFonts w:hint="default"/>
          <w:color w:val="auto"/>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2"/>
  </w:num>
  <w:num w:numId="19">
    <w:abstractNumId w:val="10"/>
  </w:num>
  <w:num w:numId="20">
    <w:abstractNumId w:val="19"/>
  </w:num>
  <w:num w:numId="21">
    <w:abstractNumId w:val="16"/>
  </w:num>
  <w:num w:numId="22">
    <w:abstractNumId w:val="9"/>
  </w:num>
  <w:num w:numId="23">
    <w:abstractNumId w:val="11"/>
  </w:num>
  <w:num w:numId="24">
    <w:abstractNumId w:val="21"/>
  </w:num>
  <w:num w:numId="25">
    <w:abstractNumId w:val="13"/>
  </w:num>
  <w:num w:numId="26">
    <w:abstractNumId w:val="7"/>
  </w:num>
  <w:num w:numId="27">
    <w:abstractNumId w:val="7"/>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8">
    <w:abstractNumId w:val="5"/>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7B62"/>
    <w:rsid w:val="0002512C"/>
    <w:rsid w:val="0002680D"/>
    <w:rsid w:val="000324A9"/>
    <w:rsid w:val="00032E12"/>
    <w:rsid w:val="000354C7"/>
    <w:rsid w:val="00036E6E"/>
    <w:rsid w:val="00041B57"/>
    <w:rsid w:val="00042CBC"/>
    <w:rsid w:val="00056E94"/>
    <w:rsid w:val="00061760"/>
    <w:rsid w:val="00081095"/>
    <w:rsid w:val="00081FB4"/>
    <w:rsid w:val="000A211B"/>
    <w:rsid w:val="000A2987"/>
    <w:rsid w:val="000A39A9"/>
    <w:rsid w:val="000B07DB"/>
    <w:rsid w:val="000C0D4E"/>
    <w:rsid w:val="000C2C64"/>
    <w:rsid w:val="000C44C2"/>
    <w:rsid w:val="000E593A"/>
    <w:rsid w:val="000F6C24"/>
    <w:rsid w:val="000F6CD7"/>
    <w:rsid w:val="00135FAB"/>
    <w:rsid w:val="00137086"/>
    <w:rsid w:val="001420EF"/>
    <w:rsid w:val="001445BC"/>
    <w:rsid w:val="00155EAC"/>
    <w:rsid w:val="001563A8"/>
    <w:rsid w:val="00183AC8"/>
    <w:rsid w:val="0019440B"/>
    <w:rsid w:val="001A0B85"/>
    <w:rsid w:val="001A60EF"/>
    <w:rsid w:val="001A6269"/>
    <w:rsid w:val="001B218A"/>
    <w:rsid w:val="001C0355"/>
    <w:rsid w:val="001D0780"/>
    <w:rsid w:val="001D0DA4"/>
    <w:rsid w:val="001D4236"/>
    <w:rsid w:val="001E2406"/>
    <w:rsid w:val="00213098"/>
    <w:rsid w:val="00213B92"/>
    <w:rsid w:val="00214253"/>
    <w:rsid w:val="0021630F"/>
    <w:rsid w:val="00222530"/>
    <w:rsid w:val="00231D93"/>
    <w:rsid w:val="00234045"/>
    <w:rsid w:val="00240A34"/>
    <w:rsid w:val="0025693F"/>
    <w:rsid w:val="00262EFB"/>
    <w:rsid w:val="002643E9"/>
    <w:rsid w:val="00264F10"/>
    <w:rsid w:val="0027177B"/>
    <w:rsid w:val="00272969"/>
    <w:rsid w:val="002734D4"/>
    <w:rsid w:val="0027565A"/>
    <w:rsid w:val="002820D5"/>
    <w:rsid w:val="00292449"/>
    <w:rsid w:val="002953A1"/>
    <w:rsid w:val="002A30B7"/>
    <w:rsid w:val="002B71AB"/>
    <w:rsid w:val="002B72C1"/>
    <w:rsid w:val="002C07BA"/>
    <w:rsid w:val="002C45AC"/>
    <w:rsid w:val="002D3216"/>
    <w:rsid w:val="002E0CB1"/>
    <w:rsid w:val="002E3842"/>
    <w:rsid w:val="002E7DFD"/>
    <w:rsid w:val="002F2FD6"/>
    <w:rsid w:val="002F37E7"/>
    <w:rsid w:val="0030524C"/>
    <w:rsid w:val="00316C87"/>
    <w:rsid w:val="00320E76"/>
    <w:rsid w:val="00321A11"/>
    <w:rsid w:val="00321D60"/>
    <w:rsid w:val="00330A4C"/>
    <w:rsid w:val="00332F00"/>
    <w:rsid w:val="00353BAA"/>
    <w:rsid w:val="00354032"/>
    <w:rsid w:val="0035761A"/>
    <w:rsid w:val="00366531"/>
    <w:rsid w:val="00371754"/>
    <w:rsid w:val="00373840"/>
    <w:rsid w:val="003912DA"/>
    <w:rsid w:val="00395CAC"/>
    <w:rsid w:val="003A235B"/>
    <w:rsid w:val="003A6821"/>
    <w:rsid w:val="003B0F32"/>
    <w:rsid w:val="003B5673"/>
    <w:rsid w:val="003C4B3D"/>
    <w:rsid w:val="003D5ADD"/>
    <w:rsid w:val="003E10BA"/>
    <w:rsid w:val="00414D47"/>
    <w:rsid w:val="00417399"/>
    <w:rsid w:val="00425BEF"/>
    <w:rsid w:val="00434D2F"/>
    <w:rsid w:val="004378F2"/>
    <w:rsid w:val="00444306"/>
    <w:rsid w:val="004513DE"/>
    <w:rsid w:val="0045269F"/>
    <w:rsid w:val="0046111A"/>
    <w:rsid w:val="0047318E"/>
    <w:rsid w:val="0047600F"/>
    <w:rsid w:val="004820F8"/>
    <w:rsid w:val="00484FDB"/>
    <w:rsid w:val="00487FAC"/>
    <w:rsid w:val="00495E4C"/>
    <w:rsid w:val="004B3FB7"/>
    <w:rsid w:val="004C7C23"/>
    <w:rsid w:val="004D0B61"/>
    <w:rsid w:val="004D2A5D"/>
    <w:rsid w:val="004D4729"/>
    <w:rsid w:val="004D7299"/>
    <w:rsid w:val="004E279C"/>
    <w:rsid w:val="004E53F3"/>
    <w:rsid w:val="004F20E5"/>
    <w:rsid w:val="00505652"/>
    <w:rsid w:val="00533B25"/>
    <w:rsid w:val="005431D3"/>
    <w:rsid w:val="00544FC3"/>
    <w:rsid w:val="0055026D"/>
    <w:rsid w:val="0055231C"/>
    <w:rsid w:val="00554C52"/>
    <w:rsid w:val="005565CF"/>
    <w:rsid w:val="00572925"/>
    <w:rsid w:val="0058176B"/>
    <w:rsid w:val="0058651E"/>
    <w:rsid w:val="0058701E"/>
    <w:rsid w:val="00591A56"/>
    <w:rsid w:val="005935EE"/>
    <w:rsid w:val="005A55BE"/>
    <w:rsid w:val="005B1E63"/>
    <w:rsid w:val="005B1F78"/>
    <w:rsid w:val="005C3E6E"/>
    <w:rsid w:val="005C489D"/>
    <w:rsid w:val="005D49AB"/>
    <w:rsid w:val="005F7F05"/>
    <w:rsid w:val="006026B8"/>
    <w:rsid w:val="00606F19"/>
    <w:rsid w:val="00616F82"/>
    <w:rsid w:val="00623F1D"/>
    <w:rsid w:val="0062799F"/>
    <w:rsid w:val="00640CAA"/>
    <w:rsid w:val="0064408D"/>
    <w:rsid w:val="00656EA3"/>
    <w:rsid w:val="00665A43"/>
    <w:rsid w:val="0067202A"/>
    <w:rsid w:val="00674E3E"/>
    <w:rsid w:val="00676612"/>
    <w:rsid w:val="00691D2C"/>
    <w:rsid w:val="00692D3C"/>
    <w:rsid w:val="00696826"/>
    <w:rsid w:val="006A1D0F"/>
    <w:rsid w:val="006A1F7A"/>
    <w:rsid w:val="006B3A5D"/>
    <w:rsid w:val="006B719C"/>
    <w:rsid w:val="006C25DE"/>
    <w:rsid w:val="006E040B"/>
    <w:rsid w:val="006E2467"/>
    <w:rsid w:val="006E77C9"/>
    <w:rsid w:val="006E7A53"/>
    <w:rsid w:val="006F114D"/>
    <w:rsid w:val="00706280"/>
    <w:rsid w:val="0071520B"/>
    <w:rsid w:val="0073463F"/>
    <w:rsid w:val="00753D7A"/>
    <w:rsid w:val="007612F8"/>
    <w:rsid w:val="007622D8"/>
    <w:rsid w:val="00763B66"/>
    <w:rsid w:val="007641D7"/>
    <w:rsid w:val="00765515"/>
    <w:rsid w:val="00774358"/>
    <w:rsid w:val="00784B99"/>
    <w:rsid w:val="007937E0"/>
    <w:rsid w:val="00797BFE"/>
    <w:rsid w:val="007B143E"/>
    <w:rsid w:val="007B1994"/>
    <w:rsid w:val="007C6D39"/>
    <w:rsid w:val="007D66F8"/>
    <w:rsid w:val="007D6F0B"/>
    <w:rsid w:val="007E3A64"/>
    <w:rsid w:val="007F64A7"/>
    <w:rsid w:val="00806C82"/>
    <w:rsid w:val="00813A84"/>
    <w:rsid w:val="00813B0A"/>
    <w:rsid w:val="00826386"/>
    <w:rsid w:val="0082767A"/>
    <w:rsid w:val="00832F82"/>
    <w:rsid w:val="008346F6"/>
    <w:rsid w:val="008406F2"/>
    <w:rsid w:val="00840DA5"/>
    <w:rsid w:val="00844159"/>
    <w:rsid w:val="00846EA9"/>
    <w:rsid w:val="008610B6"/>
    <w:rsid w:val="00863543"/>
    <w:rsid w:val="00864BFE"/>
    <w:rsid w:val="00866E9F"/>
    <w:rsid w:val="00874BFF"/>
    <w:rsid w:val="008753D1"/>
    <w:rsid w:val="00881341"/>
    <w:rsid w:val="0088306C"/>
    <w:rsid w:val="008A0405"/>
    <w:rsid w:val="008A1DCF"/>
    <w:rsid w:val="008A22D5"/>
    <w:rsid w:val="008A4C1A"/>
    <w:rsid w:val="008B29C4"/>
    <w:rsid w:val="008B6833"/>
    <w:rsid w:val="008D0194"/>
    <w:rsid w:val="008D5104"/>
    <w:rsid w:val="008F0B57"/>
    <w:rsid w:val="008F340D"/>
    <w:rsid w:val="008F6C51"/>
    <w:rsid w:val="00905170"/>
    <w:rsid w:val="00905AE4"/>
    <w:rsid w:val="00910C2B"/>
    <w:rsid w:val="00910C2C"/>
    <w:rsid w:val="00914100"/>
    <w:rsid w:val="009171F1"/>
    <w:rsid w:val="009214E0"/>
    <w:rsid w:val="00926678"/>
    <w:rsid w:val="00931917"/>
    <w:rsid w:val="00935123"/>
    <w:rsid w:val="009457DF"/>
    <w:rsid w:val="00966EA2"/>
    <w:rsid w:val="00995B11"/>
    <w:rsid w:val="009A1AF8"/>
    <w:rsid w:val="009B06AF"/>
    <w:rsid w:val="009C1CB7"/>
    <w:rsid w:val="009D0A5D"/>
    <w:rsid w:val="009D0C1B"/>
    <w:rsid w:val="009D2CA9"/>
    <w:rsid w:val="009D79A3"/>
    <w:rsid w:val="009E0D11"/>
    <w:rsid w:val="009E22B6"/>
    <w:rsid w:val="009E2B01"/>
    <w:rsid w:val="009F70F8"/>
    <w:rsid w:val="00A17959"/>
    <w:rsid w:val="00A17B9F"/>
    <w:rsid w:val="00A276E8"/>
    <w:rsid w:val="00A35D39"/>
    <w:rsid w:val="00A42E16"/>
    <w:rsid w:val="00A43171"/>
    <w:rsid w:val="00A527D1"/>
    <w:rsid w:val="00A6159F"/>
    <w:rsid w:val="00A66E07"/>
    <w:rsid w:val="00A80364"/>
    <w:rsid w:val="00A83372"/>
    <w:rsid w:val="00A9008F"/>
    <w:rsid w:val="00A946E5"/>
    <w:rsid w:val="00AB18ED"/>
    <w:rsid w:val="00AB3FE5"/>
    <w:rsid w:val="00AB427B"/>
    <w:rsid w:val="00AB5CE3"/>
    <w:rsid w:val="00AB75D0"/>
    <w:rsid w:val="00AC5AAB"/>
    <w:rsid w:val="00AE1249"/>
    <w:rsid w:val="00AF6E97"/>
    <w:rsid w:val="00B01F21"/>
    <w:rsid w:val="00B24500"/>
    <w:rsid w:val="00B60238"/>
    <w:rsid w:val="00B629F5"/>
    <w:rsid w:val="00B64EF1"/>
    <w:rsid w:val="00B6512B"/>
    <w:rsid w:val="00B81BCE"/>
    <w:rsid w:val="00B83E99"/>
    <w:rsid w:val="00B87D31"/>
    <w:rsid w:val="00B9514E"/>
    <w:rsid w:val="00BB06C4"/>
    <w:rsid w:val="00BB0CE5"/>
    <w:rsid w:val="00BB0E4C"/>
    <w:rsid w:val="00BC7666"/>
    <w:rsid w:val="00BD70A3"/>
    <w:rsid w:val="00BE284A"/>
    <w:rsid w:val="00BE55D8"/>
    <w:rsid w:val="00BE6089"/>
    <w:rsid w:val="00BF1076"/>
    <w:rsid w:val="00BF3410"/>
    <w:rsid w:val="00C174B4"/>
    <w:rsid w:val="00C1777E"/>
    <w:rsid w:val="00C17B09"/>
    <w:rsid w:val="00C17C0F"/>
    <w:rsid w:val="00C37554"/>
    <w:rsid w:val="00C42470"/>
    <w:rsid w:val="00C429C7"/>
    <w:rsid w:val="00C75B53"/>
    <w:rsid w:val="00C75B7C"/>
    <w:rsid w:val="00C87215"/>
    <w:rsid w:val="00C92C3A"/>
    <w:rsid w:val="00C95C94"/>
    <w:rsid w:val="00CB01CB"/>
    <w:rsid w:val="00CD1845"/>
    <w:rsid w:val="00CD3071"/>
    <w:rsid w:val="00CE4976"/>
    <w:rsid w:val="00D116B1"/>
    <w:rsid w:val="00D1522C"/>
    <w:rsid w:val="00D16A98"/>
    <w:rsid w:val="00D25348"/>
    <w:rsid w:val="00D26EC8"/>
    <w:rsid w:val="00D36F9C"/>
    <w:rsid w:val="00D43C55"/>
    <w:rsid w:val="00D44703"/>
    <w:rsid w:val="00D4654A"/>
    <w:rsid w:val="00D46D76"/>
    <w:rsid w:val="00D52537"/>
    <w:rsid w:val="00D61FB8"/>
    <w:rsid w:val="00D6488C"/>
    <w:rsid w:val="00D7511D"/>
    <w:rsid w:val="00D80ABE"/>
    <w:rsid w:val="00D85993"/>
    <w:rsid w:val="00D875A8"/>
    <w:rsid w:val="00D87919"/>
    <w:rsid w:val="00D87C32"/>
    <w:rsid w:val="00D907E9"/>
    <w:rsid w:val="00DA39DC"/>
    <w:rsid w:val="00DB2A3E"/>
    <w:rsid w:val="00DB77DD"/>
    <w:rsid w:val="00DD29EF"/>
    <w:rsid w:val="00DD2F17"/>
    <w:rsid w:val="00DE0330"/>
    <w:rsid w:val="00DE5700"/>
    <w:rsid w:val="00DF0309"/>
    <w:rsid w:val="00DF0B0E"/>
    <w:rsid w:val="00E014D9"/>
    <w:rsid w:val="00E03B36"/>
    <w:rsid w:val="00E0536F"/>
    <w:rsid w:val="00E16A45"/>
    <w:rsid w:val="00E24128"/>
    <w:rsid w:val="00E25BF8"/>
    <w:rsid w:val="00E2616F"/>
    <w:rsid w:val="00E37FC0"/>
    <w:rsid w:val="00E40364"/>
    <w:rsid w:val="00E43C4C"/>
    <w:rsid w:val="00E6458C"/>
    <w:rsid w:val="00E64B24"/>
    <w:rsid w:val="00E661B7"/>
    <w:rsid w:val="00E67CB6"/>
    <w:rsid w:val="00E7099B"/>
    <w:rsid w:val="00E75FAF"/>
    <w:rsid w:val="00E7728F"/>
    <w:rsid w:val="00E87E22"/>
    <w:rsid w:val="00E9599A"/>
    <w:rsid w:val="00EB32E4"/>
    <w:rsid w:val="00EB5082"/>
    <w:rsid w:val="00EC22C1"/>
    <w:rsid w:val="00ED5928"/>
    <w:rsid w:val="00ED76CB"/>
    <w:rsid w:val="00ED79CD"/>
    <w:rsid w:val="00EE134C"/>
    <w:rsid w:val="00EE5C88"/>
    <w:rsid w:val="00EF0563"/>
    <w:rsid w:val="00EF0568"/>
    <w:rsid w:val="00F01342"/>
    <w:rsid w:val="00F02CA8"/>
    <w:rsid w:val="00F31DC4"/>
    <w:rsid w:val="00F3718B"/>
    <w:rsid w:val="00F46E0A"/>
    <w:rsid w:val="00F616A4"/>
    <w:rsid w:val="00F80D24"/>
    <w:rsid w:val="00FA4A35"/>
    <w:rsid w:val="00FB1E06"/>
    <w:rsid w:val="00FC5B79"/>
    <w:rsid w:val="00FD62D7"/>
    <w:rsid w:val="00FE25CB"/>
    <w:rsid w:val="00FE394B"/>
    <w:rsid w:val="00FE652A"/>
    <w:rsid w:val="00FF2734"/>
    <w:rsid w:val="00FF2E37"/>
    <w:rsid w:val="00FF49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250C"/>
  <w15:docId w15:val="{24543422-41E6-4316-AF54-4918AD47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lsdException w:name="heading 2" w:semiHidden="1" w:uiPriority="1" w:unhideWhenUsed="1"/>
    <w:lsdException w:name="heading 3" w:semiHidden="1" w:uiPriority="1"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1"/>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1"/>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1"/>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outlineLvl w:val="1"/>
    </w:pPr>
    <w:rPr>
      <w:b/>
      <w:caps/>
      <w:sz w:val="24"/>
    </w:rPr>
  </w:style>
  <w:style w:type="paragraph" w:styleId="Index3">
    <w:name w:val="index 3"/>
    <w:basedOn w:val="Normal"/>
    <w:next w:val="1Paragraph"/>
    <w:autoRedefine/>
    <w:uiPriority w:val="99"/>
    <w:unhideWhenUsed/>
    <w:qFormat/>
    <w:rsid w:val="002E3842"/>
    <w:pPr>
      <w:numPr>
        <w:ilvl w:val="2"/>
        <w:numId w:val="17"/>
      </w:numPr>
      <w:spacing w:before="160" w:after="100" w:line="240" w:lineRule="auto"/>
      <w:ind w:left="851"/>
      <w:outlineLvl w:val="2"/>
    </w:pPr>
  </w:style>
  <w:style w:type="paragraph" w:styleId="Index4">
    <w:name w:val="index 4"/>
    <w:basedOn w:val="Normal"/>
    <w:autoRedefine/>
    <w:uiPriority w:val="99"/>
    <w:unhideWhenUsed/>
    <w:qFormat/>
    <w:rsid w:val="00844159"/>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591A56"/>
    <w:rPr>
      <w:sz w:val="16"/>
      <w:szCs w:val="16"/>
    </w:rPr>
  </w:style>
  <w:style w:type="paragraph" w:styleId="Caption">
    <w:name w:val="caption"/>
    <w:basedOn w:val="Normal"/>
    <w:next w:val="Normal"/>
    <w:uiPriority w:val="35"/>
    <w:unhideWhenUsed/>
    <w:qFormat/>
    <w:rsid w:val="00591A56"/>
    <w:pPr>
      <w:spacing w:before="0" w:after="200" w:line="240" w:lineRule="auto"/>
    </w:pPr>
    <w:rPr>
      <w:b/>
      <w:bCs/>
      <w:color w:val="5B9BD5" w:themeColor="accent1"/>
      <w:sz w:val="18"/>
      <w:szCs w:val="18"/>
    </w:rPr>
  </w:style>
  <w:style w:type="paragraph" w:styleId="CommentSubject">
    <w:name w:val="annotation subject"/>
    <w:basedOn w:val="CommentText"/>
    <w:next w:val="CommentText"/>
    <w:link w:val="CommentSubjectChar"/>
    <w:semiHidden/>
    <w:unhideWhenUsed/>
    <w:rsid w:val="00A17959"/>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A17959"/>
    <w:rPr>
      <w:rFonts w:ascii="Arial" w:hAnsi="Arial" w:cs="Arial"/>
      <w:b/>
      <w:bCs/>
      <w:iCs/>
      <w:sz w:val="20"/>
      <w:szCs w:val="20"/>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59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uilty.rivombo@necsa.co.z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0BDD7F33AA4805B84A33780DD7E8AC"/>
        <w:category>
          <w:name w:val="General"/>
          <w:gallery w:val="placeholder"/>
        </w:category>
        <w:types>
          <w:type w:val="bbPlcHdr"/>
        </w:types>
        <w:behaviors>
          <w:behavior w:val="content"/>
        </w:behaviors>
        <w:guid w:val="{37FB839C-09C6-43F8-973C-23D3F40A2E7F}"/>
      </w:docPartPr>
      <w:docPartBody>
        <w:p w:rsidR="00DE591A" w:rsidRDefault="00263E1A" w:rsidP="00263E1A">
          <w:pPr>
            <w:pStyle w:val="790BDD7F33AA4805B84A33780DD7E8AC"/>
          </w:pPr>
          <w:r w:rsidRPr="00D6323E">
            <w:rPr>
              <w:rStyle w:val="PlaceholderText"/>
              <w:b/>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3E1A"/>
    <w:rsid w:val="0001538B"/>
    <w:rsid w:val="000611AF"/>
    <w:rsid w:val="000B3CFA"/>
    <w:rsid w:val="000C70E0"/>
    <w:rsid w:val="000E13BF"/>
    <w:rsid w:val="00236624"/>
    <w:rsid w:val="00263E1A"/>
    <w:rsid w:val="002A50A7"/>
    <w:rsid w:val="002F7122"/>
    <w:rsid w:val="00413056"/>
    <w:rsid w:val="00446847"/>
    <w:rsid w:val="004968AE"/>
    <w:rsid w:val="00507349"/>
    <w:rsid w:val="00543E43"/>
    <w:rsid w:val="00625058"/>
    <w:rsid w:val="00677F26"/>
    <w:rsid w:val="006A2758"/>
    <w:rsid w:val="00715D8C"/>
    <w:rsid w:val="00725CB9"/>
    <w:rsid w:val="007320DE"/>
    <w:rsid w:val="00770667"/>
    <w:rsid w:val="007B7A81"/>
    <w:rsid w:val="0083325D"/>
    <w:rsid w:val="0084230E"/>
    <w:rsid w:val="008A33C2"/>
    <w:rsid w:val="008D3DA3"/>
    <w:rsid w:val="008E6B91"/>
    <w:rsid w:val="00A002DF"/>
    <w:rsid w:val="00A17E14"/>
    <w:rsid w:val="00B65762"/>
    <w:rsid w:val="00BB5301"/>
    <w:rsid w:val="00BD7B89"/>
    <w:rsid w:val="00C62275"/>
    <w:rsid w:val="00D91C3C"/>
    <w:rsid w:val="00DE591A"/>
    <w:rsid w:val="00E047B6"/>
    <w:rsid w:val="00E1205E"/>
    <w:rsid w:val="00E1294D"/>
    <w:rsid w:val="00E714A6"/>
    <w:rsid w:val="00EE16D4"/>
    <w:rsid w:val="00EF37C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3C2"/>
    <w:rPr>
      <w:color w:val="808080"/>
    </w:rPr>
  </w:style>
  <w:style w:type="paragraph" w:customStyle="1" w:styleId="790BDD7F33AA4805B84A33780DD7E8AC">
    <w:name w:val="790BDD7F33AA4805B84A33780DD7E8AC"/>
    <w:rsid w:val="00263E1A"/>
  </w:style>
  <w:style w:type="paragraph" w:customStyle="1" w:styleId="D9775A9DE50C43AC889AB310AD30296A">
    <w:name w:val="D9775A9DE50C43AC889AB310AD30296A"/>
    <w:rsid w:val="00263E1A"/>
  </w:style>
  <w:style w:type="paragraph" w:customStyle="1" w:styleId="A5C5A67D1C2147EC99E3266FED93867A">
    <w:name w:val="A5C5A67D1C2147EC99E3266FED93867A"/>
    <w:rsid w:val="00263E1A"/>
  </w:style>
  <w:style w:type="paragraph" w:customStyle="1" w:styleId="4E62ECB0EE6E4D10A63F4FC4D803E261">
    <w:name w:val="4E62ECB0EE6E4D10A63F4FC4D803E261"/>
    <w:rsid w:val="00263E1A"/>
  </w:style>
  <w:style w:type="paragraph" w:customStyle="1" w:styleId="74F783A999D141B4AC095EF00F3EA1B1">
    <w:name w:val="74F783A999D141B4AC095EF00F3EA1B1"/>
    <w:rsid w:val="00263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A50A2-B171-4FC7-9DA1-99D6917E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5698</Words>
  <Characters>32483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2</cp:revision>
  <cp:lastPrinted>2019-09-05T05:57:00Z</cp:lastPrinted>
  <dcterms:created xsi:type="dcterms:W3CDTF">2024-07-24T07:51:00Z</dcterms:created>
  <dcterms:modified xsi:type="dcterms:W3CDTF">2024-07-24T07:51:00Z</dcterms:modified>
</cp:coreProperties>
</file>