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6950"/>
      </w:tblGrid>
      <w:tr w:rsidR="00E350FF" w:rsidRPr="00E350FF" w14:paraId="1548B374" w14:textId="77777777" w:rsidTr="00E350FF">
        <w:trPr>
          <w:trHeight w:val="567"/>
        </w:trPr>
        <w:tc>
          <w:tcPr>
            <w:tcW w:w="2904" w:type="dxa"/>
            <w:shd w:val="clear" w:color="auto" w:fill="auto"/>
            <w:vAlign w:val="center"/>
          </w:tcPr>
          <w:p w14:paraId="33378A30" w14:textId="77777777" w:rsidR="00E350FF" w:rsidRPr="00E350FF" w:rsidRDefault="00E350FF" w:rsidP="00E350FF">
            <w:pPr>
              <w:rPr>
                <w:rFonts w:ascii="Calibri" w:hAnsi="Calibri"/>
                <w:b/>
                <w:sz w:val="22"/>
                <w:szCs w:val="22"/>
                <w:lang w:val="en-GB"/>
              </w:rPr>
            </w:pPr>
            <w:r w:rsidRPr="00E350FF">
              <w:rPr>
                <w:rFonts w:ascii="Calibri" w:hAnsi="Calibri"/>
                <w:b/>
                <w:sz w:val="22"/>
                <w:szCs w:val="22"/>
                <w:lang w:val="en-GB"/>
              </w:rPr>
              <w:t>RFB REF. NO:</w:t>
            </w:r>
          </w:p>
        </w:tc>
        <w:tc>
          <w:tcPr>
            <w:tcW w:w="6950" w:type="dxa"/>
            <w:shd w:val="clear" w:color="auto" w:fill="auto"/>
            <w:vAlign w:val="center"/>
          </w:tcPr>
          <w:p w14:paraId="74BD17D8" w14:textId="77777777" w:rsidR="00E350FF" w:rsidRPr="00E350FF" w:rsidRDefault="00E350FF" w:rsidP="00E350FF">
            <w:pPr>
              <w:jc w:val="both"/>
              <w:rPr>
                <w:rFonts w:ascii="Calibri" w:hAnsi="Calibri"/>
                <w:b/>
                <w:sz w:val="22"/>
                <w:szCs w:val="22"/>
                <w:lang w:val="en-GB"/>
              </w:rPr>
            </w:pPr>
            <w:r w:rsidRPr="00E350FF">
              <w:rPr>
                <w:rFonts w:ascii="Calibri" w:hAnsi="Calibri" w:cs="Calibri"/>
                <w:b/>
                <w:bCs/>
                <w:color w:val="1D1B11"/>
                <w:sz w:val="22"/>
                <w:szCs w:val="22"/>
                <w:lang w:val="en-GB"/>
              </w:rPr>
              <w:t>RFB 2561/2022</w:t>
            </w:r>
          </w:p>
        </w:tc>
      </w:tr>
      <w:tr w:rsidR="00E350FF" w:rsidRPr="00E350FF" w14:paraId="18AD3B22" w14:textId="77777777" w:rsidTr="00E350FF">
        <w:trPr>
          <w:trHeight w:val="567"/>
        </w:trPr>
        <w:tc>
          <w:tcPr>
            <w:tcW w:w="2904" w:type="dxa"/>
            <w:shd w:val="clear" w:color="auto" w:fill="auto"/>
            <w:vAlign w:val="center"/>
          </w:tcPr>
          <w:p w14:paraId="211937E4" w14:textId="77777777" w:rsidR="00E350FF" w:rsidRPr="00E350FF" w:rsidRDefault="00E350FF" w:rsidP="00E350FF">
            <w:pPr>
              <w:rPr>
                <w:rFonts w:ascii="Calibri" w:hAnsi="Calibri"/>
                <w:b/>
                <w:sz w:val="22"/>
                <w:szCs w:val="22"/>
                <w:lang w:val="en-GB"/>
              </w:rPr>
            </w:pPr>
            <w:r w:rsidRPr="00E350FF">
              <w:rPr>
                <w:rFonts w:ascii="Calibri" w:hAnsi="Calibri"/>
                <w:b/>
                <w:sz w:val="22"/>
                <w:szCs w:val="22"/>
                <w:lang w:val="en-GB"/>
              </w:rPr>
              <w:t>DESCRIPTION</w:t>
            </w:r>
          </w:p>
        </w:tc>
        <w:tc>
          <w:tcPr>
            <w:tcW w:w="6950" w:type="dxa"/>
            <w:shd w:val="clear" w:color="auto" w:fill="auto"/>
            <w:vAlign w:val="center"/>
          </w:tcPr>
          <w:p w14:paraId="5F81FBFE" w14:textId="5769EAAF" w:rsidR="00E350FF" w:rsidRPr="00E350FF" w:rsidRDefault="005C47F7" w:rsidP="00E350FF">
            <w:pPr>
              <w:jc w:val="both"/>
              <w:rPr>
                <w:rFonts w:ascii="Calibri" w:hAnsi="Calibri"/>
                <w:b/>
                <w:bCs/>
                <w:sz w:val="22"/>
                <w:szCs w:val="22"/>
                <w:lang w:val="en-GB"/>
              </w:rPr>
            </w:pPr>
            <w:bookmarkStart w:id="0" w:name="_GoBack"/>
            <w:r w:rsidRPr="00E350FF">
              <w:rPr>
                <w:rFonts w:ascii="Calibri" w:hAnsi="Calibri" w:cs="Calibri"/>
                <w:b/>
                <w:bCs/>
                <w:color w:val="1D1B11"/>
                <w:sz w:val="22"/>
                <w:szCs w:val="22"/>
                <w:lang w:val="en-GB"/>
              </w:rPr>
              <w:t xml:space="preserve">Procurement </w:t>
            </w:r>
            <w:proofErr w:type="gramStart"/>
            <w:r w:rsidRPr="00E350FF">
              <w:rPr>
                <w:rFonts w:ascii="Calibri" w:hAnsi="Calibri" w:cs="Calibri"/>
                <w:b/>
                <w:bCs/>
                <w:color w:val="1D1B11"/>
                <w:sz w:val="22"/>
                <w:szCs w:val="22"/>
                <w:lang w:val="en-GB"/>
              </w:rPr>
              <w:t>And</w:t>
            </w:r>
            <w:proofErr w:type="gramEnd"/>
            <w:r w:rsidRPr="00E350FF">
              <w:rPr>
                <w:rFonts w:ascii="Calibri" w:hAnsi="Calibri" w:cs="Calibri"/>
                <w:b/>
                <w:bCs/>
                <w:color w:val="1D1B11"/>
                <w:sz w:val="22"/>
                <w:szCs w:val="22"/>
                <w:lang w:val="en-GB"/>
              </w:rPr>
              <w:t xml:space="preserve"> Installation Of A High Security Fence For The Outer Perimeter Of The SITA Centurion Property </w:t>
            </w:r>
            <w:bookmarkEnd w:id="0"/>
          </w:p>
        </w:tc>
      </w:tr>
      <w:tr w:rsidR="00E350FF" w:rsidRPr="00E350FF" w14:paraId="2802B213" w14:textId="77777777" w:rsidTr="00E350FF">
        <w:trPr>
          <w:trHeight w:val="567"/>
        </w:trPr>
        <w:tc>
          <w:tcPr>
            <w:tcW w:w="2904" w:type="dxa"/>
            <w:shd w:val="clear" w:color="auto" w:fill="auto"/>
            <w:vAlign w:val="center"/>
          </w:tcPr>
          <w:p w14:paraId="48C2447E" w14:textId="77777777" w:rsidR="00E350FF" w:rsidRPr="00E350FF" w:rsidRDefault="00E350FF" w:rsidP="00E350FF">
            <w:pPr>
              <w:rPr>
                <w:rFonts w:ascii="Calibri" w:hAnsi="Calibri"/>
                <w:b/>
                <w:sz w:val="22"/>
                <w:szCs w:val="22"/>
                <w:lang w:val="en-GB"/>
              </w:rPr>
            </w:pPr>
            <w:r w:rsidRPr="00E350FF">
              <w:rPr>
                <w:rFonts w:ascii="Calibri" w:hAnsi="Calibri"/>
                <w:b/>
                <w:sz w:val="22"/>
                <w:szCs w:val="22"/>
                <w:lang w:val="en-GB"/>
              </w:rPr>
              <w:t>VENDOR BRIEFING SESSION</w:t>
            </w:r>
          </w:p>
        </w:tc>
        <w:tc>
          <w:tcPr>
            <w:tcW w:w="6950" w:type="dxa"/>
            <w:shd w:val="clear" w:color="auto" w:fill="auto"/>
            <w:vAlign w:val="center"/>
          </w:tcPr>
          <w:p w14:paraId="5FCA7801" w14:textId="77777777" w:rsidR="00E350FF" w:rsidRPr="00E350FF" w:rsidRDefault="00E350FF" w:rsidP="00E350FF">
            <w:pPr>
              <w:spacing w:line="360" w:lineRule="auto"/>
              <w:jc w:val="both"/>
              <w:rPr>
                <w:rFonts w:ascii="Calibri" w:hAnsi="Calibri"/>
                <w:b/>
                <w:bCs/>
                <w:color w:val="FF0000"/>
                <w:sz w:val="22"/>
                <w:szCs w:val="22"/>
                <w:lang w:val="en-GB"/>
              </w:rPr>
            </w:pPr>
            <w:r w:rsidRPr="00E350FF">
              <w:rPr>
                <w:rFonts w:ascii="Calibri" w:hAnsi="Calibri"/>
                <w:b/>
                <w:bCs/>
                <w:color w:val="FF0000"/>
                <w:sz w:val="22"/>
                <w:szCs w:val="22"/>
                <w:lang w:val="en-GB"/>
              </w:rPr>
              <w:t xml:space="preserve">COMPULSORY SITE MEETING AND BRIEFING SESSION </w:t>
            </w:r>
          </w:p>
          <w:p w14:paraId="756A9D38" w14:textId="77777777" w:rsidR="00E350FF" w:rsidRPr="00E350FF" w:rsidRDefault="00E350FF" w:rsidP="00E350FF">
            <w:pPr>
              <w:spacing w:line="360" w:lineRule="auto"/>
              <w:jc w:val="both"/>
              <w:rPr>
                <w:rFonts w:ascii="Calibri" w:hAnsi="Calibri"/>
                <w:b/>
                <w:color w:val="FF0000"/>
                <w:sz w:val="22"/>
                <w:szCs w:val="22"/>
                <w:lang w:val="en-GB"/>
              </w:rPr>
            </w:pPr>
            <w:r w:rsidRPr="00E350FF">
              <w:rPr>
                <w:rFonts w:ascii="Calibri" w:hAnsi="Calibri"/>
                <w:b/>
                <w:color w:val="FF0000"/>
                <w:sz w:val="22"/>
                <w:szCs w:val="22"/>
                <w:lang w:val="en-GB"/>
              </w:rPr>
              <w:t>DATE: 03 JUNE 2022</w:t>
            </w:r>
          </w:p>
          <w:p w14:paraId="161E6BE7" w14:textId="77777777" w:rsidR="00E350FF" w:rsidRPr="00E350FF" w:rsidRDefault="00E350FF" w:rsidP="00E350FF">
            <w:pPr>
              <w:spacing w:line="360" w:lineRule="auto"/>
              <w:jc w:val="both"/>
              <w:rPr>
                <w:rFonts w:ascii="Calibri" w:hAnsi="Calibri"/>
                <w:b/>
                <w:color w:val="FF0000"/>
                <w:sz w:val="22"/>
                <w:szCs w:val="22"/>
                <w:lang w:val="en-GB"/>
              </w:rPr>
            </w:pPr>
            <w:r w:rsidRPr="00E350FF">
              <w:rPr>
                <w:rFonts w:ascii="Calibri" w:hAnsi="Calibri"/>
                <w:b/>
                <w:color w:val="FF0000"/>
                <w:sz w:val="22"/>
                <w:szCs w:val="22"/>
                <w:lang w:val="en-GB"/>
              </w:rPr>
              <w:t>TIME: 10:00 am</w:t>
            </w:r>
          </w:p>
          <w:p w14:paraId="281E2874" w14:textId="77777777" w:rsidR="00E350FF" w:rsidRPr="00E350FF" w:rsidRDefault="00E350FF" w:rsidP="00E350FF">
            <w:pPr>
              <w:spacing w:line="360" w:lineRule="auto"/>
              <w:jc w:val="both"/>
              <w:rPr>
                <w:rFonts w:ascii="Calibri" w:hAnsi="Calibri"/>
                <w:b/>
                <w:color w:val="FF0000"/>
                <w:sz w:val="22"/>
                <w:szCs w:val="22"/>
                <w:lang w:val="en-GB"/>
              </w:rPr>
            </w:pPr>
            <w:r w:rsidRPr="00E350FF">
              <w:rPr>
                <w:rFonts w:ascii="Calibri" w:hAnsi="Calibri"/>
                <w:b/>
                <w:color w:val="FF0000"/>
                <w:sz w:val="22"/>
                <w:szCs w:val="22"/>
                <w:lang w:val="en-GB"/>
              </w:rPr>
              <w:t>PLACE: SITA CENTURION AUDITORIUM</w:t>
            </w:r>
          </w:p>
        </w:tc>
      </w:tr>
      <w:tr w:rsidR="00E350FF" w:rsidRPr="00E350FF" w14:paraId="7EF9470A" w14:textId="77777777" w:rsidTr="00E350FF">
        <w:trPr>
          <w:trHeight w:val="567"/>
        </w:trPr>
        <w:tc>
          <w:tcPr>
            <w:tcW w:w="2904" w:type="dxa"/>
            <w:shd w:val="clear" w:color="auto" w:fill="auto"/>
            <w:vAlign w:val="center"/>
          </w:tcPr>
          <w:p w14:paraId="0A7644C5" w14:textId="77777777" w:rsidR="00E350FF" w:rsidRPr="00E350FF" w:rsidRDefault="00E350FF" w:rsidP="00E350FF">
            <w:pPr>
              <w:rPr>
                <w:rFonts w:ascii="Calibri" w:hAnsi="Calibri"/>
                <w:b/>
                <w:sz w:val="22"/>
                <w:szCs w:val="22"/>
                <w:lang w:val="en-GB"/>
              </w:rPr>
            </w:pPr>
            <w:r w:rsidRPr="00E350FF">
              <w:rPr>
                <w:rFonts w:ascii="Calibri" w:hAnsi="Calibri"/>
                <w:b/>
                <w:sz w:val="22"/>
                <w:szCs w:val="22"/>
                <w:lang w:val="en-GB"/>
              </w:rPr>
              <w:t>CLOSING DATE FOR QUESTIONS / QUERIES</w:t>
            </w:r>
          </w:p>
        </w:tc>
        <w:tc>
          <w:tcPr>
            <w:tcW w:w="6950" w:type="dxa"/>
            <w:shd w:val="clear" w:color="auto" w:fill="auto"/>
            <w:vAlign w:val="center"/>
          </w:tcPr>
          <w:p w14:paraId="7638E014" w14:textId="710073AE" w:rsidR="00E350FF" w:rsidRPr="00E350FF" w:rsidRDefault="00E350FF" w:rsidP="00E350FF">
            <w:pPr>
              <w:spacing w:line="360" w:lineRule="auto"/>
              <w:jc w:val="both"/>
              <w:rPr>
                <w:rFonts w:ascii="Calibri" w:hAnsi="Calibri"/>
                <w:b/>
                <w:color w:val="FF0000"/>
                <w:sz w:val="22"/>
                <w:szCs w:val="22"/>
                <w:lang w:val="en-GB"/>
              </w:rPr>
            </w:pPr>
            <w:r w:rsidRPr="00E350FF">
              <w:rPr>
                <w:rFonts w:ascii="Calibri" w:hAnsi="Calibri"/>
                <w:b/>
                <w:sz w:val="22"/>
                <w:szCs w:val="22"/>
                <w:lang w:val="en-GB"/>
              </w:rPr>
              <w:t xml:space="preserve"> </w:t>
            </w:r>
            <w:r w:rsidR="00C4298C">
              <w:rPr>
                <w:rFonts w:ascii="Calibri" w:hAnsi="Calibri"/>
                <w:b/>
                <w:sz w:val="22"/>
                <w:szCs w:val="22"/>
                <w:lang w:val="en-GB"/>
              </w:rPr>
              <w:t xml:space="preserve">10 </w:t>
            </w:r>
            <w:r w:rsidRPr="00E350FF">
              <w:rPr>
                <w:rFonts w:ascii="Calibri" w:hAnsi="Calibri"/>
                <w:b/>
                <w:sz w:val="22"/>
                <w:szCs w:val="22"/>
                <w:lang w:val="en-GB"/>
              </w:rPr>
              <w:t>JUNE 2022</w:t>
            </w:r>
          </w:p>
        </w:tc>
      </w:tr>
      <w:tr w:rsidR="00E350FF" w:rsidRPr="00E350FF" w14:paraId="0B14FF79" w14:textId="77777777" w:rsidTr="00E350FF">
        <w:trPr>
          <w:trHeight w:val="567"/>
        </w:trPr>
        <w:tc>
          <w:tcPr>
            <w:tcW w:w="2904" w:type="dxa"/>
            <w:shd w:val="clear" w:color="auto" w:fill="auto"/>
            <w:vAlign w:val="center"/>
          </w:tcPr>
          <w:p w14:paraId="3C273A80" w14:textId="77777777" w:rsidR="00E350FF" w:rsidRPr="00E350FF" w:rsidRDefault="00E350FF" w:rsidP="00E350FF">
            <w:pPr>
              <w:rPr>
                <w:rFonts w:ascii="Calibri" w:hAnsi="Calibri"/>
                <w:b/>
                <w:sz w:val="22"/>
                <w:szCs w:val="22"/>
                <w:lang w:val="en-GB"/>
              </w:rPr>
            </w:pPr>
            <w:r w:rsidRPr="00E350FF">
              <w:rPr>
                <w:rFonts w:ascii="Calibri" w:hAnsi="Calibri"/>
                <w:b/>
                <w:sz w:val="22"/>
                <w:szCs w:val="22"/>
                <w:lang w:val="en-GB"/>
              </w:rPr>
              <w:t>RFB CLOSING DETAILS</w:t>
            </w:r>
          </w:p>
        </w:tc>
        <w:tc>
          <w:tcPr>
            <w:tcW w:w="6950" w:type="dxa"/>
            <w:shd w:val="clear" w:color="auto" w:fill="auto"/>
            <w:vAlign w:val="center"/>
          </w:tcPr>
          <w:p w14:paraId="47FC21AF" w14:textId="7FAAAA4F" w:rsidR="00E350FF" w:rsidRPr="00E350FF" w:rsidRDefault="00E350FF" w:rsidP="00E350FF">
            <w:pPr>
              <w:spacing w:line="360" w:lineRule="auto"/>
              <w:rPr>
                <w:rFonts w:ascii="Calibri" w:hAnsi="Calibri"/>
                <w:b/>
                <w:sz w:val="22"/>
                <w:szCs w:val="22"/>
                <w:lang w:val="en-GB"/>
              </w:rPr>
            </w:pPr>
            <w:r w:rsidRPr="00E350FF">
              <w:rPr>
                <w:rFonts w:ascii="Calibri" w:hAnsi="Calibri"/>
                <w:b/>
                <w:sz w:val="22"/>
                <w:szCs w:val="22"/>
                <w:lang w:val="en-GB"/>
              </w:rPr>
              <w:t>DATE: 1</w:t>
            </w:r>
            <w:r w:rsidR="00EB2B6F">
              <w:rPr>
                <w:rFonts w:ascii="Calibri" w:hAnsi="Calibri"/>
                <w:b/>
                <w:sz w:val="22"/>
                <w:szCs w:val="22"/>
                <w:lang w:val="en-GB"/>
              </w:rPr>
              <w:t>7</w:t>
            </w:r>
            <w:r w:rsidRPr="00E350FF">
              <w:rPr>
                <w:rFonts w:ascii="Calibri" w:hAnsi="Calibri"/>
                <w:b/>
                <w:sz w:val="22"/>
                <w:szCs w:val="22"/>
                <w:lang w:val="en-GB"/>
              </w:rPr>
              <w:t xml:space="preserve"> JUNE 2022 </w:t>
            </w:r>
          </w:p>
          <w:p w14:paraId="2EA5009B" w14:textId="77777777" w:rsidR="00E350FF" w:rsidRPr="00E350FF" w:rsidRDefault="00E350FF" w:rsidP="00E350FF">
            <w:pPr>
              <w:spacing w:line="360" w:lineRule="auto"/>
              <w:rPr>
                <w:rFonts w:ascii="Calibri" w:hAnsi="Calibri"/>
                <w:b/>
                <w:sz w:val="22"/>
                <w:szCs w:val="22"/>
                <w:lang w:val="en-GB"/>
              </w:rPr>
            </w:pPr>
            <w:r w:rsidRPr="00E350FF">
              <w:rPr>
                <w:rFonts w:ascii="Calibri" w:hAnsi="Calibri"/>
                <w:b/>
                <w:sz w:val="22"/>
                <w:szCs w:val="22"/>
                <w:lang w:val="en-GB"/>
              </w:rPr>
              <w:t>TIME: 11:00 am (SOUTH AFRICAN TIME)</w:t>
            </w:r>
          </w:p>
        </w:tc>
      </w:tr>
      <w:tr w:rsidR="00E350FF" w:rsidRPr="00E350FF" w14:paraId="5A5FD861" w14:textId="77777777" w:rsidTr="00E350FF">
        <w:trPr>
          <w:trHeight w:val="567"/>
        </w:trPr>
        <w:tc>
          <w:tcPr>
            <w:tcW w:w="2904" w:type="dxa"/>
            <w:shd w:val="clear" w:color="auto" w:fill="auto"/>
            <w:vAlign w:val="center"/>
          </w:tcPr>
          <w:p w14:paraId="3F996B2C" w14:textId="77777777" w:rsidR="00E350FF" w:rsidRPr="00E350FF" w:rsidRDefault="00E350FF" w:rsidP="00E350FF">
            <w:pPr>
              <w:rPr>
                <w:rFonts w:ascii="Calibri" w:hAnsi="Calibri"/>
                <w:b/>
                <w:sz w:val="22"/>
                <w:szCs w:val="22"/>
                <w:lang w:val="en-GB"/>
              </w:rPr>
            </w:pPr>
            <w:r w:rsidRPr="00E350FF">
              <w:rPr>
                <w:rFonts w:ascii="Calibri" w:hAnsi="Calibri"/>
                <w:b/>
                <w:sz w:val="22"/>
                <w:szCs w:val="22"/>
                <w:lang w:val="en-GB"/>
              </w:rPr>
              <w:t>PUBLIC OPENING OF RFB RESPONSES</w:t>
            </w:r>
          </w:p>
        </w:tc>
        <w:tc>
          <w:tcPr>
            <w:tcW w:w="6950" w:type="dxa"/>
            <w:shd w:val="clear" w:color="auto" w:fill="auto"/>
            <w:vAlign w:val="center"/>
          </w:tcPr>
          <w:p w14:paraId="7BB142E2" w14:textId="77777777" w:rsidR="00E350FF" w:rsidRPr="00E350FF" w:rsidRDefault="00E350FF" w:rsidP="00E350FF">
            <w:pPr>
              <w:spacing w:line="360" w:lineRule="auto"/>
              <w:jc w:val="both"/>
              <w:rPr>
                <w:rFonts w:ascii="Calibri" w:hAnsi="Calibri"/>
                <w:b/>
                <w:sz w:val="22"/>
                <w:szCs w:val="22"/>
                <w:lang w:val="en-GB"/>
              </w:rPr>
            </w:pPr>
            <w:r w:rsidRPr="00E350FF">
              <w:rPr>
                <w:rFonts w:ascii="Calibri" w:hAnsi="Calibri"/>
                <w:b/>
                <w:sz w:val="22"/>
                <w:szCs w:val="22"/>
                <w:lang w:val="en-GB"/>
              </w:rPr>
              <w:t>N/A</w:t>
            </w:r>
          </w:p>
        </w:tc>
      </w:tr>
      <w:tr w:rsidR="00E350FF" w:rsidRPr="00E350FF" w14:paraId="6E9FB553" w14:textId="77777777" w:rsidTr="00E350FF">
        <w:trPr>
          <w:trHeight w:val="567"/>
        </w:trPr>
        <w:tc>
          <w:tcPr>
            <w:tcW w:w="2904" w:type="dxa"/>
            <w:shd w:val="clear" w:color="auto" w:fill="auto"/>
            <w:vAlign w:val="center"/>
          </w:tcPr>
          <w:p w14:paraId="29FCD9E1" w14:textId="77777777" w:rsidR="00E350FF" w:rsidRPr="00E350FF" w:rsidRDefault="00E350FF" w:rsidP="00E350FF">
            <w:pPr>
              <w:rPr>
                <w:rFonts w:ascii="Calibri" w:hAnsi="Calibri"/>
                <w:b/>
                <w:sz w:val="22"/>
                <w:szCs w:val="22"/>
                <w:lang w:val="en-GB"/>
              </w:rPr>
            </w:pPr>
            <w:r w:rsidRPr="00E350FF">
              <w:rPr>
                <w:rFonts w:ascii="Calibri" w:hAnsi="Calibri"/>
                <w:b/>
                <w:sz w:val="22"/>
                <w:szCs w:val="22"/>
                <w:lang w:val="en-GB"/>
              </w:rPr>
              <w:t>RFB VALIDITY PERIOD</w:t>
            </w:r>
          </w:p>
        </w:tc>
        <w:tc>
          <w:tcPr>
            <w:tcW w:w="6950" w:type="dxa"/>
            <w:shd w:val="clear" w:color="auto" w:fill="auto"/>
            <w:vAlign w:val="center"/>
          </w:tcPr>
          <w:p w14:paraId="643F6201" w14:textId="77777777" w:rsidR="00E350FF" w:rsidRPr="00E350FF" w:rsidRDefault="00E350FF" w:rsidP="00E350FF">
            <w:pPr>
              <w:rPr>
                <w:rFonts w:ascii="Calibri" w:hAnsi="Calibri"/>
                <w:b/>
                <w:sz w:val="22"/>
                <w:szCs w:val="22"/>
                <w:lang w:val="en-GB"/>
              </w:rPr>
            </w:pPr>
            <w:r w:rsidRPr="00E350FF">
              <w:rPr>
                <w:rFonts w:ascii="Calibri" w:hAnsi="Calibri"/>
                <w:b/>
                <w:sz w:val="22"/>
                <w:szCs w:val="22"/>
                <w:lang w:val="en-GB"/>
              </w:rPr>
              <w:t>120 DAYS FROM THE CLOSING DATE</w:t>
            </w:r>
          </w:p>
        </w:tc>
      </w:tr>
    </w:tbl>
    <w:p w14:paraId="416AE3E9" w14:textId="77777777" w:rsidR="00E350FF" w:rsidRPr="00E350FF" w:rsidRDefault="00E350FF" w:rsidP="00E350FF">
      <w:pPr>
        <w:tabs>
          <w:tab w:val="left" w:pos="0"/>
          <w:tab w:val="left" w:pos="1944"/>
          <w:tab w:val="left" w:pos="3384"/>
          <w:tab w:val="left" w:pos="3744"/>
          <w:tab w:val="left" w:pos="4644"/>
          <w:tab w:val="left" w:pos="5760"/>
          <w:tab w:val="left" w:pos="7920"/>
        </w:tabs>
        <w:spacing w:after="240" w:line="360" w:lineRule="auto"/>
        <w:jc w:val="both"/>
        <w:rPr>
          <w:rFonts w:ascii="Calibri" w:hAnsi="Calibri"/>
          <w:szCs w:val="20"/>
        </w:rPr>
      </w:pPr>
      <w:bookmarkStart w:id="1" w:name="_Hlk56671764"/>
      <w:r w:rsidRPr="00E350FF">
        <w:rPr>
          <w:rFonts w:ascii="Calibri" w:hAnsi="Calibri"/>
          <w:b/>
          <w:color w:val="FF0000"/>
          <w:sz w:val="28"/>
          <w:szCs w:val="28"/>
        </w:rPr>
        <w:t>PROSPECTIVE BIDDERS MUST REGISTER ON NATIONAL TREASURY’S CENTRAL SUPPLIER DATABASE PRIOR TO SUBMITTING BIDS.</w:t>
      </w:r>
      <w:bookmarkEnd w:id="1"/>
    </w:p>
    <w:p w14:paraId="0916715D" w14:textId="1102E7E6" w:rsidR="00FB62A7" w:rsidRDefault="00FB62A7"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3E172DBB" w14:textId="1A42406B" w:rsidR="0056332A" w:rsidRDefault="0056332A" w:rsidP="00FB62A7">
      <w:pPr>
        <w:rPr>
          <w:rFonts w:ascii="Arial" w:hAnsi="Arial" w:cs="Arial"/>
          <w:lang w:val="en-GB"/>
        </w:rPr>
      </w:pPr>
    </w:p>
    <w:p w14:paraId="7AAE0868" w14:textId="01857F30" w:rsidR="0056332A" w:rsidRDefault="0056332A" w:rsidP="00FB62A7">
      <w:pPr>
        <w:rPr>
          <w:rFonts w:ascii="Arial" w:hAnsi="Arial" w:cs="Arial"/>
          <w:lang w:val="en-GB"/>
        </w:rPr>
      </w:pPr>
    </w:p>
    <w:p w14:paraId="796CFC39" w14:textId="651501DB" w:rsidR="0056332A" w:rsidRDefault="0056332A" w:rsidP="00FB62A7">
      <w:pPr>
        <w:rPr>
          <w:rFonts w:ascii="Arial" w:hAnsi="Arial" w:cs="Arial"/>
          <w:lang w:val="en-GB"/>
        </w:rPr>
      </w:pPr>
    </w:p>
    <w:p w14:paraId="71F50A31" w14:textId="7FFC1FBE" w:rsidR="0056332A" w:rsidRDefault="0056332A" w:rsidP="00FB62A7">
      <w:pPr>
        <w:rPr>
          <w:rFonts w:ascii="Arial" w:hAnsi="Arial" w:cs="Arial"/>
          <w:lang w:val="en-GB"/>
        </w:rPr>
      </w:pPr>
    </w:p>
    <w:p w14:paraId="065AC020" w14:textId="62894817" w:rsidR="00E350FF" w:rsidRDefault="00E350FF" w:rsidP="00FB62A7">
      <w:pPr>
        <w:rPr>
          <w:rFonts w:ascii="Arial" w:hAnsi="Arial" w:cs="Arial"/>
          <w:lang w:val="en-GB"/>
        </w:rPr>
      </w:pPr>
    </w:p>
    <w:p w14:paraId="479F8A99" w14:textId="4E94ED2B" w:rsidR="00E350FF" w:rsidRDefault="00E350FF" w:rsidP="00FB62A7">
      <w:pPr>
        <w:rPr>
          <w:rFonts w:ascii="Arial" w:hAnsi="Arial" w:cs="Arial"/>
          <w:lang w:val="en-GB"/>
        </w:rPr>
      </w:pPr>
    </w:p>
    <w:p w14:paraId="425B5F71" w14:textId="46693D34" w:rsidR="00E350FF" w:rsidRDefault="00E350FF" w:rsidP="00FB62A7">
      <w:pPr>
        <w:rPr>
          <w:rFonts w:ascii="Arial" w:hAnsi="Arial" w:cs="Arial"/>
          <w:lang w:val="en-GB"/>
        </w:rPr>
      </w:pPr>
    </w:p>
    <w:p w14:paraId="4E5DD4D9" w14:textId="00BB6453" w:rsidR="00E350FF" w:rsidRDefault="00E350FF" w:rsidP="00FB62A7">
      <w:pPr>
        <w:rPr>
          <w:rFonts w:ascii="Arial" w:hAnsi="Arial" w:cs="Arial"/>
          <w:lang w:val="en-GB"/>
        </w:rPr>
      </w:pPr>
    </w:p>
    <w:p w14:paraId="30046F50" w14:textId="352F1B84" w:rsidR="00E350FF" w:rsidRDefault="00E350FF" w:rsidP="00FB62A7">
      <w:pPr>
        <w:rPr>
          <w:rFonts w:ascii="Arial" w:hAnsi="Arial" w:cs="Arial"/>
          <w:lang w:val="en-GB"/>
        </w:rPr>
      </w:pPr>
    </w:p>
    <w:p w14:paraId="6B3F78EB" w14:textId="7D0ECF62" w:rsidR="00E350FF" w:rsidRDefault="00E350FF" w:rsidP="00FB62A7">
      <w:pPr>
        <w:rPr>
          <w:rFonts w:ascii="Arial" w:hAnsi="Arial" w:cs="Arial"/>
          <w:lang w:val="en-GB"/>
        </w:rPr>
      </w:pPr>
    </w:p>
    <w:p w14:paraId="3C36DC83" w14:textId="1FB65573" w:rsidR="00E350FF" w:rsidRDefault="00E350FF" w:rsidP="00FB62A7">
      <w:pPr>
        <w:rPr>
          <w:rFonts w:ascii="Arial" w:hAnsi="Arial" w:cs="Arial"/>
          <w:lang w:val="en-GB"/>
        </w:rPr>
      </w:pPr>
    </w:p>
    <w:p w14:paraId="30F8D7AC" w14:textId="5576B27B" w:rsidR="00E350FF" w:rsidRDefault="00E350FF" w:rsidP="00FB62A7">
      <w:pPr>
        <w:rPr>
          <w:rFonts w:ascii="Arial" w:hAnsi="Arial" w:cs="Arial"/>
          <w:lang w:val="en-GB"/>
        </w:rPr>
      </w:pPr>
    </w:p>
    <w:p w14:paraId="45AA0016" w14:textId="25D218F2" w:rsidR="00E350FF" w:rsidRDefault="00E350FF" w:rsidP="00FB62A7">
      <w:pPr>
        <w:rPr>
          <w:rFonts w:ascii="Arial" w:hAnsi="Arial" w:cs="Arial"/>
          <w:lang w:val="en-GB"/>
        </w:rPr>
      </w:pPr>
    </w:p>
    <w:p w14:paraId="0813C44C" w14:textId="795E5CEA" w:rsidR="00E350FF" w:rsidRDefault="00E350FF" w:rsidP="00FB62A7">
      <w:pPr>
        <w:rPr>
          <w:rFonts w:ascii="Arial" w:hAnsi="Arial" w:cs="Arial"/>
          <w:lang w:val="en-GB"/>
        </w:rPr>
      </w:pPr>
    </w:p>
    <w:p w14:paraId="5BC27349" w14:textId="77777777" w:rsidR="00E350FF" w:rsidRDefault="00E350FF" w:rsidP="00FB62A7">
      <w:pPr>
        <w:rPr>
          <w:rFonts w:ascii="Arial" w:hAnsi="Arial" w:cs="Arial"/>
          <w:lang w:val="en-GB"/>
        </w:rPr>
      </w:pPr>
    </w:p>
    <w:p w14:paraId="4F1F607C" w14:textId="01C55A34" w:rsidR="0056332A" w:rsidRDefault="0056332A" w:rsidP="00FB62A7">
      <w:pPr>
        <w:rPr>
          <w:rFonts w:ascii="Arial" w:hAnsi="Arial" w:cs="Arial"/>
          <w:lang w:val="en-GB"/>
        </w:rPr>
      </w:pPr>
    </w:p>
    <w:p w14:paraId="0B22389D" w14:textId="3AE28999" w:rsidR="0056332A" w:rsidRDefault="0056332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0F27AE47"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w:t>
          </w:r>
          <w:r w:rsidR="00293D89">
            <w:rPr>
              <w:rFonts w:ascii="Arial" w:hAnsi="Arial" w:cs="Arial"/>
              <w:sz w:val="20"/>
            </w:rPr>
            <w:t>4</w:t>
          </w:r>
        </w:p>
        <w:p w14:paraId="6E445DD8" w14:textId="6EB74F1D"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w:t>
          </w:r>
          <w:r w:rsidR="00293D89">
            <w:rPr>
              <w:rFonts w:ascii="Arial" w:hAnsi="Arial" w:cs="Arial"/>
              <w:b/>
              <w:bCs/>
              <w:sz w:val="20"/>
              <w:szCs w:val="20"/>
            </w:rPr>
            <w:t>5</w:t>
          </w:r>
        </w:p>
        <w:p w14:paraId="4FD12054" w14:textId="634A90C9" w:rsidR="005C78FD" w:rsidRPr="00CB20EE" w:rsidRDefault="00845A59" w:rsidP="005C78FD">
          <w:pPr>
            <w:pStyle w:val="Title"/>
            <w:rPr>
              <w:rFonts w:ascii="Arial" w:hAnsi="Arial" w:cs="Arial"/>
              <w:sz w:val="20"/>
            </w:rPr>
          </w:pPr>
          <w:r w:rsidRPr="00845A59">
            <w:rPr>
              <w:rFonts w:ascii="Arial" w:hAnsi="Arial" w:cs="Arial"/>
              <w:sz w:val="20"/>
            </w:rPr>
            <w:t>Bidder’s Disclosure SBD 4</w:t>
          </w:r>
          <w:r w:rsidR="005C78FD" w:rsidRPr="00CB20EE">
            <w:rPr>
              <w:rFonts w:ascii="Arial" w:hAnsi="Arial" w:cs="Arial"/>
              <w:sz w:val="20"/>
            </w:rPr>
            <w:ptab w:relativeTo="margin" w:alignment="right" w:leader="dot"/>
          </w:r>
          <w:r w:rsidR="002019CB" w:rsidRPr="00CB20EE">
            <w:rPr>
              <w:rFonts w:ascii="Arial" w:hAnsi="Arial" w:cs="Arial"/>
              <w:sz w:val="20"/>
            </w:rPr>
            <w:t>1</w:t>
          </w:r>
          <w:r w:rsidR="00293D89">
            <w:rPr>
              <w:rFonts w:ascii="Arial" w:hAnsi="Arial" w:cs="Arial"/>
              <w:sz w:val="20"/>
            </w:rPr>
            <w:t>5</w:t>
          </w:r>
          <w:r w:rsidR="002019CB" w:rsidRPr="00CB20EE">
            <w:rPr>
              <w:rFonts w:ascii="Arial" w:hAnsi="Arial" w:cs="Arial"/>
              <w:sz w:val="20"/>
            </w:rPr>
            <w:t>-</w:t>
          </w:r>
          <w:r w:rsidR="00CC0F76" w:rsidRPr="00CB20EE">
            <w:rPr>
              <w:rFonts w:ascii="Arial" w:hAnsi="Arial" w:cs="Arial"/>
              <w:sz w:val="20"/>
            </w:rPr>
            <w:t>1</w:t>
          </w:r>
          <w:r w:rsidR="00293D89">
            <w:rPr>
              <w:rFonts w:ascii="Arial" w:hAnsi="Arial" w:cs="Arial"/>
              <w:sz w:val="20"/>
            </w:rPr>
            <w:t>6</w:t>
          </w:r>
        </w:p>
        <w:p w14:paraId="5ADBB8E3" w14:textId="51BED4AE"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293D89">
            <w:rPr>
              <w:rFonts w:ascii="Arial" w:hAnsi="Arial" w:cs="Arial"/>
              <w:sz w:val="20"/>
              <w:szCs w:val="20"/>
            </w:rPr>
            <w:t>7</w:t>
          </w:r>
        </w:p>
        <w:p w14:paraId="3FA66A2F" w14:textId="5FDB11C2" w:rsidR="005C78FD" w:rsidRPr="00CB20EE" w:rsidRDefault="00845A59">
          <w:pPr>
            <w:pStyle w:val="Title"/>
            <w:rPr>
              <w:rFonts w:ascii="Arial" w:hAnsi="Arial" w:cs="Arial"/>
              <w:sz w:val="20"/>
            </w:rPr>
          </w:pPr>
          <w:r w:rsidRPr="00845A59">
            <w:rPr>
              <w:rFonts w:ascii="Arial" w:hAnsi="Arial" w:cs="Arial"/>
              <w:sz w:val="20"/>
            </w:rPr>
            <w:t>National Industrial Participation Programme SBD 5</w:t>
          </w:r>
          <w:r w:rsidR="002019CB" w:rsidRPr="00CB20EE">
            <w:rPr>
              <w:rFonts w:ascii="Arial" w:hAnsi="Arial" w:cs="Arial"/>
              <w:sz w:val="20"/>
            </w:rPr>
            <w:ptab w:relativeTo="margin" w:alignment="right" w:leader="dot"/>
          </w:r>
          <w:r w:rsidR="00CC0F76" w:rsidRPr="00CB20EE">
            <w:rPr>
              <w:rFonts w:ascii="Arial" w:hAnsi="Arial" w:cs="Arial"/>
              <w:sz w:val="20"/>
            </w:rPr>
            <w:t>1</w:t>
          </w:r>
          <w:r w:rsidR="00293D89">
            <w:rPr>
              <w:rFonts w:ascii="Arial" w:hAnsi="Arial" w:cs="Arial"/>
              <w:sz w:val="20"/>
            </w:rPr>
            <w:t>7</w:t>
          </w:r>
          <w:r w:rsidR="002019CB" w:rsidRPr="00CB20EE">
            <w:rPr>
              <w:rFonts w:ascii="Arial" w:hAnsi="Arial" w:cs="Arial"/>
              <w:sz w:val="20"/>
            </w:rPr>
            <w:t>-</w:t>
          </w:r>
          <w:r w:rsidR="009532A9">
            <w:rPr>
              <w:rFonts w:ascii="Arial" w:hAnsi="Arial" w:cs="Arial"/>
              <w:sz w:val="20"/>
            </w:rPr>
            <w:t>1</w:t>
          </w:r>
          <w:r w:rsidR="00293D89">
            <w:rPr>
              <w:rFonts w:ascii="Arial" w:hAnsi="Arial" w:cs="Arial"/>
              <w:sz w:val="20"/>
            </w:rPr>
            <w:t>9</w:t>
          </w:r>
        </w:p>
        <w:p w14:paraId="332D8F5D" w14:textId="0DAD6731"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293D89">
            <w:rPr>
              <w:rFonts w:ascii="Arial" w:hAnsi="Arial" w:cs="Arial"/>
              <w:b/>
              <w:bCs/>
              <w:sz w:val="20"/>
              <w:szCs w:val="20"/>
            </w:rPr>
            <w:t>20</w:t>
          </w:r>
        </w:p>
        <w:p w14:paraId="34B24B84" w14:textId="5166F9EA" w:rsidR="00CC0F76" w:rsidRPr="00CB20EE" w:rsidRDefault="00845A59" w:rsidP="00EA5FB8">
          <w:pPr>
            <w:spacing w:line="360" w:lineRule="auto"/>
            <w:rPr>
              <w:rFonts w:ascii="Arial" w:hAnsi="Arial" w:cs="Arial"/>
              <w:b/>
              <w:color w:val="000080"/>
              <w:sz w:val="20"/>
              <w:szCs w:val="20"/>
            </w:rPr>
          </w:pPr>
          <w:r w:rsidRPr="00845A59">
            <w:rPr>
              <w:rFonts w:ascii="Arial" w:hAnsi="Arial" w:cs="Arial"/>
              <w:b/>
              <w:sz w:val="20"/>
              <w:szCs w:val="20"/>
            </w:rPr>
            <w:t>Preferential Procurement Claim form SBD 6.1</w:t>
          </w:r>
          <w:r w:rsidR="002019CB" w:rsidRPr="005D2A7A">
            <w:rPr>
              <w:rFonts w:ascii="Arial" w:hAnsi="Arial" w:cs="Arial"/>
              <w:sz w:val="20"/>
              <w:szCs w:val="20"/>
            </w:rPr>
            <w:ptab w:relativeTo="margin" w:alignment="right" w:leader="dot"/>
          </w:r>
          <w:r w:rsidR="00293D89">
            <w:rPr>
              <w:rFonts w:ascii="Arial" w:hAnsi="Arial" w:cs="Arial"/>
              <w:sz w:val="20"/>
              <w:szCs w:val="20"/>
            </w:rPr>
            <w:t>20</w:t>
          </w:r>
          <w:r w:rsidR="00CC0F76" w:rsidRPr="005D2A7A">
            <w:rPr>
              <w:rFonts w:ascii="Arial" w:hAnsi="Arial" w:cs="Arial"/>
              <w:sz w:val="20"/>
              <w:szCs w:val="20"/>
            </w:rPr>
            <w:t>-</w:t>
          </w:r>
          <w:r w:rsidR="00293D89">
            <w:rPr>
              <w:rFonts w:ascii="Arial" w:hAnsi="Arial" w:cs="Arial"/>
              <w:sz w:val="20"/>
              <w:szCs w:val="20"/>
            </w:rPr>
            <w:t>23</w:t>
          </w:r>
        </w:p>
        <w:p w14:paraId="52A4A554" w14:textId="4F1F7815"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w:t>
          </w:r>
          <w:r w:rsidR="00293D89">
            <w:rPr>
              <w:rFonts w:ascii="Arial" w:hAnsi="Arial" w:cs="Arial"/>
              <w:b/>
              <w:bCs/>
              <w:sz w:val="20"/>
              <w:szCs w:val="20"/>
            </w:rPr>
            <w:t>4</w:t>
          </w:r>
        </w:p>
        <w:p w14:paraId="3A970A81" w14:textId="32C4B245" w:rsidR="00CC0F76" w:rsidRPr="00CB20EE" w:rsidRDefault="00845A59">
          <w:pPr>
            <w:pStyle w:val="Title"/>
            <w:rPr>
              <w:rFonts w:ascii="Arial" w:hAnsi="Arial" w:cs="Arial"/>
              <w:sz w:val="20"/>
            </w:rPr>
          </w:pPr>
          <w:r w:rsidRPr="00845A59">
            <w:rPr>
              <w:rFonts w:ascii="Arial" w:hAnsi="Arial" w:cs="Arial"/>
              <w:sz w:val="20"/>
            </w:rPr>
            <w:t>Government Procurement: General Conditions of Contract – July 2011</w:t>
          </w:r>
          <w:r w:rsidR="00CC0F76" w:rsidRPr="00CB20EE">
            <w:rPr>
              <w:rFonts w:ascii="Arial" w:hAnsi="Arial" w:cs="Arial"/>
              <w:sz w:val="20"/>
            </w:rPr>
            <w:ptab w:relativeTo="margin" w:alignment="right" w:leader="dot"/>
          </w:r>
          <w:r w:rsidR="009532A9">
            <w:rPr>
              <w:rFonts w:ascii="Arial" w:hAnsi="Arial" w:cs="Arial"/>
              <w:sz w:val="20"/>
            </w:rPr>
            <w:t>2</w:t>
          </w:r>
          <w:r w:rsidR="00293D89">
            <w:rPr>
              <w:rFonts w:ascii="Arial" w:hAnsi="Arial" w:cs="Arial"/>
              <w:sz w:val="20"/>
            </w:rPr>
            <w:t>4</w:t>
          </w:r>
          <w:r w:rsidR="00CC0F76" w:rsidRPr="00CB20EE">
            <w:rPr>
              <w:rFonts w:ascii="Arial" w:hAnsi="Arial" w:cs="Arial"/>
              <w:sz w:val="20"/>
            </w:rPr>
            <w:t>-</w:t>
          </w:r>
          <w:r w:rsidR="00293D89">
            <w:rPr>
              <w:rFonts w:ascii="Arial" w:hAnsi="Arial" w:cs="Arial"/>
              <w:sz w:val="20"/>
            </w:rPr>
            <w:t>35</w:t>
          </w:r>
        </w:p>
        <w:p w14:paraId="237ABD30" w14:textId="097143AF"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293D89">
            <w:rPr>
              <w:rFonts w:ascii="Arial" w:hAnsi="Arial" w:cs="Arial"/>
              <w:b/>
              <w:bCs/>
              <w:sz w:val="20"/>
              <w:szCs w:val="20"/>
            </w:rPr>
            <w:t>35</w:t>
          </w:r>
        </w:p>
        <w:p w14:paraId="36B8A165" w14:textId="4DF6AE1F" w:rsidR="00CC0F76" w:rsidRPr="00CB20EE" w:rsidRDefault="00845A59" w:rsidP="00CC0F76">
          <w:pPr>
            <w:pStyle w:val="Title"/>
            <w:rPr>
              <w:rFonts w:ascii="Arial" w:hAnsi="Arial" w:cs="Arial"/>
              <w:sz w:val="20"/>
            </w:rPr>
          </w:pPr>
          <w:r>
            <w:rPr>
              <w:rFonts w:ascii="Arial" w:hAnsi="Arial" w:cs="Arial"/>
              <w:sz w:val="20"/>
            </w:rPr>
            <w:t>SBD 6.2 Local Content</w:t>
          </w:r>
          <w:r w:rsidR="00CC0F76" w:rsidRPr="00CB20EE">
            <w:rPr>
              <w:rFonts w:ascii="Arial" w:hAnsi="Arial" w:cs="Arial"/>
              <w:sz w:val="20"/>
            </w:rPr>
            <w:ptab w:relativeTo="margin" w:alignment="right" w:leader="dot"/>
          </w:r>
          <w:r w:rsidR="00293D89">
            <w:rPr>
              <w:rFonts w:ascii="Arial" w:hAnsi="Arial" w:cs="Arial"/>
              <w:sz w:val="20"/>
            </w:rPr>
            <w:t>35</w:t>
          </w:r>
          <w:r w:rsidR="00CC0F76" w:rsidRPr="00CB20EE">
            <w:rPr>
              <w:rFonts w:ascii="Arial" w:hAnsi="Arial" w:cs="Arial"/>
              <w:sz w:val="20"/>
            </w:rPr>
            <w:t>-</w:t>
          </w:r>
          <w:r w:rsidR="009532A9">
            <w:rPr>
              <w:rFonts w:ascii="Arial" w:hAnsi="Arial" w:cs="Arial"/>
              <w:sz w:val="20"/>
            </w:rPr>
            <w:t>35</w:t>
          </w:r>
        </w:p>
        <w:p w14:paraId="4AF93C98" w14:textId="69781ECF" w:rsidR="005C78FD" w:rsidRPr="0056332A" w:rsidRDefault="00095C91" w:rsidP="00EA5FB8">
          <w:pPr>
            <w:pStyle w:val="TOC3"/>
            <w:ind w:left="0"/>
            <w:rPr>
              <w:rFonts w:ascii="Arial" w:hAnsi="Arial" w:cs="Arial"/>
            </w:rPr>
          </w:pPr>
          <w:r>
            <w:rPr>
              <w:rFonts w:ascii="Arial" w:hAnsi="Arial" w:cs="Arial"/>
            </w:rPr>
            <w:t>Attached as Annexures.</w:t>
          </w: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45061B" w:rsidRDefault="00CB20EE">
      <w:pPr>
        <w:rPr>
          <w:rFonts w:ascii="Arial" w:hAnsi="Arial" w:cs="Arial"/>
          <w:b/>
          <w:color w:val="000080"/>
        </w:rPr>
      </w:pPr>
      <w:r w:rsidRPr="0045061B">
        <w:rPr>
          <w:rFonts w:ascii="Arial" w:hAnsi="Arial" w:cs="Arial"/>
          <w:b/>
          <w:color w:val="000080"/>
        </w:rPr>
        <w:t>List of Annexures:</w:t>
      </w:r>
    </w:p>
    <w:p w14:paraId="03E57370" w14:textId="148A4EDB" w:rsidR="00CB20EE" w:rsidRPr="0045061B" w:rsidRDefault="00CB20EE">
      <w:pPr>
        <w:rPr>
          <w:rFonts w:ascii="Arial" w:hAnsi="Arial" w:cs="Arial"/>
          <w:color w:val="000080"/>
        </w:rPr>
      </w:pPr>
    </w:p>
    <w:p w14:paraId="18FFEB41" w14:textId="1F2F742D" w:rsidR="00CB20EE" w:rsidRPr="0045061B" w:rsidRDefault="00CB20EE">
      <w:pPr>
        <w:rPr>
          <w:rFonts w:ascii="Arial" w:hAnsi="Arial" w:cs="Arial"/>
          <w:color w:val="000080"/>
        </w:rPr>
      </w:pPr>
      <w:r w:rsidRPr="0045061B">
        <w:rPr>
          <w:rFonts w:ascii="Arial" w:hAnsi="Arial" w:cs="Arial"/>
          <w:color w:val="000080"/>
        </w:rPr>
        <w:t>Annexure A: Bid Specifications</w:t>
      </w:r>
    </w:p>
    <w:p w14:paraId="18632A98" w14:textId="2584F800" w:rsidR="002A7FE2" w:rsidRPr="0045061B" w:rsidRDefault="002A7FE2">
      <w:pPr>
        <w:rPr>
          <w:rFonts w:ascii="Arial" w:hAnsi="Arial" w:cs="Arial"/>
          <w:color w:val="000080"/>
        </w:rPr>
      </w:pPr>
      <w:r w:rsidRPr="0045061B">
        <w:rPr>
          <w:rFonts w:ascii="Arial" w:hAnsi="Arial" w:cs="Arial"/>
          <w:color w:val="000080"/>
        </w:rPr>
        <w:t>Annexure B: Price Response</w:t>
      </w:r>
    </w:p>
    <w:p w14:paraId="792ADFA1" w14:textId="7E6FEB4D" w:rsidR="0045061B" w:rsidRPr="0045061B" w:rsidRDefault="0045061B">
      <w:pPr>
        <w:rPr>
          <w:rFonts w:ascii="Arial" w:hAnsi="Arial" w:cs="Arial"/>
          <w:color w:val="000080"/>
        </w:rPr>
      </w:pP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2A7FE2">
        <w:trPr>
          <w:trHeight w:val="228"/>
        </w:trPr>
        <w:tc>
          <w:tcPr>
            <w:tcW w:w="2523"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43"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06"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2"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7"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60"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2A7FE2">
        <w:trPr>
          <w:trHeight w:val="228"/>
        </w:trPr>
        <w:tc>
          <w:tcPr>
            <w:tcW w:w="2523"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68"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2A7FE2">
        <w:trPr>
          <w:trHeight w:val="413"/>
        </w:trPr>
        <w:tc>
          <w:tcPr>
            <w:tcW w:w="5204"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87"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2A7FE2">
        <w:trPr>
          <w:trHeight w:val="302"/>
        </w:trPr>
        <w:tc>
          <w:tcPr>
            <w:tcW w:w="2523"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81"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21"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2A7FE2">
        <w:trPr>
          <w:trHeight w:val="302"/>
        </w:trPr>
        <w:tc>
          <w:tcPr>
            <w:tcW w:w="2523"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81"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21"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2A7FE2">
        <w:trPr>
          <w:trHeight w:val="268"/>
        </w:trPr>
        <w:tc>
          <w:tcPr>
            <w:tcW w:w="2523"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81"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21"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2A7FE2">
        <w:trPr>
          <w:trHeight w:val="340"/>
        </w:trPr>
        <w:tc>
          <w:tcPr>
            <w:tcW w:w="2523"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68"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2A7FE2">
        <w:trPr>
          <w:trHeight w:val="340"/>
        </w:trPr>
        <w:tc>
          <w:tcPr>
            <w:tcW w:w="2523"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68"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2A7FE2">
        <w:trPr>
          <w:trHeight w:val="340"/>
        </w:trPr>
        <w:tc>
          <w:tcPr>
            <w:tcW w:w="2523"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68"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2A7FE2">
        <w:trPr>
          <w:trHeight w:val="340"/>
        </w:trPr>
        <w:tc>
          <w:tcPr>
            <w:tcW w:w="2523"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43"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06"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84"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435"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2A7FE2">
        <w:trPr>
          <w:trHeight w:val="340"/>
        </w:trPr>
        <w:tc>
          <w:tcPr>
            <w:tcW w:w="2523"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68"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2A7FE2">
        <w:trPr>
          <w:trHeight w:val="340"/>
        </w:trPr>
        <w:tc>
          <w:tcPr>
            <w:tcW w:w="2523"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43"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06"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84"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435"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2A7FE2">
        <w:trPr>
          <w:trHeight w:val="340"/>
        </w:trPr>
        <w:tc>
          <w:tcPr>
            <w:tcW w:w="2523"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68"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2A7FE2">
        <w:trPr>
          <w:trHeight w:val="299"/>
        </w:trPr>
        <w:tc>
          <w:tcPr>
            <w:tcW w:w="2523"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68"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2A7FE2">
        <w:trPr>
          <w:trHeight w:val="57"/>
        </w:trPr>
        <w:tc>
          <w:tcPr>
            <w:tcW w:w="2523"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43"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38"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16"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351"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20"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2A7FE2">
        <w:trPr>
          <w:trHeight w:val="340"/>
        </w:trPr>
        <w:tc>
          <w:tcPr>
            <w:tcW w:w="2523"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81"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435"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2A7FE2">
        <w:trPr>
          <w:trHeight w:val="864"/>
        </w:trPr>
        <w:tc>
          <w:tcPr>
            <w:tcW w:w="2523"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81"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0E233E">
              <w:rPr>
                <w:rFonts w:ascii="Arial" w:hAnsi="Arial" w:cs="Arial"/>
                <w:sz w:val="20"/>
                <w:szCs w:val="20"/>
                <w:lang w:val="en-GB"/>
              </w:rPr>
            </w:r>
            <w:r w:rsidR="000E233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0E233E">
              <w:rPr>
                <w:rFonts w:ascii="Arial" w:hAnsi="Arial" w:cs="Arial"/>
                <w:sz w:val="20"/>
                <w:szCs w:val="20"/>
                <w:lang w:val="en-GB"/>
              </w:rPr>
            </w:r>
            <w:r w:rsidR="000E233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435"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0E233E">
              <w:rPr>
                <w:rFonts w:ascii="Arial" w:hAnsi="Arial" w:cs="Arial"/>
                <w:sz w:val="20"/>
                <w:szCs w:val="20"/>
                <w:lang w:val="en-GB"/>
              </w:rPr>
            </w:r>
            <w:r w:rsidR="000E233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0E233E">
              <w:rPr>
                <w:rFonts w:ascii="Arial" w:hAnsi="Arial" w:cs="Arial"/>
                <w:sz w:val="20"/>
                <w:szCs w:val="20"/>
                <w:lang w:val="en-GB"/>
              </w:rPr>
            </w:r>
            <w:r w:rsidR="000E233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E233E">
              <w:rPr>
                <w:rFonts w:ascii="Arial" w:hAnsi="Arial" w:cs="Arial"/>
                <w:sz w:val="20"/>
                <w:lang w:val="en-GB"/>
              </w:rPr>
            </w:r>
            <w:r w:rsidR="000E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2A7FE2">
        <w:trPr>
          <w:trHeight w:val="397"/>
        </w:trPr>
        <w:tc>
          <w:tcPr>
            <w:tcW w:w="5465"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726"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2A7FE2">
        <w:trPr>
          <w:trHeight w:val="397"/>
        </w:trPr>
        <w:tc>
          <w:tcPr>
            <w:tcW w:w="5465"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726"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2A7FE2">
        <w:trPr>
          <w:trHeight w:val="397"/>
        </w:trPr>
        <w:tc>
          <w:tcPr>
            <w:tcW w:w="5465"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726"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2A7FE2">
        <w:trPr>
          <w:trHeight w:val="397"/>
        </w:trPr>
        <w:tc>
          <w:tcPr>
            <w:tcW w:w="5465"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726"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2A7FE2">
        <w:trPr>
          <w:trHeight w:val="397"/>
        </w:trPr>
        <w:tc>
          <w:tcPr>
            <w:tcW w:w="5465"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726"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9"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70380158" w14:textId="77777777" w:rsidR="002A7FE2" w:rsidRDefault="002A7FE2"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2" w:name="_Toc94521917"/>
      <w:bookmarkStart w:id="3" w:name="_Toc94528452"/>
      <w:bookmarkStart w:id="4" w:name="_Toc199296467"/>
      <w:bookmarkStart w:id="5" w:name="_Ref308094857"/>
      <w:bookmarkStart w:id="6" w:name="_Ref308094860"/>
    </w:p>
    <w:p w14:paraId="22FC3A22" w14:textId="212053B5"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2"/>
      <w:bookmarkEnd w:id="3"/>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7" w:name="_Toc97010976"/>
      <w:bookmarkStart w:id="8" w:name="_Toc150587191"/>
      <w:bookmarkStart w:id="9" w:name="_Toc199296469"/>
      <w:bookmarkStart w:id="10" w:name="_Toc454470835"/>
      <w:bookmarkStart w:id="11" w:name="_Toc459824249"/>
      <w:bookmarkStart w:id="12" w:name="_Toc94521919"/>
      <w:bookmarkStart w:id="13" w:name="_Toc94528454"/>
      <w:bookmarkEnd w:id="4"/>
      <w:bookmarkEnd w:id="5"/>
      <w:bookmarkEnd w:id="6"/>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7"/>
      <w:bookmarkEnd w:id="8"/>
      <w:bookmarkEnd w:id="9"/>
      <w:bookmarkEnd w:id="10"/>
      <w:bookmarkEnd w:id="11"/>
      <w:bookmarkEnd w:id="12"/>
      <w:bookmarkEnd w:id="13"/>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45061B" w:rsidRDefault="00954AAE" w:rsidP="0056332A">
      <w:pPr>
        <w:spacing w:line="360" w:lineRule="auto"/>
        <w:ind w:left="851" w:right="-1" w:hanging="851"/>
        <w:jc w:val="both"/>
        <w:rPr>
          <w:rFonts w:ascii="Arial" w:hAnsi="Arial" w:cs="Arial"/>
          <w:snapToGrid w:val="0"/>
          <w:sz w:val="20"/>
          <w:szCs w:val="20"/>
        </w:rPr>
      </w:pPr>
      <w:r w:rsidRPr="0045061B">
        <w:rPr>
          <w:rFonts w:ascii="Arial" w:hAnsi="Arial" w:cs="Arial"/>
          <w:snapToGrid w:val="0"/>
          <w:sz w:val="20"/>
          <w:szCs w:val="20"/>
        </w:rPr>
        <w:t>2.1.14</w:t>
      </w:r>
      <w:r w:rsidRPr="0045061B">
        <w:rPr>
          <w:rFonts w:ascii="Arial" w:hAnsi="Arial" w:cs="Arial"/>
          <w:b/>
          <w:snapToGrid w:val="0"/>
          <w:sz w:val="20"/>
          <w:szCs w:val="20"/>
        </w:rPr>
        <w:t xml:space="preserve"> </w:t>
      </w:r>
      <w:r w:rsidR="0056332A" w:rsidRPr="0045061B">
        <w:rPr>
          <w:rFonts w:ascii="Arial" w:hAnsi="Arial" w:cs="Arial"/>
          <w:b/>
          <w:snapToGrid w:val="0"/>
          <w:sz w:val="20"/>
          <w:szCs w:val="20"/>
        </w:rPr>
        <w:tab/>
      </w:r>
      <w:r w:rsidR="00116869" w:rsidRPr="0045061B">
        <w:rPr>
          <w:rFonts w:ascii="Arial" w:hAnsi="Arial" w:cs="Arial"/>
          <w:b/>
          <w:snapToGrid w:val="0"/>
          <w:sz w:val="20"/>
          <w:szCs w:val="20"/>
        </w:rPr>
        <w:t>“Designated Group”</w:t>
      </w:r>
      <w:r w:rsidR="004E3B60" w:rsidRPr="0045061B">
        <w:rPr>
          <w:rFonts w:ascii="Arial" w:hAnsi="Arial" w:cs="Arial"/>
          <w:snapToGrid w:val="0"/>
          <w:sz w:val="20"/>
          <w:szCs w:val="20"/>
        </w:rPr>
        <w:t xml:space="preserve"> means</w:t>
      </w:r>
      <w:r w:rsidRPr="0045061B">
        <w:rPr>
          <w:rFonts w:ascii="Arial" w:hAnsi="Arial" w:cs="Arial"/>
          <w:snapToGrid w:val="0"/>
          <w:sz w:val="20"/>
          <w:szCs w:val="20"/>
        </w:rPr>
        <w:t>:</w:t>
      </w:r>
    </w:p>
    <w:p w14:paraId="0B919185" w14:textId="77777777" w:rsidR="004E3B60" w:rsidRPr="0045061B" w:rsidRDefault="004E3B60" w:rsidP="00FC0D01">
      <w:pPr>
        <w:pStyle w:val="ListParagraph"/>
        <w:rPr>
          <w:rFonts w:ascii="Arial" w:hAnsi="Arial" w:cs="Arial"/>
          <w:snapToGrid w:val="0"/>
          <w:sz w:val="20"/>
          <w:szCs w:val="20"/>
        </w:rPr>
      </w:pPr>
    </w:p>
    <w:p w14:paraId="6A8848B8" w14:textId="77777777"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Black designated groups;</w:t>
      </w:r>
    </w:p>
    <w:p w14:paraId="095ABDE6" w14:textId="0169C8F9"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Black people;</w:t>
      </w:r>
    </w:p>
    <w:p w14:paraId="524FAB68" w14:textId="572C4D7E" w:rsidR="00954AAE" w:rsidRPr="0045061B" w:rsidRDefault="00954AAE"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 Exempted Micro Enterprises (“EME”);</w:t>
      </w:r>
    </w:p>
    <w:p w14:paraId="7933C81D" w14:textId="77777777"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Women;</w:t>
      </w:r>
    </w:p>
    <w:p w14:paraId="5290FD24" w14:textId="6C382507"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People with disabilities; </w:t>
      </w:r>
    </w:p>
    <w:p w14:paraId="1F4C2A9E" w14:textId="09CF3C33"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Small enterprises as defined in sections 1 of the National Small Enterprise Act, 1996 (Act No. 102 of 1996)</w:t>
      </w:r>
      <w:r w:rsidR="00954AAE" w:rsidRPr="0045061B">
        <w:rPr>
          <w:rFonts w:ascii="Arial" w:hAnsi="Arial" w:cs="Arial"/>
          <w:snapToGrid w:val="0"/>
          <w:sz w:val="20"/>
          <w:szCs w:val="20"/>
        </w:rPr>
        <w:t xml:space="preserve">; </w:t>
      </w:r>
    </w:p>
    <w:p w14:paraId="351110CF" w14:textId="621439DE" w:rsidR="00954AAE" w:rsidRPr="0045061B" w:rsidRDefault="00954AAE"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 Qualifying Small Enterprises (“QSE”)</w:t>
      </w:r>
      <w:r w:rsidR="00AC0BC2" w:rsidRPr="0045061B">
        <w:rPr>
          <w:rFonts w:ascii="Arial" w:hAnsi="Arial" w:cs="Arial"/>
          <w:snapToGrid w:val="0"/>
          <w:sz w:val="20"/>
          <w:szCs w:val="20"/>
        </w:rPr>
        <w:t>;</w:t>
      </w:r>
      <w:r w:rsidRPr="0045061B">
        <w:rPr>
          <w:rFonts w:ascii="Arial" w:hAnsi="Arial" w:cs="Arial"/>
          <w:snapToGrid w:val="0"/>
          <w:sz w:val="20"/>
          <w:szCs w:val="20"/>
        </w:rPr>
        <w:t xml:space="preserve"> </w:t>
      </w:r>
      <w:r w:rsidR="00AC0BC2" w:rsidRPr="0045061B">
        <w:rPr>
          <w:rFonts w:ascii="Arial" w:hAnsi="Arial" w:cs="Arial"/>
          <w:snapToGrid w:val="0"/>
          <w:sz w:val="20"/>
          <w:szCs w:val="20"/>
        </w:rPr>
        <w:t>and/or</w:t>
      </w:r>
    </w:p>
    <w:p w14:paraId="3CFCE699" w14:textId="088968E1" w:rsidR="00AC0BC2" w:rsidRPr="0045061B" w:rsidRDefault="00AC0BC2"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 Youth.</w:t>
      </w:r>
    </w:p>
    <w:p w14:paraId="480BAF63" w14:textId="77777777" w:rsidR="00116869" w:rsidRPr="0045061B"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45061B">
        <w:rPr>
          <w:rFonts w:ascii="Arial" w:hAnsi="Arial" w:cs="Arial"/>
          <w:snapToGrid w:val="0"/>
          <w:sz w:val="20"/>
          <w:szCs w:val="20"/>
        </w:rPr>
        <w:t>2.1.15</w:t>
      </w:r>
      <w:r w:rsidR="0056332A" w:rsidRPr="0045061B">
        <w:rPr>
          <w:rFonts w:ascii="Arial" w:hAnsi="Arial" w:cs="Arial"/>
          <w:snapToGrid w:val="0"/>
          <w:sz w:val="20"/>
          <w:szCs w:val="20"/>
        </w:rPr>
        <w:tab/>
      </w:r>
      <w:r w:rsidR="00061972" w:rsidRPr="0045061B">
        <w:rPr>
          <w:rFonts w:ascii="Arial" w:hAnsi="Arial" w:cs="Arial"/>
          <w:b/>
          <w:snapToGrid w:val="0"/>
          <w:sz w:val="20"/>
          <w:szCs w:val="20"/>
        </w:rPr>
        <w:t>“</w:t>
      </w:r>
      <w:r w:rsidR="00116869" w:rsidRPr="0045061B">
        <w:rPr>
          <w:rFonts w:ascii="Arial" w:hAnsi="Arial" w:cs="Arial"/>
          <w:b/>
          <w:snapToGrid w:val="0"/>
          <w:sz w:val="20"/>
          <w:szCs w:val="20"/>
        </w:rPr>
        <w:t>Designated Sector”</w:t>
      </w:r>
      <w:r w:rsidR="004E3B60" w:rsidRPr="0045061B">
        <w:rPr>
          <w:rFonts w:ascii="Arial" w:hAnsi="Arial" w:cs="Arial"/>
          <w:snapToGrid w:val="0"/>
          <w:sz w:val="20"/>
          <w:szCs w:val="20"/>
        </w:rPr>
        <w:t xml:space="preserve"> – a sector, sub-sector or industry </w:t>
      </w:r>
      <w:r w:rsidR="00061972" w:rsidRPr="0045061B">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45061B">
        <w:rPr>
          <w:rFonts w:ascii="Arial" w:hAnsi="Arial" w:cs="Arial"/>
          <w:snapToGrid w:val="0"/>
          <w:sz w:val="20"/>
          <w:szCs w:val="20"/>
        </w:rPr>
        <w:t>taking into account</w:t>
      </w:r>
      <w:proofErr w:type="gramEnd"/>
      <w:r w:rsidR="00061972" w:rsidRPr="0045061B">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45061B">
        <w:rPr>
          <w:rFonts w:ascii="Arial" w:hAnsi="Arial" w:cs="Arial"/>
          <w:snapToGrid w:val="0"/>
          <w:sz w:val="20"/>
          <w:szCs w:val="20"/>
        </w:rPr>
        <w:t xml:space="preserve">2.1.19 </w:t>
      </w:r>
      <w:r w:rsidR="00627E8D" w:rsidRPr="0045061B">
        <w:rPr>
          <w:rFonts w:ascii="Arial" w:hAnsi="Arial" w:cs="Arial"/>
          <w:snapToGrid w:val="0"/>
          <w:sz w:val="20"/>
          <w:szCs w:val="20"/>
        </w:rPr>
        <w:tab/>
      </w:r>
      <w:r w:rsidR="006749B3" w:rsidRPr="0045061B">
        <w:rPr>
          <w:rFonts w:ascii="Arial" w:hAnsi="Arial" w:cs="Arial"/>
          <w:snapToGrid w:val="0"/>
          <w:sz w:val="20"/>
          <w:szCs w:val="20"/>
        </w:rPr>
        <w:t>“</w:t>
      </w:r>
      <w:r w:rsidR="004F63D9" w:rsidRPr="0045061B">
        <w:rPr>
          <w:rFonts w:ascii="Arial" w:hAnsi="Arial" w:cs="Arial"/>
          <w:b/>
          <w:snapToGrid w:val="0"/>
          <w:sz w:val="20"/>
          <w:szCs w:val="20"/>
        </w:rPr>
        <w:t>Imported Content</w:t>
      </w:r>
      <w:r w:rsidR="006749B3" w:rsidRPr="0045061B">
        <w:rPr>
          <w:rFonts w:ascii="Arial" w:hAnsi="Arial" w:cs="Arial"/>
          <w:snapToGrid w:val="0"/>
          <w:sz w:val="20"/>
          <w:szCs w:val="20"/>
        </w:rPr>
        <w:t>”</w:t>
      </w:r>
      <w:r w:rsidR="004F63D9" w:rsidRPr="0045061B">
        <w:rPr>
          <w:rFonts w:ascii="Arial" w:hAnsi="Arial" w:cs="Arial"/>
          <w:snapToGrid w:val="0"/>
          <w:sz w:val="20"/>
          <w:szCs w:val="20"/>
        </w:rPr>
        <w:t xml:space="preserve"> –</w:t>
      </w:r>
      <w:r w:rsidR="0012574C" w:rsidRPr="0045061B">
        <w:rPr>
          <w:rFonts w:ascii="Arial" w:hAnsi="Arial" w:cs="Arial"/>
          <w:snapToGrid w:val="0"/>
          <w:sz w:val="20"/>
          <w:szCs w:val="20"/>
        </w:rPr>
        <w:t xml:space="preserve"> </w:t>
      </w:r>
      <w:r w:rsidR="004F63D9" w:rsidRPr="0045061B">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45061B">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45061B" w:rsidRDefault="00DB70B2" w:rsidP="0056332A">
      <w:pPr>
        <w:spacing w:line="360" w:lineRule="auto"/>
        <w:ind w:left="993" w:right="-1" w:hanging="993"/>
        <w:jc w:val="both"/>
        <w:rPr>
          <w:rFonts w:ascii="Arial" w:hAnsi="Arial" w:cs="Arial"/>
          <w:snapToGrid w:val="0"/>
          <w:sz w:val="20"/>
          <w:szCs w:val="20"/>
        </w:rPr>
      </w:pPr>
      <w:r w:rsidRPr="0045061B">
        <w:rPr>
          <w:rFonts w:ascii="Arial" w:hAnsi="Arial" w:cs="Arial"/>
          <w:snapToGrid w:val="0"/>
          <w:sz w:val="20"/>
          <w:szCs w:val="20"/>
        </w:rPr>
        <w:t xml:space="preserve">2.1.21 </w:t>
      </w:r>
      <w:r w:rsidR="0056332A" w:rsidRPr="0045061B">
        <w:rPr>
          <w:rFonts w:ascii="Arial" w:hAnsi="Arial" w:cs="Arial"/>
          <w:snapToGrid w:val="0"/>
          <w:sz w:val="20"/>
          <w:szCs w:val="20"/>
        </w:rPr>
        <w:tab/>
      </w:r>
      <w:r w:rsidR="006749B3" w:rsidRPr="0045061B">
        <w:rPr>
          <w:rFonts w:ascii="Arial" w:hAnsi="Arial" w:cs="Arial"/>
          <w:snapToGrid w:val="0"/>
          <w:sz w:val="20"/>
          <w:szCs w:val="20"/>
        </w:rPr>
        <w:t>“</w:t>
      </w:r>
      <w:r w:rsidR="007335C6" w:rsidRPr="0045061B">
        <w:rPr>
          <w:rFonts w:ascii="Arial" w:hAnsi="Arial" w:cs="Arial"/>
          <w:b/>
          <w:snapToGrid w:val="0"/>
          <w:sz w:val="20"/>
          <w:szCs w:val="20"/>
        </w:rPr>
        <w:t>Local content</w:t>
      </w:r>
      <w:r w:rsidR="006749B3" w:rsidRPr="0045061B">
        <w:rPr>
          <w:rFonts w:ascii="Arial" w:hAnsi="Arial" w:cs="Arial"/>
          <w:snapToGrid w:val="0"/>
          <w:sz w:val="20"/>
          <w:szCs w:val="20"/>
        </w:rPr>
        <w:t>”</w:t>
      </w:r>
      <w:r w:rsidR="007335C6" w:rsidRPr="0045061B">
        <w:rPr>
          <w:rFonts w:ascii="Arial" w:hAnsi="Arial" w:cs="Arial"/>
          <w:snapToGrid w:val="0"/>
          <w:sz w:val="20"/>
          <w:szCs w:val="20"/>
        </w:rPr>
        <w:t xml:space="preserve"> –</w:t>
      </w:r>
      <w:r w:rsidR="0012574C" w:rsidRPr="0045061B">
        <w:rPr>
          <w:rFonts w:ascii="Arial" w:hAnsi="Arial" w:cs="Arial"/>
          <w:snapToGrid w:val="0"/>
          <w:sz w:val="20"/>
          <w:szCs w:val="20"/>
        </w:rPr>
        <w:t xml:space="preserve"> </w:t>
      </w:r>
      <w:r w:rsidR="007335C6" w:rsidRPr="0045061B">
        <w:rPr>
          <w:rFonts w:ascii="Arial" w:hAnsi="Arial" w:cs="Arial"/>
          <w:snapToGrid w:val="0"/>
          <w:sz w:val="20"/>
          <w:szCs w:val="20"/>
        </w:rPr>
        <w:t>that portion of the tender price which is not included in the imported content, provided that local manufactur</w:t>
      </w:r>
      <w:r w:rsidR="006C2227" w:rsidRPr="0045061B">
        <w:rPr>
          <w:rFonts w:ascii="Arial" w:hAnsi="Arial" w:cs="Arial"/>
          <w:snapToGrid w:val="0"/>
          <w:sz w:val="20"/>
          <w:szCs w:val="20"/>
        </w:rPr>
        <w:t>ing</w:t>
      </w:r>
      <w:r w:rsidR="007335C6" w:rsidRPr="0045061B">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4" w:name="_Toc454470836"/>
      <w:bookmarkStart w:id="15" w:name="_Toc459824250"/>
      <w:bookmarkStart w:id="16" w:name="_Toc94521920"/>
      <w:bookmarkStart w:id="17"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4"/>
      <w:bookmarkEnd w:id="15"/>
      <w:bookmarkEnd w:id="16"/>
      <w:bookmarkEnd w:id="17"/>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631287E2" w14:textId="253CE50A" w:rsidR="0056332A"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4B324575" w:rsidR="007335C6" w:rsidRP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NKP</w:t>
            </w:r>
          </w:p>
        </w:tc>
        <w:tc>
          <w:tcPr>
            <w:tcW w:w="5879" w:type="dxa"/>
          </w:tcPr>
          <w:p w14:paraId="1B751137" w14:textId="1F5F10E1" w:rsidR="007335C6" w:rsidRP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National Key Point</w:t>
            </w:r>
          </w:p>
        </w:tc>
      </w:tr>
      <w:tr w:rsidR="00601AD9" w:rsidRPr="0056332A" w14:paraId="20805F0F" w14:textId="77777777" w:rsidTr="00B94517">
        <w:trPr>
          <w:trHeight w:val="397"/>
        </w:trPr>
        <w:tc>
          <w:tcPr>
            <w:tcW w:w="3432" w:type="dxa"/>
          </w:tcPr>
          <w:p w14:paraId="3BCE7F7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14:paraId="7BFC7E2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r w:rsidR="00CC1D3D" w:rsidRPr="0056332A" w14:paraId="41CDD02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BF8EFA6" w14:textId="0FB7B6E6" w:rsidR="00CC1D3D" w:rsidRPr="0056332A"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w:t>
            </w:r>
          </w:p>
        </w:tc>
        <w:tc>
          <w:tcPr>
            <w:tcW w:w="5879" w:type="dxa"/>
            <w:tcBorders>
              <w:top w:val="single" w:sz="4" w:space="0" w:color="auto"/>
              <w:left w:val="single" w:sz="4" w:space="0" w:color="auto"/>
              <w:bottom w:val="single" w:sz="4" w:space="0" w:color="auto"/>
              <w:right w:val="single" w:sz="4" w:space="0" w:color="auto"/>
            </w:tcBorders>
          </w:tcPr>
          <w:p w14:paraId="580E9097" w14:textId="0D013EE8" w:rsidR="00CC1D3D" w:rsidRPr="0056332A"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Mitre</w:t>
            </w:r>
          </w:p>
        </w:tc>
      </w:tr>
      <w:tr w:rsidR="00CC1D3D" w:rsidRPr="0056332A" w14:paraId="428E851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6C74C4C" w14:textId="2BDC1C3F"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Mm</w:t>
            </w:r>
          </w:p>
        </w:tc>
        <w:tc>
          <w:tcPr>
            <w:tcW w:w="5879" w:type="dxa"/>
            <w:tcBorders>
              <w:top w:val="single" w:sz="4" w:space="0" w:color="auto"/>
              <w:left w:val="single" w:sz="4" w:space="0" w:color="auto"/>
              <w:bottom w:val="single" w:sz="4" w:space="0" w:color="auto"/>
              <w:right w:val="single" w:sz="4" w:space="0" w:color="auto"/>
            </w:tcBorders>
          </w:tcPr>
          <w:p w14:paraId="76C6C55D" w14:textId="6CA13FA1"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Millimetre</w:t>
            </w:r>
          </w:p>
        </w:tc>
      </w:tr>
      <w:tr w:rsidR="00CC1D3D" w:rsidRPr="0056332A" w14:paraId="6BA664CE"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3DB8208" w14:textId="11AA43EA"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N/A</w:t>
            </w:r>
          </w:p>
        </w:tc>
        <w:tc>
          <w:tcPr>
            <w:tcW w:w="5879" w:type="dxa"/>
            <w:tcBorders>
              <w:top w:val="single" w:sz="4" w:space="0" w:color="auto"/>
              <w:left w:val="single" w:sz="4" w:space="0" w:color="auto"/>
              <w:bottom w:val="single" w:sz="4" w:space="0" w:color="auto"/>
              <w:right w:val="single" w:sz="4" w:space="0" w:color="auto"/>
            </w:tcBorders>
          </w:tcPr>
          <w:p w14:paraId="271855F5" w14:textId="08C493FB"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Not Applicable</w:t>
            </w:r>
          </w:p>
        </w:tc>
      </w:tr>
      <w:tr w:rsidR="00CC1D3D" w:rsidRPr="0056332A" w14:paraId="7E8FFABD"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FB22ED5" w14:textId="09076534"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OEM</w:t>
            </w:r>
          </w:p>
        </w:tc>
        <w:tc>
          <w:tcPr>
            <w:tcW w:w="5879" w:type="dxa"/>
            <w:tcBorders>
              <w:top w:val="single" w:sz="4" w:space="0" w:color="auto"/>
              <w:left w:val="single" w:sz="4" w:space="0" w:color="auto"/>
              <w:bottom w:val="single" w:sz="4" w:space="0" w:color="auto"/>
              <w:right w:val="single" w:sz="4" w:space="0" w:color="auto"/>
            </w:tcBorders>
          </w:tcPr>
          <w:p w14:paraId="31BB6EA2" w14:textId="2EF40EAE"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Original Equipment Manufacturer</w:t>
            </w:r>
          </w:p>
        </w:tc>
      </w:tr>
      <w:tr w:rsidR="00CC1D3D" w:rsidRPr="0056332A" w14:paraId="2B4C30D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26CF960" w14:textId="28E669A5"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OSM</w:t>
            </w:r>
          </w:p>
        </w:tc>
        <w:tc>
          <w:tcPr>
            <w:tcW w:w="5879" w:type="dxa"/>
            <w:tcBorders>
              <w:top w:val="single" w:sz="4" w:space="0" w:color="auto"/>
              <w:left w:val="single" w:sz="4" w:space="0" w:color="auto"/>
              <w:bottom w:val="single" w:sz="4" w:space="0" w:color="auto"/>
              <w:right w:val="single" w:sz="4" w:space="0" w:color="auto"/>
            </w:tcBorders>
          </w:tcPr>
          <w:p w14:paraId="79A78953" w14:textId="0B8B874F"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Original Software Manufacturer</w:t>
            </w:r>
          </w:p>
        </w:tc>
      </w:tr>
      <w:tr w:rsidR="00CC1D3D" w:rsidRPr="0056332A" w14:paraId="579B573B"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EBDFC1B" w14:textId="5A4FA8C3"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POPIA</w:t>
            </w:r>
          </w:p>
        </w:tc>
        <w:tc>
          <w:tcPr>
            <w:tcW w:w="5879" w:type="dxa"/>
            <w:tcBorders>
              <w:top w:val="single" w:sz="4" w:space="0" w:color="auto"/>
              <w:left w:val="single" w:sz="4" w:space="0" w:color="auto"/>
              <w:bottom w:val="single" w:sz="4" w:space="0" w:color="auto"/>
              <w:right w:val="single" w:sz="4" w:space="0" w:color="auto"/>
            </w:tcBorders>
          </w:tcPr>
          <w:p w14:paraId="797D510D" w14:textId="7D8D83A6"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Protection of Personal Information Act</w:t>
            </w:r>
          </w:p>
        </w:tc>
      </w:tr>
      <w:tr w:rsidR="00CC1D3D" w:rsidRPr="0056332A" w14:paraId="0793296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0B3055C1" w14:textId="2B35DE91" w:rsidR="00CC1D3D" w:rsidRDefault="00291C63" w:rsidP="00922836">
            <w:pPr>
              <w:pStyle w:val="Normal1"/>
              <w:spacing w:before="60" w:after="60"/>
              <w:ind w:right="-1"/>
              <w:rPr>
                <w:rFonts w:ascii="Arial" w:hAnsi="Arial" w:cs="Arial"/>
                <w:snapToGrid w:val="0"/>
                <w:sz w:val="18"/>
                <w:szCs w:val="18"/>
              </w:rPr>
            </w:pPr>
            <w:r>
              <w:rPr>
                <w:rFonts w:ascii="Arial" w:hAnsi="Arial" w:cs="Arial"/>
                <w:snapToGrid w:val="0"/>
                <w:sz w:val="18"/>
                <w:szCs w:val="18"/>
              </w:rPr>
              <w:lastRenderedPageBreak/>
              <w:t>PPPFA</w:t>
            </w:r>
          </w:p>
        </w:tc>
        <w:tc>
          <w:tcPr>
            <w:tcW w:w="5879" w:type="dxa"/>
            <w:tcBorders>
              <w:top w:val="single" w:sz="4" w:space="0" w:color="auto"/>
              <w:left w:val="single" w:sz="4" w:space="0" w:color="auto"/>
              <w:bottom w:val="single" w:sz="4" w:space="0" w:color="auto"/>
              <w:right w:val="single" w:sz="4" w:space="0" w:color="auto"/>
            </w:tcBorders>
          </w:tcPr>
          <w:p w14:paraId="58567353" w14:textId="4FAA1672"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Preferential Procurement Policy Framework Act</w:t>
            </w:r>
          </w:p>
        </w:tc>
      </w:tr>
      <w:tr w:rsidR="00CC1D3D" w:rsidRPr="0056332A" w14:paraId="1DE02B79"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7DDB22A9" w14:textId="3C76CE30" w:rsidR="00CC1D3D"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SBS</w:t>
            </w:r>
          </w:p>
        </w:tc>
        <w:tc>
          <w:tcPr>
            <w:tcW w:w="5879" w:type="dxa"/>
            <w:tcBorders>
              <w:top w:val="single" w:sz="4" w:space="0" w:color="auto"/>
              <w:left w:val="single" w:sz="4" w:space="0" w:color="auto"/>
              <w:bottom w:val="single" w:sz="4" w:space="0" w:color="auto"/>
              <w:right w:val="single" w:sz="4" w:space="0" w:color="auto"/>
            </w:tcBorders>
          </w:tcPr>
          <w:p w14:paraId="5ACDA282" w14:textId="6D1B64B7" w:rsidR="00CC1D3D" w:rsidRDefault="00291C63" w:rsidP="00922836">
            <w:pPr>
              <w:pStyle w:val="Normal1"/>
              <w:spacing w:before="60" w:after="60"/>
              <w:ind w:right="-1"/>
              <w:rPr>
                <w:rFonts w:ascii="Arial" w:hAnsi="Arial" w:cs="Arial"/>
                <w:snapToGrid w:val="0"/>
                <w:sz w:val="18"/>
                <w:szCs w:val="18"/>
              </w:rPr>
            </w:pPr>
            <w:r w:rsidRPr="00291C63">
              <w:rPr>
                <w:rFonts w:ascii="Arial" w:hAnsi="Arial" w:cs="Arial"/>
                <w:snapToGrid w:val="0"/>
                <w:sz w:val="18"/>
                <w:szCs w:val="18"/>
              </w:rPr>
              <w:t>Service Breakdown Structure</w:t>
            </w:r>
          </w:p>
        </w:tc>
      </w:tr>
      <w:tr w:rsidR="00CC1D3D" w:rsidRPr="0056332A" w14:paraId="5DEFD0F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8596C19" w14:textId="1ADE28A3" w:rsidR="00CC1D3D"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SCC</w:t>
            </w:r>
          </w:p>
        </w:tc>
        <w:tc>
          <w:tcPr>
            <w:tcW w:w="5879" w:type="dxa"/>
            <w:tcBorders>
              <w:top w:val="single" w:sz="4" w:space="0" w:color="auto"/>
              <w:left w:val="single" w:sz="4" w:space="0" w:color="auto"/>
              <w:bottom w:val="single" w:sz="4" w:space="0" w:color="auto"/>
              <w:right w:val="single" w:sz="4" w:space="0" w:color="auto"/>
            </w:tcBorders>
          </w:tcPr>
          <w:p w14:paraId="7994D657" w14:textId="4C01271A" w:rsidR="00CC1D3D"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Special Conditions of Contract verification</w:t>
            </w:r>
          </w:p>
        </w:tc>
      </w:tr>
      <w:tr w:rsidR="00CC1D3D" w:rsidRPr="0056332A" w14:paraId="5C519B28"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022AD98" w14:textId="0EDA9900" w:rsidR="00CC1D3D"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VAT</w:t>
            </w:r>
          </w:p>
        </w:tc>
        <w:tc>
          <w:tcPr>
            <w:tcW w:w="5879" w:type="dxa"/>
            <w:tcBorders>
              <w:top w:val="single" w:sz="4" w:space="0" w:color="auto"/>
              <w:left w:val="single" w:sz="4" w:space="0" w:color="auto"/>
              <w:bottom w:val="single" w:sz="4" w:space="0" w:color="auto"/>
              <w:right w:val="single" w:sz="4" w:space="0" w:color="auto"/>
            </w:tcBorders>
          </w:tcPr>
          <w:p w14:paraId="5D6A9136" w14:textId="56542B29" w:rsidR="00CC1D3D" w:rsidRDefault="00291C63" w:rsidP="00922836">
            <w:pPr>
              <w:pStyle w:val="Normal1"/>
              <w:spacing w:before="60" w:after="60"/>
              <w:ind w:right="-1"/>
              <w:rPr>
                <w:rFonts w:ascii="Arial" w:hAnsi="Arial" w:cs="Arial"/>
                <w:snapToGrid w:val="0"/>
                <w:sz w:val="18"/>
                <w:szCs w:val="18"/>
              </w:rPr>
            </w:pPr>
            <w:r w:rsidRPr="00291C63">
              <w:rPr>
                <w:rFonts w:ascii="Arial" w:hAnsi="Arial" w:cs="Arial"/>
                <w:snapToGrid w:val="0"/>
                <w:sz w:val="18"/>
                <w:szCs w:val="18"/>
              </w:rPr>
              <w:t>Value Added Tax</w:t>
            </w:r>
          </w:p>
        </w:tc>
      </w:tr>
      <w:tr w:rsidR="00291C63" w:rsidRPr="0056332A" w14:paraId="7C11CA9E"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611C76" w14:textId="0B97F285" w:rsidR="00291C63"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WBS</w:t>
            </w:r>
          </w:p>
        </w:tc>
        <w:tc>
          <w:tcPr>
            <w:tcW w:w="5879" w:type="dxa"/>
            <w:tcBorders>
              <w:top w:val="single" w:sz="4" w:space="0" w:color="auto"/>
              <w:left w:val="single" w:sz="4" w:space="0" w:color="auto"/>
              <w:bottom w:val="single" w:sz="4" w:space="0" w:color="auto"/>
              <w:right w:val="single" w:sz="4" w:space="0" w:color="auto"/>
            </w:tcBorders>
          </w:tcPr>
          <w:p w14:paraId="158DCD83" w14:textId="43BD161C" w:rsidR="00291C63" w:rsidRPr="00291C63"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Work Breakdown Structure</w:t>
            </w:r>
          </w:p>
        </w:tc>
      </w:tr>
      <w:tr w:rsidR="004334D4" w:rsidRPr="0056332A" w14:paraId="6F8F8D7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5D74A41" w14:textId="51F8BD58" w:rsidR="004334D4"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ZAR</w:t>
            </w:r>
          </w:p>
        </w:tc>
        <w:tc>
          <w:tcPr>
            <w:tcW w:w="5879" w:type="dxa"/>
            <w:tcBorders>
              <w:top w:val="single" w:sz="4" w:space="0" w:color="auto"/>
              <w:left w:val="single" w:sz="4" w:space="0" w:color="auto"/>
              <w:bottom w:val="single" w:sz="4" w:space="0" w:color="auto"/>
              <w:right w:val="single" w:sz="4" w:space="0" w:color="auto"/>
            </w:tcBorders>
          </w:tcPr>
          <w:p w14:paraId="0F489BD9" w14:textId="6D7E285D" w:rsidR="004334D4" w:rsidRPr="00291C63"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South African Rand</w:t>
            </w:r>
          </w:p>
        </w:tc>
      </w:tr>
      <w:tr w:rsidR="004334D4" w:rsidRPr="0056332A" w14:paraId="3254158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E3F48D8" w14:textId="686225C1" w:rsidR="004334D4"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ADHOC</w:t>
            </w:r>
          </w:p>
        </w:tc>
        <w:tc>
          <w:tcPr>
            <w:tcW w:w="5879" w:type="dxa"/>
            <w:tcBorders>
              <w:top w:val="single" w:sz="4" w:space="0" w:color="auto"/>
              <w:left w:val="single" w:sz="4" w:space="0" w:color="auto"/>
              <w:bottom w:val="single" w:sz="4" w:space="0" w:color="auto"/>
              <w:right w:val="single" w:sz="4" w:space="0" w:color="auto"/>
            </w:tcBorders>
          </w:tcPr>
          <w:p w14:paraId="0CDA6B53" w14:textId="5DB8E559" w:rsidR="004334D4" w:rsidRPr="00291C63"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When necessary</w:t>
            </w:r>
          </w:p>
        </w:tc>
      </w:tr>
    </w:tbl>
    <w:p w14:paraId="29150384" w14:textId="2634B738" w:rsidR="002A7FE2" w:rsidRDefault="002A7FE2">
      <w:pPr>
        <w:rPr>
          <w:rFonts w:ascii="Arial" w:hAnsi="Arial" w:cs="Arial"/>
          <w:b/>
          <w:snapToGrid w:val="0"/>
          <w:color w:val="000080"/>
          <w:sz w:val="28"/>
          <w:szCs w:val="28"/>
          <w:lang w:val="en-GB"/>
        </w:rPr>
      </w:pPr>
      <w:bookmarkStart w:id="18" w:name="_Toc150587193"/>
      <w:bookmarkStart w:id="19" w:name="_Toc199296471"/>
      <w:bookmarkStart w:id="20" w:name="_Toc97010978"/>
    </w:p>
    <w:p w14:paraId="4F65B822" w14:textId="0C55D38F" w:rsidR="002A7FE2" w:rsidRDefault="002A7FE2">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1" w:name="_Toc454470837"/>
      <w:bookmarkStart w:id="22" w:name="_Toc459824251"/>
      <w:bookmarkStart w:id="23" w:name="_Toc94521921"/>
      <w:bookmarkStart w:id="24"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8"/>
      <w:bookmarkEnd w:id="19"/>
      <w:bookmarkEnd w:id="21"/>
      <w:bookmarkEnd w:id="22"/>
      <w:bookmarkEnd w:id="23"/>
      <w:bookmarkEnd w:id="24"/>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lastRenderedPageBreak/>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5"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5"/>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lastRenderedPageBreak/>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6" w:name="_Toc454470839"/>
      <w:bookmarkStart w:id="27" w:name="_Toc459824253"/>
      <w:bookmarkStart w:id="28" w:name="_Toc68878751"/>
      <w:bookmarkStart w:id="29" w:name="_Toc94521922"/>
      <w:bookmarkStart w:id="30" w:name="_Toc94528457"/>
      <w:bookmarkStart w:id="31" w:name="_Toc150587198"/>
      <w:bookmarkStart w:id="32"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6"/>
      <w:bookmarkEnd w:id="27"/>
      <w:bookmarkEnd w:id="28"/>
      <w:bookmarkEnd w:id="29"/>
      <w:bookmarkEnd w:id="30"/>
      <w:r w:rsidR="00892D48" w:rsidRPr="0056332A">
        <w:rPr>
          <w:rFonts w:cs="Arial"/>
          <w:sz w:val="20"/>
        </w:rPr>
        <w:t xml:space="preserve"> </w:t>
      </w:r>
      <w:bookmarkEnd w:id="31"/>
      <w:bookmarkEnd w:id="32"/>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3" w:name="Response"/>
      <w:bookmarkStart w:id="34" w:name="_Toc150587194"/>
      <w:bookmarkStart w:id="35"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0B77C1C2"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proofErr w:type="gramStart"/>
      <w:r>
        <w:rPr>
          <w:rFonts w:ascii="Arial" w:hAnsi="Arial" w:cs="Arial"/>
          <w:sz w:val="22"/>
          <w:szCs w:val="22"/>
        </w:rPr>
        <w:t xml:space="preserve">  </w:t>
      </w:r>
      <w:r w:rsidRPr="00706059">
        <w:rPr>
          <w:rFonts w:ascii="Arial" w:hAnsi="Arial" w:cs="Arial"/>
          <w:sz w:val="22"/>
          <w:szCs w:val="22"/>
        </w:rPr>
        <w:t>:</w:t>
      </w:r>
      <w:proofErr w:type="gramEnd"/>
      <w:r w:rsidRPr="00706059">
        <w:rPr>
          <w:rFonts w:ascii="Arial" w:hAnsi="Arial" w:cs="Arial"/>
          <w:sz w:val="22"/>
          <w:szCs w:val="22"/>
        </w:rPr>
        <w:t xml:space="preserve"> </w:t>
      </w:r>
      <w:r w:rsidR="004334D4">
        <w:rPr>
          <w:rFonts w:ascii="Arial" w:hAnsi="Arial" w:cs="Arial"/>
          <w:sz w:val="22"/>
          <w:szCs w:val="22"/>
        </w:rPr>
        <w:t>1</w:t>
      </w:r>
      <w:r w:rsidR="00373C22">
        <w:rPr>
          <w:rFonts w:ascii="Arial" w:hAnsi="Arial" w:cs="Arial"/>
          <w:sz w:val="22"/>
          <w:szCs w:val="22"/>
        </w:rPr>
        <w:t>7</w:t>
      </w:r>
      <w:r w:rsidR="004334D4">
        <w:rPr>
          <w:rFonts w:ascii="Arial" w:hAnsi="Arial" w:cs="Arial"/>
          <w:sz w:val="22"/>
          <w:szCs w:val="22"/>
        </w:rPr>
        <w:t xml:space="preserve"> June 2022</w:t>
      </w:r>
    </w:p>
    <w:p w14:paraId="4A2B0D12" w14:textId="7C2DD853"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proofErr w:type="gramStart"/>
      <w:r>
        <w:rPr>
          <w:rFonts w:ascii="Arial" w:hAnsi="Arial" w:cs="Arial"/>
          <w:sz w:val="22"/>
          <w:szCs w:val="22"/>
        </w:rPr>
        <w:t xml:space="preserve">  </w:t>
      </w:r>
      <w:r w:rsidRPr="00706059">
        <w:rPr>
          <w:rFonts w:ascii="Arial" w:hAnsi="Arial" w:cs="Arial"/>
          <w:sz w:val="22"/>
          <w:szCs w:val="22"/>
        </w:rPr>
        <w:t>:</w:t>
      </w:r>
      <w:proofErr w:type="gramEnd"/>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77777777"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0"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4334D4" w:rsidRDefault="009362A1" w:rsidP="00DC7385">
      <w:pPr>
        <w:pStyle w:val="ListParagraph"/>
        <w:numPr>
          <w:ilvl w:val="0"/>
          <w:numId w:val="30"/>
        </w:numPr>
        <w:spacing w:line="360" w:lineRule="auto"/>
        <w:jc w:val="both"/>
        <w:rPr>
          <w:rFonts w:ascii="Arial" w:hAnsi="Arial" w:cs="Arial"/>
          <w:sz w:val="20"/>
          <w:szCs w:val="20"/>
        </w:rPr>
      </w:pPr>
      <w:r w:rsidRPr="004334D4">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6" w:name="_Toc459824254"/>
      <w:bookmarkStart w:id="37" w:name="_Toc94521923"/>
      <w:bookmarkStart w:id="38" w:name="_Toc94528458"/>
      <w:bookmarkEnd w:id="33"/>
      <w:bookmarkEnd w:id="34"/>
      <w:bookmarkEnd w:id="35"/>
      <w:r>
        <w:rPr>
          <w:rFonts w:cs="Arial"/>
          <w:color w:val="000080"/>
          <w:sz w:val="28"/>
          <w:szCs w:val="28"/>
        </w:rPr>
        <w:lastRenderedPageBreak/>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6"/>
      <w:bookmarkEnd w:id="37"/>
      <w:bookmarkEnd w:id="38"/>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42E81408"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9"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9"/>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0"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r w:rsidRPr="0056332A">
              <w:rPr>
                <w:rFonts w:ascii="Arial" w:hAnsi="Arial" w:cs="Arial"/>
                <w:bCs/>
                <w:sz w:val="20"/>
                <w:szCs w:val="20"/>
              </w:rPr>
              <w:t>i</w:t>
            </w:r>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0"/>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56332A" w:rsidRDefault="00A23B9A" w:rsidP="009944D8">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C705A8" w:rsidRPr="0056332A">
              <w:rPr>
                <w:rFonts w:ascii="Arial" w:hAnsi="Arial" w:cs="Arial"/>
                <w:bCs/>
                <w:sz w:val="20"/>
                <w:szCs w:val="20"/>
              </w:rPr>
              <w:t>.</w:t>
            </w:r>
          </w:p>
        </w:tc>
        <w:tc>
          <w:tcPr>
            <w:tcW w:w="9177" w:type="dxa"/>
          </w:tcPr>
          <w:p w14:paraId="75C8B4B3" w14:textId="3F8B9266" w:rsidR="00C705A8" w:rsidRPr="004334D4" w:rsidRDefault="004334D4" w:rsidP="009944D8">
            <w:pPr>
              <w:spacing w:line="360" w:lineRule="auto"/>
              <w:jc w:val="both"/>
              <w:rPr>
                <w:rFonts w:ascii="Arial" w:hAnsi="Arial" w:cs="Arial"/>
                <w:b/>
                <w:sz w:val="20"/>
                <w:szCs w:val="20"/>
              </w:rPr>
            </w:pPr>
            <w:r w:rsidRPr="004334D4">
              <w:rPr>
                <w:rFonts w:ascii="Arial" w:hAnsi="Arial" w:cs="Arial"/>
                <w:b/>
                <w:sz w:val="20"/>
                <w:szCs w:val="20"/>
              </w:rPr>
              <w:t>PLEASE REFER TO BID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p w14:paraId="6C6E138F" w14:textId="5D7E8990" w:rsidR="00260C98" w:rsidRDefault="00260C98" w:rsidP="00932312">
      <w:pPr>
        <w:pStyle w:val="NoSpacing"/>
        <w:rPr>
          <w:rFonts w:ascii="Arial" w:hAnsi="Arial" w:cs="Arial"/>
        </w:rPr>
      </w:pPr>
    </w:p>
    <w:p w14:paraId="5A703C5E" w14:textId="1EC8C0EF" w:rsidR="0045061B" w:rsidRDefault="0045061B" w:rsidP="00932312">
      <w:pPr>
        <w:pStyle w:val="NoSpacing"/>
        <w:rPr>
          <w:rFonts w:ascii="Arial" w:hAnsi="Arial" w:cs="Arial"/>
        </w:rPr>
      </w:pPr>
    </w:p>
    <w:p w14:paraId="169E620D" w14:textId="55243C4D" w:rsidR="0045061B" w:rsidRDefault="0045061B" w:rsidP="00932312">
      <w:pPr>
        <w:pStyle w:val="NoSpacing"/>
        <w:rPr>
          <w:rFonts w:ascii="Arial" w:hAnsi="Arial" w:cs="Arial"/>
        </w:rPr>
      </w:pPr>
    </w:p>
    <w:p w14:paraId="6A2A3CEC" w14:textId="77777777" w:rsidR="0045061B" w:rsidRDefault="0045061B" w:rsidP="00932312">
      <w:pPr>
        <w:pStyle w:val="NoSpacing"/>
        <w:rPr>
          <w:rFonts w:ascii="Arial" w:hAnsi="Arial" w:cs="Arial"/>
        </w:rPr>
      </w:pPr>
    </w:p>
    <w:p w14:paraId="237CAC06" w14:textId="3C6023DE" w:rsidR="00260C98" w:rsidRDefault="00260C98" w:rsidP="00932312">
      <w:pPr>
        <w:pStyle w:val="NoSpacing"/>
        <w:rPr>
          <w:rFonts w:ascii="Arial" w:hAnsi="Arial" w:cs="Arial"/>
        </w:rPr>
      </w:pPr>
    </w:p>
    <w:p w14:paraId="4F4CD590" w14:textId="74B4BC31" w:rsidR="009532A9" w:rsidRDefault="009532A9" w:rsidP="00932312">
      <w:pPr>
        <w:pStyle w:val="NoSpacing"/>
        <w:rPr>
          <w:rFonts w:ascii="Arial" w:hAnsi="Arial" w:cs="Arial"/>
        </w:rPr>
      </w:pPr>
    </w:p>
    <w:p w14:paraId="54A48881" w14:textId="1BF13D35" w:rsidR="009532A9" w:rsidRDefault="009532A9" w:rsidP="00932312">
      <w:pPr>
        <w:pStyle w:val="NoSpacing"/>
        <w:rPr>
          <w:rFonts w:ascii="Arial" w:hAnsi="Arial" w:cs="Arial"/>
        </w:rPr>
      </w:pPr>
    </w:p>
    <w:p w14:paraId="10C5DA19" w14:textId="77777777" w:rsidR="009532A9" w:rsidRPr="0056332A" w:rsidRDefault="009532A9"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1" w:name="_Toc381779723"/>
      <w:bookmarkStart w:id="42" w:name="_Toc381780668"/>
      <w:bookmarkStart w:id="43" w:name="_Toc384898807"/>
      <w:bookmarkStart w:id="44" w:name="_Toc94521924"/>
      <w:bookmarkStart w:id="45" w:name="_Toc94528459"/>
      <w:bookmarkStart w:id="46" w:name="_Toc454470842"/>
      <w:bookmarkStart w:id="47" w:name="_Toc459824255"/>
      <w:bookmarkStart w:id="48" w:name="_Toc97010979"/>
      <w:bookmarkStart w:id="49" w:name="_Toc150587199"/>
      <w:bookmarkStart w:id="50" w:name="_Toc199296476"/>
      <w:bookmarkEnd w:id="20"/>
      <w:bookmarkEnd w:id="41"/>
      <w:bookmarkEnd w:id="42"/>
      <w:bookmarkEnd w:id="43"/>
      <w:r>
        <w:rPr>
          <w:rStyle w:val="Heading12"/>
          <w:rFonts w:cs="Arial"/>
          <w:b/>
          <w:bCs/>
          <w:color w:val="000080"/>
          <w:sz w:val="28"/>
        </w:rPr>
        <w:lastRenderedPageBreak/>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4"/>
      <w:bookmarkEnd w:id="45"/>
      <w:r w:rsidR="0020236F" w:rsidRPr="009362A1">
        <w:rPr>
          <w:rStyle w:val="Heading12"/>
          <w:rFonts w:cs="Arial"/>
          <w:b/>
          <w:bCs/>
          <w:color w:val="000080"/>
          <w:sz w:val="28"/>
        </w:rPr>
        <w:t xml:space="preserve"> </w:t>
      </w:r>
      <w:bookmarkEnd w:id="46"/>
      <w:bookmarkEnd w:id="47"/>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45061B">
        <w:rPr>
          <w:rFonts w:ascii="Arial" w:hAnsi="Arial" w:cs="Arial"/>
          <w:sz w:val="20"/>
          <w:szCs w:val="20"/>
        </w:rPr>
        <w:t>will</w:t>
      </w:r>
      <w:r w:rsidRPr="0045061B">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8"/>
      <w:bookmarkEnd w:id="49"/>
      <w:bookmarkEnd w:id="50"/>
    </w:p>
    <w:p w14:paraId="46962B1E" w14:textId="77777777" w:rsidR="00017B21" w:rsidRPr="0056332A" w:rsidRDefault="00017B21" w:rsidP="00932312">
      <w:pPr>
        <w:pStyle w:val="NoSpacing"/>
        <w:rPr>
          <w:rFonts w:ascii="Arial" w:hAnsi="Arial" w:cs="Arial"/>
          <w:sz w:val="18"/>
          <w:szCs w:val="18"/>
        </w:rPr>
      </w:pPr>
    </w:p>
    <w:p w14:paraId="03ADF16C" w14:textId="7170199A" w:rsidR="00437F3A" w:rsidRDefault="00437F3A" w:rsidP="0056332A">
      <w:pPr>
        <w:spacing w:line="360" w:lineRule="auto"/>
        <w:jc w:val="both"/>
        <w:rPr>
          <w:rFonts w:ascii="Arial" w:hAnsi="Arial" w:cs="Arial"/>
          <w:sz w:val="20"/>
          <w:szCs w:val="20"/>
        </w:rPr>
      </w:pPr>
    </w:p>
    <w:p w14:paraId="74930A0D" w14:textId="47F57E26" w:rsidR="0045061B" w:rsidRDefault="0045061B" w:rsidP="0056332A">
      <w:pPr>
        <w:spacing w:line="360" w:lineRule="auto"/>
        <w:jc w:val="both"/>
        <w:rPr>
          <w:rFonts w:ascii="Arial" w:hAnsi="Arial" w:cs="Arial"/>
          <w:sz w:val="20"/>
          <w:szCs w:val="20"/>
        </w:rPr>
      </w:pPr>
    </w:p>
    <w:p w14:paraId="2FF54129" w14:textId="6ED19510" w:rsidR="0045061B" w:rsidRDefault="0045061B" w:rsidP="0056332A">
      <w:pPr>
        <w:spacing w:line="360" w:lineRule="auto"/>
        <w:jc w:val="both"/>
        <w:rPr>
          <w:rFonts w:ascii="Arial" w:hAnsi="Arial" w:cs="Arial"/>
          <w:sz w:val="20"/>
          <w:szCs w:val="20"/>
        </w:rPr>
      </w:pPr>
    </w:p>
    <w:p w14:paraId="7950787A" w14:textId="1F2ACF4B" w:rsidR="0045061B" w:rsidRDefault="0045061B" w:rsidP="0056332A">
      <w:pPr>
        <w:spacing w:line="360" w:lineRule="auto"/>
        <w:jc w:val="both"/>
        <w:rPr>
          <w:rFonts w:ascii="Arial" w:hAnsi="Arial" w:cs="Arial"/>
          <w:sz w:val="20"/>
          <w:szCs w:val="20"/>
        </w:rPr>
      </w:pPr>
    </w:p>
    <w:p w14:paraId="485F242C" w14:textId="04FB811B" w:rsidR="0045061B" w:rsidRDefault="0045061B" w:rsidP="0056332A">
      <w:pPr>
        <w:spacing w:line="360" w:lineRule="auto"/>
        <w:jc w:val="both"/>
        <w:rPr>
          <w:rFonts w:ascii="Arial" w:hAnsi="Arial" w:cs="Arial"/>
          <w:sz w:val="20"/>
          <w:szCs w:val="20"/>
        </w:rPr>
      </w:pPr>
    </w:p>
    <w:p w14:paraId="3F94A979" w14:textId="4536576E" w:rsidR="0045061B" w:rsidRDefault="0045061B" w:rsidP="0056332A">
      <w:pPr>
        <w:spacing w:line="360" w:lineRule="auto"/>
        <w:jc w:val="both"/>
        <w:rPr>
          <w:rFonts w:ascii="Arial" w:hAnsi="Arial" w:cs="Arial"/>
          <w:sz w:val="20"/>
          <w:szCs w:val="20"/>
        </w:rPr>
      </w:pPr>
    </w:p>
    <w:p w14:paraId="50C4F3F2" w14:textId="77777777" w:rsidR="0045061B" w:rsidRPr="0056332A" w:rsidRDefault="0045061B"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1" w:name="_Hlk102985821"/>
      <w:bookmarkStart w:id="52" w:name="_Hlk102981669"/>
      <w:r w:rsidRPr="00CB20EE">
        <w:rPr>
          <w:rFonts w:ascii="Arial" w:hAnsi="Arial" w:cs="Arial"/>
          <w:b/>
          <w:color w:val="000080"/>
          <w:sz w:val="28"/>
          <w:szCs w:val="28"/>
          <w:u w:val="single"/>
        </w:rPr>
        <w:lastRenderedPageBreak/>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lastRenderedPageBreak/>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lastRenderedPageBreak/>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3"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1"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2"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3"/>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bookmarkStart w:id="54" w:name="_Hlk104297739"/>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bookmarkEnd w:id="54"/>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41B7926C" w14:textId="342B392F" w:rsidR="00D31A72" w:rsidRPr="0056332A" w:rsidRDefault="00CB3F0A"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Pr>
          <w:rFonts w:ascii="Arial" w:hAnsi="Arial" w:cs="Arial"/>
          <w:b/>
          <w:sz w:val="20"/>
          <w:szCs w:val="20"/>
          <w:lang w:val="en-GB"/>
        </w:rPr>
        <w:t>5.</w:t>
      </w:r>
      <w:r w:rsidR="00DD1B6B" w:rsidRPr="0056332A">
        <w:rPr>
          <w:rFonts w:ascii="Arial" w:hAnsi="Arial" w:cs="Arial"/>
          <w:b/>
          <w:sz w:val="20"/>
          <w:szCs w:val="20"/>
          <w:lang w:val="en-GB"/>
        </w:rPr>
        <w:t>2</w:t>
      </w:r>
      <w:r w:rsidR="00DD1B6B">
        <w:rPr>
          <w:rFonts w:ascii="Arial" w:hAnsi="Arial" w:cs="Arial"/>
          <w:b/>
          <w:sz w:val="20"/>
          <w:szCs w:val="20"/>
          <w:lang w:val="en-GB"/>
        </w:rPr>
        <w:t xml:space="preserve">. </w:t>
      </w:r>
      <w:r w:rsidR="00D31A72" w:rsidRPr="0056332A">
        <w:rPr>
          <w:rFonts w:ascii="Arial" w:hAnsi="Arial" w:cs="Arial"/>
          <w:b/>
          <w:sz w:val="20"/>
          <w:szCs w:val="20"/>
          <w:lang w:val="en-GB"/>
        </w:rPr>
        <w:t>POINTS AWARDED FOR PRICE</w:t>
      </w:r>
    </w:p>
    <w:p w14:paraId="3A78FF85" w14:textId="47D6DF41" w:rsidR="00D31A72" w:rsidRPr="0056332A" w:rsidRDefault="00CB3F0A" w:rsidP="0056332A">
      <w:pPr>
        <w:widowControl w:val="0"/>
        <w:tabs>
          <w:tab w:val="left" w:pos="2880"/>
          <w:tab w:val="left" w:pos="5760"/>
          <w:tab w:val="left" w:pos="7920"/>
        </w:tabs>
        <w:spacing w:after="120"/>
        <w:ind w:left="1571"/>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36pt" o:ole="" fillcolor="window">
            <v:imagedata r:id="rId13" o:title=""/>
          </v:shape>
          <o:OLEObject Type="Embed" ProgID="Equation.3" ShapeID="_x0000_i1025" DrawAspect="Content" ObjectID="_1714992303" r:id="rId14"/>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2.4pt;height:36pt" o:ole="" fillcolor="window">
            <v:imagedata r:id="rId15" o:title=""/>
          </v:shape>
          <o:OLEObject Type="Embed" ProgID="Equation.3" ShapeID="_x0000_i1026" DrawAspect="Content" ObjectID="_1714992304" r:id="rId16"/>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56332A" w:rsidRDefault="00CB3F0A"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lastRenderedPageBreak/>
        <w:t xml:space="preserve">5.3 </w:t>
      </w:r>
      <w:r w:rsidR="00D31A72" w:rsidRPr="0056332A">
        <w:rPr>
          <w:rFonts w:ascii="Arial" w:hAnsi="Arial" w:cs="Arial"/>
          <w:b/>
          <w:sz w:val="20"/>
          <w:szCs w:val="20"/>
          <w:lang w:val="en-GB"/>
        </w:rPr>
        <w:t>POINTS AWARDED FOR B-BBEE STATUS LEVEL OF CONTRIBUTOR</w:t>
      </w:r>
    </w:p>
    <w:p w14:paraId="0587862A" w14:textId="4E6ADD12" w:rsidR="00D31A72" w:rsidRPr="0056332A" w:rsidRDefault="002C5968" w:rsidP="0056332A">
      <w:pPr>
        <w:spacing w:after="120"/>
        <w:ind w:left="284"/>
        <w:jc w:val="both"/>
        <w:rPr>
          <w:rFonts w:ascii="Arial" w:hAnsi="Arial" w:cs="Arial"/>
          <w:sz w:val="20"/>
          <w:szCs w:val="20"/>
          <w:lang w:val="en-GB"/>
        </w:rPr>
      </w:pPr>
      <w:r>
        <w:rPr>
          <w:rFonts w:ascii="Arial" w:hAnsi="Arial" w:cs="Arial"/>
          <w:sz w:val="20"/>
          <w:szCs w:val="20"/>
          <w:lang w:val="en-GB"/>
        </w:rPr>
        <w:t xml:space="preserve">5.3.1 </w:t>
      </w:r>
      <w:r w:rsidR="00D31A72" w:rsidRPr="0056332A">
        <w:rPr>
          <w:rFonts w:ascii="Arial" w:hAnsi="Arial" w:cs="Arial"/>
          <w:sz w:val="20"/>
          <w:szCs w:val="20"/>
          <w:lang w:val="en-GB"/>
        </w:rPr>
        <w:t xml:space="preserve">In terms of </w:t>
      </w:r>
      <w:r w:rsidR="00BC7799" w:rsidRPr="0056332A">
        <w:rPr>
          <w:rFonts w:ascii="Arial" w:hAnsi="Arial" w:cs="Arial"/>
          <w:sz w:val="20"/>
          <w:szCs w:val="20"/>
          <w:lang w:val="en-GB"/>
        </w:rPr>
        <w:t>SITA</w:t>
      </w:r>
      <w:r w:rsidR="007E6D58" w:rsidRPr="0056332A">
        <w:rPr>
          <w:rFonts w:ascii="Arial" w:hAnsi="Arial" w:cs="Arial"/>
          <w:sz w:val="20"/>
          <w:szCs w:val="20"/>
          <w:lang w:val="en-GB"/>
        </w:rPr>
        <w:t>’s</w:t>
      </w:r>
      <w:r w:rsidR="00D31A72" w:rsidRPr="0056332A">
        <w:rPr>
          <w:rFonts w:ascii="Arial" w:hAnsi="Arial" w:cs="Arial"/>
          <w:sz w:val="20"/>
          <w:szCs w:val="20"/>
          <w:lang w:val="en-GB"/>
        </w:rPr>
        <w:t xml:space="preserve"> Preferential Procurement </w:t>
      </w:r>
      <w:r w:rsidR="00BC7799" w:rsidRPr="0056332A">
        <w:rPr>
          <w:rFonts w:ascii="Arial" w:hAnsi="Arial" w:cs="Arial"/>
          <w:sz w:val="20"/>
          <w:szCs w:val="20"/>
          <w:lang w:val="en-GB"/>
        </w:rPr>
        <w:t>Policy</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tbl>
      <w:tblPr>
        <w:tblW w:w="994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132"/>
        <w:gridCol w:w="3409"/>
      </w:tblGrid>
      <w:tr w:rsidR="007F3501" w:rsidRPr="0056332A" w14:paraId="6E97103F" w14:textId="77777777" w:rsidTr="00BC7799">
        <w:trPr>
          <w:trHeight w:val="518"/>
          <w:tblHeader/>
        </w:trPr>
        <w:tc>
          <w:tcPr>
            <w:tcW w:w="3404"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0400E9CC"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color w:val="FFFFFF" w:themeColor="background1"/>
                <w:kern w:val="24"/>
                <w:sz w:val="18"/>
                <w:szCs w:val="18"/>
              </w:rPr>
              <w:t xml:space="preserve">B-BBEE Status </w:t>
            </w:r>
          </w:p>
        </w:tc>
        <w:tc>
          <w:tcPr>
            <w:tcW w:w="3132"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3215E1AB"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14:paraId="0C7F3D8F"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(90/10 system)</w:t>
            </w:r>
          </w:p>
        </w:tc>
        <w:tc>
          <w:tcPr>
            <w:tcW w:w="3409"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086941A9"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14:paraId="4908B867"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(80/20 system)</w:t>
            </w:r>
          </w:p>
        </w:tc>
      </w:tr>
      <w:tr w:rsidR="007F3501" w:rsidRPr="0056332A" w14:paraId="3EFF74B6" w14:textId="77777777" w:rsidTr="00BC7799">
        <w:trPr>
          <w:trHeight w:val="518"/>
          <w:tblHeader/>
        </w:trPr>
        <w:tc>
          <w:tcPr>
            <w:tcW w:w="3404" w:type="dxa"/>
            <w:tcBorders>
              <w:top w:val="nil"/>
              <w:left w:val="single" w:sz="4" w:space="0" w:color="auto"/>
              <w:bottom w:val="single" w:sz="4" w:space="0" w:color="auto"/>
              <w:right w:val="single" w:sz="4" w:space="0" w:color="auto"/>
            </w:tcBorders>
            <w:shd w:val="clear" w:color="auto" w:fill="C00000"/>
            <w:vAlign w:val="center"/>
          </w:tcPr>
          <w:p w14:paraId="34573002"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1</w:t>
            </w:r>
          </w:p>
        </w:tc>
        <w:tc>
          <w:tcPr>
            <w:tcW w:w="3132" w:type="dxa"/>
            <w:tcBorders>
              <w:top w:val="nil"/>
              <w:left w:val="single" w:sz="4" w:space="0" w:color="auto"/>
              <w:bottom w:val="single" w:sz="4" w:space="0" w:color="auto"/>
              <w:right w:val="single" w:sz="4" w:space="0" w:color="auto"/>
            </w:tcBorders>
            <w:shd w:val="clear" w:color="auto" w:fill="auto"/>
            <w:vAlign w:val="center"/>
          </w:tcPr>
          <w:p w14:paraId="0FD97E98" w14:textId="515F716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c>
          <w:tcPr>
            <w:tcW w:w="3409" w:type="dxa"/>
            <w:tcBorders>
              <w:top w:val="nil"/>
              <w:left w:val="single" w:sz="4" w:space="0" w:color="auto"/>
              <w:bottom w:val="single" w:sz="4" w:space="0" w:color="auto"/>
              <w:right w:val="single" w:sz="4" w:space="0" w:color="auto"/>
            </w:tcBorders>
            <w:shd w:val="clear" w:color="auto" w:fill="auto"/>
            <w:vAlign w:val="center"/>
          </w:tcPr>
          <w:p w14:paraId="25DA33BC" w14:textId="558F0C8E"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20</w:t>
            </w:r>
          </w:p>
        </w:tc>
      </w:tr>
      <w:tr w:rsidR="007F3501" w:rsidRPr="0056332A" w14:paraId="6DCD5AFA"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692D338B"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2</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061F5C01" w14:textId="6BE198FF"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7C19332E" w14:textId="48B760AD"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18</w:t>
            </w:r>
          </w:p>
        </w:tc>
      </w:tr>
      <w:tr w:rsidR="007F3501" w:rsidRPr="0056332A" w14:paraId="654C076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7A281EFB"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3</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0396E41" w14:textId="3E04B85F"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647A32E" w14:textId="5621E116"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12</w:t>
            </w:r>
          </w:p>
        </w:tc>
      </w:tr>
      <w:tr w:rsidR="007F3501" w:rsidRPr="0056332A" w14:paraId="3CCBBBC8"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30C4151E"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4</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6D6AE38E" w14:textId="6CC4FB41"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5</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38A8BF9D" w14:textId="5BE7ECE4"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r>
      <w:tr w:rsidR="007F3501" w:rsidRPr="0056332A" w14:paraId="5EA65CAA"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6EEFC803"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5</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FD90B8E" w14:textId="6B77BF77"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449D3927" w14:textId="6BF933D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r>
      <w:tr w:rsidR="007F3501" w:rsidRPr="0056332A" w14:paraId="582C1C8F"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2F3DDB3F"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6</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310D288" w14:textId="52477409"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3</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76992A8" w14:textId="1A3B5384"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r>
      <w:tr w:rsidR="007F3501" w:rsidRPr="0056332A" w14:paraId="547B0B5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2F507883"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7</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3D2BF5E8" w14:textId="70FFA50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5A85A796" w14:textId="1A6BC31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r>
      <w:tr w:rsidR="007F3501" w:rsidRPr="0056332A" w14:paraId="4720912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0F6E1CDD"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8</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0E55F61F"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1</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12CFC0B5" w14:textId="3328C57E"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w:t>
            </w:r>
          </w:p>
        </w:tc>
      </w:tr>
      <w:tr w:rsidR="007F3501" w:rsidRPr="0056332A" w14:paraId="2071B089"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476C93BA"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Non-compliant</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2B6C2043"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E1E6E13"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r>
      <w:tr w:rsidR="007F3501" w:rsidRPr="0056332A" w14:paraId="0B9135C6" w14:textId="77777777" w:rsidTr="00BC7799">
        <w:trPr>
          <w:trHeight w:val="299"/>
        </w:trPr>
        <w:tc>
          <w:tcPr>
            <w:tcW w:w="9945" w:type="dxa"/>
            <w:gridSpan w:val="3"/>
            <w:shd w:val="clear" w:color="auto" w:fill="auto"/>
          </w:tcPr>
          <w:p w14:paraId="3DD0BA8B" w14:textId="013CE831" w:rsidR="007F3501" w:rsidRPr="0056332A" w:rsidRDefault="007F3501" w:rsidP="007E6D58">
            <w:pPr>
              <w:tabs>
                <w:tab w:val="left" w:pos="900"/>
                <w:tab w:val="left" w:pos="1620"/>
                <w:tab w:val="left" w:pos="2160"/>
                <w:tab w:val="left" w:pos="2700"/>
                <w:tab w:val="left" w:pos="7920"/>
              </w:tabs>
              <w:jc w:val="center"/>
              <w:rPr>
                <w:rFonts w:ascii="Arial" w:hAnsi="Arial" w:cs="Arial"/>
                <w:lang w:val="en-US"/>
              </w:rPr>
            </w:pPr>
            <w:r w:rsidRPr="0056332A">
              <w:rPr>
                <w:rFonts w:ascii="Arial" w:hAnsi="Arial" w:cs="Arial"/>
                <w:b/>
                <w:bCs/>
                <w:lang w:val="en-US"/>
              </w:rPr>
              <w:t>Maximum of 10/20 points for B</w:t>
            </w:r>
            <w:r w:rsidR="002C5968">
              <w:rPr>
                <w:rFonts w:ascii="Arial" w:hAnsi="Arial" w:cs="Arial"/>
                <w:b/>
                <w:bCs/>
                <w:lang w:val="en-US"/>
              </w:rPr>
              <w:t>-</w:t>
            </w:r>
            <w:r w:rsidR="00BC7799" w:rsidRPr="0056332A">
              <w:rPr>
                <w:rFonts w:ascii="Arial" w:hAnsi="Arial" w:cs="Arial"/>
                <w:b/>
                <w:bCs/>
                <w:lang w:val="en-US"/>
              </w:rPr>
              <w:t>BB</w:t>
            </w:r>
            <w:r w:rsidRPr="0056332A">
              <w:rPr>
                <w:rFonts w:ascii="Arial" w:hAnsi="Arial" w:cs="Arial"/>
                <w:b/>
                <w:bCs/>
                <w:lang w:val="en-US"/>
              </w:rPr>
              <w:t>EE</w:t>
            </w:r>
          </w:p>
        </w:tc>
      </w:tr>
    </w:tbl>
    <w:p w14:paraId="18D02905" w14:textId="77777777" w:rsidR="00D31A72" w:rsidRPr="0056332A" w:rsidRDefault="00D31A72" w:rsidP="00D31A72">
      <w:pPr>
        <w:spacing w:after="120"/>
        <w:ind w:left="907"/>
        <w:jc w:val="both"/>
        <w:rPr>
          <w:rFonts w:ascii="Arial" w:hAnsi="Arial" w:cs="Arial"/>
          <w:sz w:val="20"/>
          <w:szCs w:val="20"/>
        </w:rPr>
      </w:pPr>
    </w:p>
    <w:p w14:paraId="04C25E4A" w14:textId="24767428" w:rsidR="00D31A72" w:rsidRPr="0056332A" w:rsidRDefault="002C5968"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.4 </w:t>
      </w:r>
      <w:r w:rsidR="00D31A72" w:rsidRPr="0056332A">
        <w:rPr>
          <w:rFonts w:ascii="Arial" w:hAnsi="Arial" w:cs="Arial"/>
          <w:b/>
          <w:sz w:val="20"/>
          <w:szCs w:val="20"/>
          <w:lang w:val="en-GB"/>
        </w:rPr>
        <w:t>BID DECLARATION</w:t>
      </w:r>
    </w:p>
    <w:p w14:paraId="2FA7FC93" w14:textId="46E96E82" w:rsidR="00D31A72" w:rsidRPr="0056332A" w:rsidRDefault="002C5968" w:rsidP="0056332A">
      <w:pPr>
        <w:spacing w:after="120"/>
        <w:ind w:left="1571"/>
        <w:jc w:val="both"/>
        <w:rPr>
          <w:rFonts w:ascii="Arial" w:hAnsi="Arial" w:cs="Arial"/>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A915603" w14:textId="3CDCBAF9"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.5 </w:t>
      </w:r>
      <w:r w:rsidR="00D31A72" w:rsidRPr="0056332A">
        <w:rPr>
          <w:rFonts w:ascii="Arial" w:hAnsi="Arial" w:cs="Arial"/>
          <w:b/>
          <w:sz w:val="20"/>
          <w:szCs w:val="20"/>
          <w:lang w:val="en-GB"/>
        </w:rPr>
        <w:t xml:space="preserve">B-BBEE STATUS LEVEL OF CONTRIBUTOR CLAIMED IN TERMS OF PARAGRAPHS 1.4 AND 4.1 </w:t>
      </w:r>
    </w:p>
    <w:p w14:paraId="149D9D4A" w14:textId="34F92CD2" w:rsidR="00D31A72" w:rsidRPr="0056332A" w:rsidRDefault="002C5968" w:rsidP="0056332A">
      <w:pPr>
        <w:spacing w:after="120"/>
        <w:ind w:left="907"/>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p>
    <w:p w14:paraId="7DA7DE72" w14:textId="77777777" w:rsidR="00D31A72" w:rsidRPr="0056332A"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0"/>
          <w:szCs w:val="20"/>
        </w:rPr>
      </w:pPr>
      <w:r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C0DAEF4" w14:textId="5B300734" w:rsidR="00D31A72" w:rsidRPr="0056332A" w:rsidRDefault="002C5968" w:rsidP="0056332A">
      <w:pPr>
        <w:pStyle w:val="ListParagraph"/>
        <w:widowControl w:val="0"/>
        <w:tabs>
          <w:tab w:val="left" w:pos="2880"/>
          <w:tab w:val="left" w:pos="5760"/>
          <w:tab w:val="left" w:pos="7920"/>
        </w:tabs>
        <w:spacing w:after="120"/>
        <w:ind w:left="576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.6 </w:t>
      </w:r>
      <w:r w:rsidR="00D31A72" w:rsidRPr="0056332A">
        <w:rPr>
          <w:rFonts w:ascii="Arial" w:hAnsi="Arial" w:cs="Arial"/>
          <w:b/>
          <w:sz w:val="20"/>
          <w:szCs w:val="20"/>
          <w:lang w:val="en-GB"/>
        </w:rPr>
        <w:t>SUB-CONTRACTING</w:t>
      </w:r>
    </w:p>
    <w:p w14:paraId="23FDA414" w14:textId="505C4626" w:rsidR="00D31A72" w:rsidRPr="0056332A" w:rsidRDefault="002C5968" w:rsidP="0056332A">
      <w:pPr>
        <w:spacing w:after="120"/>
        <w:ind w:left="907"/>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6A2E8ED2" w:rsidR="00D31A72"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p w14:paraId="172A062D" w14:textId="423BB7CD" w:rsidR="0045061B" w:rsidRDefault="0045061B"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080709F2" w14:textId="11152D8F" w:rsidR="0045061B" w:rsidRDefault="0045061B"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7481739B" w14:textId="77777777" w:rsidR="0045061B" w:rsidRPr="0056332A" w:rsidRDefault="0045061B"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lastRenderedPageBreak/>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618BBB57"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489EEB9F" w14:textId="26C1CCA7"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sz w:val="20"/>
          <w:szCs w:val="20"/>
        </w:rPr>
      </w:pPr>
      <w:r w:rsidRPr="0056332A">
        <w:rPr>
          <w:rFonts w:ascii="Arial" w:hAnsi="Arial" w:cs="Arial"/>
          <w:b/>
          <w:sz w:val="20"/>
          <w:szCs w:val="20"/>
        </w:rPr>
        <w:t>5</w:t>
      </w:r>
      <w:r>
        <w:rPr>
          <w:rFonts w:ascii="Arial" w:hAnsi="Arial" w:cs="Arial"/>
          <w:b/>
          <w:sz w:val="20"/>
          <w:szCs w:val="20"/>
        </w:rPr>
        <w:t xml:space="preserve">.7 </w:t>
      </w:r>
      <w:r w:rsidR="00D31A72" w:rsidRPr="0056332A">
        <w:rPr>
          <w:rFonts w:ascii="Arial" w:hAnsi="Arial" w:cs="Arial"/>
          <w:b/>
          <w:sz w:val="20"/>
          <w:szCs w:val="20"/>
        </w:rPr>
        <w:t>DECLARATION WITH REGARD TO COMPANY/FIRM</w:t>
      </w:r>
    </w:p>
    <w:p w14:paraId="13C205A3" w14:textId="16BEDC72"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05D8154"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D31A72" w:rsidRPr="0056332A">
        <w:rPr>
          <w:rFonts w:ascii="Arial" w:hAnsi="Arial" w:cs="Arial"/>
          <w:sz w:val="20"/>
          <w:szCs w:val="20"/>
          <w:lang w:val="en-GB"/>
        </w:rPr>
        <w:t>business:…</w:t>
      </w:r>
      <w:proofErr w:type="gramEnd"/>
      <w:r w:rsidR="00D31A72" w:rsidRPr="0056332A">
        <w:rPr>
          <w:rFonts w:ascii="Arial" w:hAnsi="Arial" w:cs="Arial"/>
          <w:sz w:val="20"/>
          <w:szCs w:val="20"/>
          <w:lang w:val="en-GB"/>
        </w:rPr>
        <w:t>…………………………</w:t>
      </w:r>
    </w:p>
    <w:p w14:paraId="6C9E863F" w14:textId="3E2D2EB7"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w:t>
      </w:r>
      <w:proofErr w:type="gramStart"/>
      <w:r w:rsidR="00D31A72" w:rsidRPr="0056332A">
        <w:rPr>
          <w:rFonts w:ascii="Arial" w:hAnsi="Arial" w:cs="Arial"/>
          <w:sz w:val="20"/>
          <w:szCs w:val="20"/>
          <w:lang w:val="en-GB"/>
        </w:rPr>
        <w:t>certificate</w:t>
      </w:r>
      <w:proofErr w:type="gramEnd"/>
      <w:r w:rsidR="00D31A72" w:rsidRPr="0056332A">
        <w:rPr>
          <w:rFonts w:ascii="Arial" w:hAnsi="Arial" w:cs="Arial"/>
          <w:sz w:val="20"/>
          <w:szCs w:val="20"/>
          <w:lang w:val="en-GB"/>
        </w:rPr>
        <w:t>,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lastRenderedPageBreak/>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C4298C" w:rsidRDefault="00C4298C" w:rsidP="00D31A72"/>
                          <w:p w14:paraId="020A0B3A" w14:textId="77777777" w:rsidR="00C4298C" w:rsidRDefault="00C4298C" w:rsidP="00D31A72"/>
                          <w:p w14:paraId="565D66C4" w14:textId="77777777" w:rsidR="00C4298C" w:rsidRPr="00585866" w:rsidRDefault="00C4298C" w:rsidP="00D31A72">
                            <w:pPr>
                              <w:jc w:val="center"/>
                              <w:rPr>
                                <w:rFonts w:ascii="Arial" w:hAnsi="Arial" w:cs="Arial"/>
                                <w:sz w:val="18"/>
                                <w:szCs w:val="18"/>
                              </w:rPr>
                            </w:pPr>
                            <w:r w:rsidRPr="00585866">
                              <w:rPr>
                                <w:rFonts w:ascii="Arial" w:hAnsi="Arial" w:cs="Arial"/>
                                <w:sz w:val="18"/>
                                <w:szCs w:val="18"/>
                              </w:rPr>
                              <w:t>……………………………………….</w:t>
                            </w:r>
                          </w:p>
                          <w:p w14:paraId="583C5DF9" w14:textId="77777777" w:rsidR="00C4298C" w:rsidRPr="00585866" w:rsidRDefault="00C4298C"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C4298C" w:rsidRPr="00585866" w:rsidRDefault="00C4298C" w:rsidP="00D31A72">
                            <w:pPr>
                              <w:rPr>
                                <w:rFonts w:ascii="Arial" w:hAnsi="Arial" w:cs="Arial"/>
                                <w:sz w:val="18"/>
                                <w:szCs w:val="18"/>
                              </w:rPr>
                            </w:pPr>
                          </w:p>
                          <w:p w14:paraId="296D7E5A" w14:textId="77777777" w:rsidR="00C4298C" w:rsidRPr="00585866" w:rsidRDefault="00C4298C"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C4298C" w:rsidRPr="00585866" w:rsidRDefault="00C4298C"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C4298C" w:rsidRPr="00585866" w:rsidRDefault="00C4298C"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C4298C" w:rsidRPr="00585866" w:rsidRDefault="00C4298C"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C4298C" w:rsidRDefault="00C4298C"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C4298C" w:rsidRDefault="00C4298C" w:rsidP="00D31A72"/>
                    <w:p w14:paraId="020A0B3A" w14:textId="77777777" w:rsidR="00C4298C" w:rsidRDefault="00C4298C" w:rsidP="00D31A72"/>
                    <w:p w14:paraId="565D66C4" w14:textId="77777777" w:rsidR="00C4298C" w:rsidRPr="00585866" w:rsidRDefault="00C4298C" w:rsidP="00D31A72">
                      <w:pPr>
                        <w:jc w:val="center"/>
                        <w:rPr>
                          <w:rFonts w:ascii="Arial" w:hAnsi="Arial" w:cs="Arial"/>
                          <w:sz w:val="18"/>
                          <w:szCs w:val="18"/>
                        </w:rPr>
                      </w:pPr>
                      <w:r w:rsidRPr="00585866">
                        <w:rPr>
                          <w:rFonts w:ascii="Arial" w:hAnsi="Arial" w:cs="Arial"/>
                          <w:sz w:val="18"/>
                          <w:szCs w:val="18"/>
                        </w:rPr>
                        <w:t>……………………………………….</w:t>
                      </w:r>
                    </w:p>
                    <w:p w14:paraId="583C5DF9" w14:textId="77777777" w:rsidR="00C4298C" w:rsidRPr="00585866" w:rsidRDefault="00C4298C"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C4298C" w:rsidRPr="00585866" w:rsidRDefault="00C4298C" w:rsidP="00D31A72">
                      <w:pPr>
                        <w:rPr>
                          <w:rFonts w:ascii="Arial" w:hAnsi="Arial" w:cs="Arial"/>
                          <w:sz w:val="18"/>
                          <w:szCs w:val="18"/>
                        </w:rPr>
                      </w:pPr>
                    </w:p>
                    <w:p w14:paraId="296D7E5A" w14:textId="77777777" w:rsidR="00C4298C" w:rsidRPr="00585866" w:rsidRDefault="00C4298C"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C4298C" w:rsidRPr="00585866" w:rsidRDefault="00C4298C"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C4298C" w:rsidRPr="00585866" w:rsidRDefault="00C4298C"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C4298C" w:rsidRPr="00585866" w:rsidRDefault="00C4298C"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C4298C" w:rsidRDefault="00C4298C"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C4298C" w:rsidRDefault="00C4298C" w:rsidP="00D31A72"/>
                          <w:p w14:paraId="6A968A74" w14:textId="77777777" w:rsidR="00C4298C" w:rsidRPr="00585866" w:rsidRDefault="00C4298C" w:rsidP="00D31A72">
                            <w:pPr>
                              <w:rPr>
                                <w:rFonts w:ascii="Arial" w:hAnsi="Arial" w:cs="Arial"/>
                                <w:sz w:val="18"/>
                                <w:szCs w:val="18"/>
                              </w:rPr>
                            </w:pPr>
                            <w:r w:rsidRPr="00585866">
                              <w:rPr>
                                <w:rFonts w:ascii="Arial" w:hAnsi="Arial" w:cs="Arial"/>
                                <w:sz w:val="18"/>
                                <w:szCs w:val="18"/>
                              </w:rPr>
                              <w:t>WITNESSES</w:t>
                            </w:r>
                          </w:p>
                          <w:p w14:paraId="2C4A7941" w14:textId="77777777" w:rsidR="00C4298C" w:rsidRPr="00585866" w:rsidRDefault="00C4298C" w:rsidP="00D31A72">
                            <w:pPr>
                              <w:rPr>
                                <w:rFonts w:ascii="Arial" w:hAnsi="Arial" w:cs="Arial"/>
                                <w:sz w:val="18"/>
                                <w:szCs w:val="18"/>
                              </w:rPr>
                            </w:pPr>
                          </w:p>
                          <w:p w14:paraId="401A88C8" w14:textId="77777777" w:rsidR="00C4298C" w:rsidRPr="00585866" w:rsidRDefault="00C4298C"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C4298C" w:rsidRPr="00585866" w:rsidRDefault="00C4298C"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C4298C" w:rsidRDefault="00C4298C"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C4298C" w:rsidRDefault="00C4298C" w:rsidP="00D31A72"/>
                    <w:p w14:paraId="6A968A74" w14:textId="77777777" w:rsidR="00C4298C" w:rsidRPr="00585866" w:rsidRDefault="00C4298C" w:rsidP="00D31A72">
                      <w:pPr>
                        <w:rPr>
                          <w:rFonts w:ascii="Arial" w:hAnsi="Arial" w:cs="Arial"/>
                          <w:sz w:val="18"/>
                          <w:szCs w:val="18"/>
                        </w:rPr>
                      </w:pPr>
                      <w:r w:rsidRPr="00585866">
                        <w:rPr>
                          <w:rFonts w:ascii="Arial" w:hAnsi="Arial" w:cs="Arial"/>
                          <w:sz w:val="18"/>
                          <w:szCs w:val="18"/>
                        </w:rPr>
                        <w:t>WITNESSES</w:t>
                      </w:r>
                    </w:p>
                    <w:p w14:paraId="2C4A7941" w14:textId="77777777" w:rsidR="00C4298C" w:rsidRPr="00585866" w:rsidRDefault="00C4298C" w:rsidP="00D31A72">
                      <w:pPr>
                        <w:rPr>
                          <w:rFonts w:ascii="Arial" w:hAnsi="Arial" w:cs="Arial"/>
                          <w:sz w:val="18"/>
                          <w:szCs w:val="18"/>
                        </w:rPr>
                      </w:pPr>
                    </w:p>
                    <w:p w14:paraId="401A88C8" w14:textId="77777777" w:rsidR="00C4298C" w:rsidRPr="00585866" w:rsidRDefault="00C4298C"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C4298C" w:rsidRPr="00585866" w:rsidRDefault="00C4298C"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C4298C" w:rsidRDefault="00C4298C"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6C4CF7">
      <w:pPr>
        <w:pStyle w:val="Tabletext"/>
        <w:tabs>
          <w:tab w:val="left" w:pos="709"/>
        </w:tabs>
        <w:spacing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lastRenderedPageBreak/>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1"/>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2"/>
    <w:p w14:paraId="1B23C413" w14:textId="220B56D4" w:rsidR="00211C1F" w:rsidRDefault="00211C1F">
      <w:pPr>
        <w:pStyle w:val="Tabletext"/>
        <w:tabs>
          <w:tab w:val="left" w:pos="851"/>
        </w:tabs>
        <w:spacing w:line="360" w:lineRule="auto"/>
        <w:ind w:left="851" w:hanging="851"/>
        <w:rPr>
          <w:rFonts w:ascii="Arial" w:hAnsi="Arial" w:cs="Arial"/>
          <w:sz w:val="20"/>
        </w:rPr>
      </w:pPr>
    </w:p>
    <w:p w14:paraId="280EB4D8" w14:textId="573C944A" w:rsidR="00427050" w:rsidRDefault="00427050">
      <w:pPr>
        <w:pStyle w:val="Tabletext"/>
        <w:tabs>
          <w:tab w:val="left" w:pos="851"/>
        </w:tabs>
        <w:spacing w:line="360" w:lineRule="auto"/>
        <w:ind w:left="851" w:hanging="851"/>
        <w:rPr>
          <w:rFonts w:ascii="Arial" w:hAnsi="Arial" w:cs="Arial"/>
          <w:sz w:val="20"/>
        </w:rPr>
      </w:pPr>
    </w:p>
    <w:p w14:paraId="4A11C235" w14:textId="2654579A" w:rsidR="00427050" w:rsidRDefault="00427050">
      <w:pPr>
        <w:pStyle w:val="Tabletext"/>
        <w:tabs>
          <w:tab w:val="left" w:pos="851"/>
        </w:tabs>
        <w:spacing w:line="360" w:lineRule="auto"/>
        <w:ind w:left="851" w:hanging="851"/>
        <w:rPr>
          <w:rFonts w:ascii="Arial" w:hAnsi="Arial" w:cs="Arial"/>
          <w:sz w:val="20"/>
        </w:rPr>
      </w:pPr>
    </w:p>
    <w:p w14:paraId="0CB17B73" w14:textId="0FD9AFB7" w:rsidR="00427050" w:rsidRDefault="00427050">
      <w:pPr>
        <w:pStyle w:val="Tabletext"/>
        <w:tabs>
          <w:tab w:val="left" w:pos="851"/>
        </w:tabs>
        <w:spacing w:line="360" w:lineRule="auto"/>
        <w:ind w:left="851" w:hanging="851"/>
        <w:rPr>
          <w:rFonts w:ascii="Arial" w:hAnsi="Arial" w:cs="Arial"/>
          <w:sz w:val="20"/>
        </w:rPr>
      </w:pPr>
    </w:p>
    <w:p w14:paraId="2D36B727" w14:textId="271D2B6F" w:rsidR="00427050" w:rsidRDefault="00427050">
      <w:pPr>
        <w:pStyle w:val="Tabletext"/>
        <w:tabs>
          <w:tab w:val="left" w:pos="851"/>
        </w:tabs>
        <w:spacing w:line="360" w:lineRule="auto"/>
        <w:ind w:left="851" w:hanging="851"/>
        <w:rPr>
          <w:rFonts w:ascii="Arial" w:hAnsi="Arial" w:cs="Arial"/>
          <w:sz w:val="20"/>
        </w:rPr>
      </w:pPr>
    </w:p>
    <w:p w14:paraId="25181A1E" w14:textId="28AEADBE" w:rsidR="00427050" w:rsidRDefault="00427050">
      <w:pPr>
        <w:pStyle w:val="Tabletext"/>
        <w:tabs>
          <w:tab w:val="left" w:pos="851"/>
        </w:tabs>
        <w:spacing w:line="360" w:lineRule="auto"/>
        <w:ind w:left="851" w:hanging="851"/>
        <w:rPr>
          <w:rFonts w:ascii="Arial" w:hAnsi="Arial" w:cs="Arial"/>
          <w:sz w:val="20"/>
        </w:rPr>
      </w:pPr>
    </w:p>
    <w:p w14:paraId="504C1861" w14:textId="12503096" w:rsidR="00427050" w:rsidRDefault="00427050">
      <w:pPr>
        <w:pStyle w:val="Tabletext"/>
        <w:tabs>
          <w:tab w:val="left" w:pos="851"/>
        </w:tabs>
        <w:spacing w:line="360" w:lineRule="auto"/>
        <w:ind w:left="851" w:hanging="851"/>
        <w:rPr>
          <w:rFonts w:ascii="Arial" w:hAnsi="Arial" w:cs="Arial"/>
          <w:sz w:val="20"/>
        </w:rPr>
      </w:pPr>
    </w:p>
    <w:p w14:paraId="29649AD3" w14:textId="13944A33" w:rsidR="00427050" w:rsidRDefault="00427050">
      <w:pPr>
        <w:pStyle w:val="Tabletext"/>
        <w:tabs>
          <w:tab w:val="left" w:pos="851"/>
        </w:tabs>
        <w:spacing w:line="360" w:lineRule="auto"/>
        <w:ind w:left="851" w:hanging="851"/>
        <w:rPr>
          <w:rFonts w:ascii="Arial" w:hAnsi="Arial" w:cs="Arial"/>
          <w:sz w:val="20"/>
        </w:rPr>
      </w:pPr>
    </w:p>
    <w:p w14:paraId="3AEF4D2F" w14:textId="0970E8EE" w:rsidR="00427050" w:rsidRDefault="00427050">
      <w:pPr>
        <w:pStyle w:val="Tabletext"/>
        <w:tabs>
          <w:tab w:val="left" w:pos="851"/>
        </w:tabs>
        <w:spacing w:line="360" w:lineRule="auto"/>
        <w:ind w:left="851" w:hanging="851"/>
        <w:rPr>
          <w:rFonts w:ascii="Arial" w:hAnsi="Arial" w:cs="Arial"/>
          <w:sz w:val="20"/>
        </w:rPr>
      </w:pPr>
    </w:p>
    <w:p w14:paraId="4BA4B8AB" w14:textId="094D5988" w:rsidR="00427050" w:rsidRDefault="00427050">
      <w:pPr>
        <w:pStyle w:val="Tabletext"/>
        <w:tabs>
          <w:tab w:val="left" w:pos="851"/>
        </w:tabs>
        <w:spacing w:line="360" w:lineRule="auto"/>
        <w:ind w:left="851" w:hanging="851"/>
        <w:rPr>
          <w:rFonts w:ascii="Arial" w:hAnsi="Arial" w:cs="Arial"/>
          <w:sz w:val="20"/>
        </w:rPr>
      </w:pPr>
    </w:p>
    <w:p w14:paraId="77706EF9" w14:textId="2F5E4BFB" w:rsidR="00427050" w:rsidRDefault="00427050">
      <w:pPr>
        <w:pStyle w:val="Tabletext"/>
        <w:tabs>
          <w:tab w:val="left" w:pos="851"/>
        </w:tabs>
        <w:spacing w:line="360" w:lineRule="auto"/>
        <w:ind w:left="851" w:hanging="851"/>
        <w:rPr>
          <w:rFonts w:ascii="Arial" w:hAnsi="Arial" w:cs="Arial"/>
          <w:sz w:val="20"/>
        </w:rPr>
      </w:pPr>
    </w:p>
    <w:p w14:paraId="4F95AA09" w14:textId="3BA8EA8B" w:rsidR="00427050" w:rsidRDefault="00427050">
      <w:pPr>
        <w:pStyle w:val="Tabletext"/>
        <w:tabs>
          <w:tab w:val="left" w:pos="851"/>
        </w:tabs>
        <w:spacing w:line="360" w:lineRule="auto"/>
        <w:ind w:left="851" w:hanging="851"/>
        <w:rPr>
          <w:rFonts w:ascii="Arial" w:hAnsi="Arial" w:cs="Arial"/>
          <w:sz w:val="20"/>
        </w:rPr>
      </w:pPr>
    </w:p>
    <w:p w14:paraId="5A3AB714" w14:textId="198E5947" w:rsidR="00427050" w:rsidRDefault="00427050">
      <w:pPr>
        <w:pStyle w:val="Tabletext"/>
        <w:tabs>
          <w:tab w:val="left" w:pos="851"/>
        </w:tabs>
        <w:spacing w:line="360" w:lineRule="auto"/>
        <w:ind w:left="851" w:hanging="851"/>
        <w:rPr>
          <w:rFonts w:ascii="Arial" w:hAnsi="Arial" w:cs="Arial"/>
          <w:sz w:val="20"/>
        </w:rPr>
      </w:pPr>
    </w:p>
    <w:p w14:paraId="0503B890" w14:textId="7ACC0F87" w:rsidR="00427050" w:rsidRDefault="00427050">
      <w:pPr>
        <w:pStyle w:val="Tabletext"/>
        <w:tabs>
          <w:tab w:val="left" w:pos="851"/>
        </w:tabs>
        <w:spacing w:line="360" w:lineRule="auto"/>
        <w:ind w:left="851" w:hanging="851"/>
        <w:rPr>
          <w:rFonts w:ascii="Arial" w:hAnsi="Arial" w:cs="Arial"/>
          <w:sz w:val="20"/>
        </w:rPr>
      </w:pPr>
    </w:p>
    <w:p w14:paraId="017C961F" w14:textId="2397E247" w:rsidR="00427050" w:rsidRDefault="00427050">
      <w:pPr>
        <w:pStyle w:val="Tabletext"/>
        <w:tabs>
          <w:tab w:val="left" w:pos="851"/>
        </w:tabs>
        <w:spacing w:line="360" w:lineRule="auto"/>
        <w:ind w:left="851" w:hanging="851"/>
        <w:rPr>
          <w:rFonts w:ascii="Arial" w:hAnsi="Arial" w:cs="Arial"/>
          <w:sz w:val="20"/>
        </w:rPr>
      </w:pPr>
    </w:p>
    <w:p w14:paraId="14D08E6C" w14:textId="1FF46EEF" w:rsidR="00427050" w:rsidRDefault="00427050">
      <w:pPr>
        <w:pStyle w:val="Tabletext"/>
        <w:tabs>
          <w:tab w:val="left" w:pos="851"/>
        </w:tabs>
        <w:spacing w:line="360" w:lineRule="auto"/>
        <w:ind w:left="851" w:hanging="851"/>
        <w:rPr>
          <w:rFonts w:ascii="Arial" w:hAnsi="Arial" w:cs="Arial"/>
          <w:sz w:val="20"/>
        </w:rPr>
      </w:pPr>
    </w:p>
    <w:p w14:paraId="7F5090AA" w14:textId="50CAB70A" w:rsidR="00427050" w:rsidRDefault="00427050">
      <w:pPr>
        <w:pStyle w:val="Tabletext"/>
        <w:tabs>
          <w:tab w:val="left" w:pos="851"/>
        </w:tabs>
        <w:spacing w:line="360" w:lineRule="auto"/>
        <w:ind w:left="851" w:hanging="851"/>
        <w:rPr>
          <w:rFonts w:ascii="Arial" w:hAnsi="Arial" w:cs="Arial"/>
          <w:sz w:val="20"/>
        </w:rPr>
      </w:pPr>
    </w:p>
    <w:p w14:paraId="0BDCE4CF" w14:textId="34429B70" w:rsidR="00427050" w:rsidRDefault="00427050">
      <w:pPr>
        <w:pStyle w:val="Tabletext"/>
        <w:tabs>
          <w:tab w:val="left" w:pos="851"/>
        </w:tabs>
        <w:spacing w:line="360" w:lineRule="auto"/>
        <w:ind w:left="851" w:hanging="851"/>
        <w:rPr>
          <w:rFonts w:ascii="Arial" w:hAnsi="Arial" w:cs="Arial"/>
          <w:sz w:val="20"/>
        </w:rPr>
      </w:pPr>
    </w:p>
    <w:p w14:paraId="7A51E10A" w14:textId="3233362B" w:rsidR="00427050" w:rsidRDefault="00427050">
      <w:pPr>
        <w:pStyle w:val="Tabletext"/>
        <w:tabs>
          <w:tab w:val="left" w:pos="851"/>
        </w:tabs>
        <w:spacing w:line="360" w:lineRule="auto"/>
        <w:ind w:left="851" w:hanging="851"/>
        <w:rPr>
          <w:rFonts w:ascii="Arial" w:hAnsi="Arial" w:cs="Arial"/>
          <w:sz w:val="20"/>
        </w:rPr>
      </w:pPr>
    </w:p>
    <w:p w14:paraId="71B1DB12" w14:textId="4F2E3E5E" w:rsidR="00427050" w:rsidRDefault="00427050">
      <w:pPr>
        <w:pStyle w:val="Tabletext"/>
        <w:tabs>
          <w:tab w:val="left" w:pos="851"/>
        </w:tabs>
        <w:spacing w:line="360" w:lineRule="auto"/>
        <w:ind w:left="851" w:hanging="851"/>
        <w:rPr>
          <w:rFonts w:ascii="Arial" w:hAnsi="Arial" w:cs="Arial"/>
          <w:sz w:val="20"/>
        </w:rPr>
      </w:pPr>
    </w:p>
    <w:p w14:paraId="3C1B8DAA" w14:textId="081693B8" w:rsidR="00427050" w:rsidRDefault="00427050">
      <w:pPr>
        <w:pStyle w:val="Tabletext"/>
        <w:tabs>
          <w:tab w:val="left" w:pos="851"/>
        </w:tabs>
        <w:spacing w:line="360" w:lineRule="auto"/>
        <w:ind w:left="851" w:hanging="851"/>
        <w:rPr>
          <w:rFonts w:ascii="Arial" w:hAnsi="Arial" w:cs="Arial"/>
          <w:sz w:val="20"/>
        </w:rPr>
      </w:pPr>
    </w:p>
    <w:p w14:paraId="652DAEF7" w14:textId="249E319E" w:rsidR="00427050" w:rsidRDefault="00427050">
      <w:pPr>
        <w:pStyle w:val="Tabletext"/>
        <w:tabs>
          <w:tab w:val="left" w:pos="851"/>
        </w:tabs>
        <w:spacing w:line="360" w:lineRule="auto"/>
        <w:ind w:left="851" w:hanging="851"/>
        <w:rPr>
          <w:rFonts w:ascii="Arial" w:hAnsi="Arial" w:cs="Arial"/>
          <w:sz w:val="20"/>
        </w:rPr>
      </w:pPr>
    </w:p>
    <w:p w14:paraId="63E245D9" w14:textId="7A9E92A9" w:rsidR="00427050" w:rsidRDefault="00427050">
      <w:pPr>
        <w:pStyle w:val="Tabletext"/>
        <w:tabs>
          <w:tab w:val="left" w:pos="851"/>
        </w:tabs>
        <w:spacing w:line="360" w:lineRule="auto"/>
        <w:ind w:left="851" w:hanging="851"/>
        <w:rPr>
          <w:rFonts w:ascii="Arial" w:hAnsi="Arial" w:cs="Arial"/>
          <w:sz w:val="20"/>
        </w:rPr>
      </w:pPr>
    </w:p>
    <w:p w14:paraId="306D4EC3" w14:textId="6C7361EF" w:rsidR="00427050" w:rsidRDefault="00427050">
      <w:pPr>
        <w:pStyle w:val="Tabletext"/>
        <w:tabs>
          <w:tab w:val="left" w:pos="851"/>
        </w:tabs>
        <w:spacing w:line="360" w:lineRule="auto"/>
        <w:ind w:left="851" w:hanging="851"/>
        <w:rPr>
          <w:rFonts w:ascii="Arial" w:hAnsi="Arial" w:cs="Arial"/>
          <w:sz w:val="20"/>
        </w:rPr>
      </w:pPr>
    </w:p>
    <w:p w14:paraId="2180F886" w14:textId="6BCAF954" w:rsidR="00427050" w:rsidRDefault="00427050">
      <w:pPr>
        <w:pStyle w:val="Tabletext"/>
        <w:tabs>
          <w:tab w:val="left" w:pos="851"/>
        </w:tabs>
        <w:spacing w:line="360" w:lineRule="auto"/>
        <w:ind w:left="851" w:hanging="851"/>
        <w:rPr>
          <w:rFonts w:ascii="Arial" w:hAnsi="Arial" w:cs="Arial"/>
          <w:sz w:val="20"/>
        </w:rPr>
      </w:pPr>
    </w:p>
    <w:p w14:paraId="64CC04BF" w14:textId="01DF0FB2" w:rsidR="00427050" w:rsidRDefault="00427050">
      <w:pPr>
        <w:pStyle w:val="Tabletext"/>
        <w:tabs>
          <w:tab w:val="left" w:pos="851"/>
        </w:tabs>
        <w:spacing w:line="360" w:lineRule="auto"/>
        <w:ind w:left="851" w:hanging="851"/>
        <w:rPr>
          <w:rFonts w:ascii="Arial" w:hAnsi="Arial" w:cs="Arial"/>
          <w:sz w:val="20"/>
        </w:rPr>
      </w:pPr>
    </w:p>
    <w:p w14:paraId="6569E040" w14:textId="29CCE71F" w:rsidR="00427050" w:rsidRDefault="00427050">
      <w:pPr>
        <w:pStyle w:val="Tabletext"/>
        <w:tabs>
          <w:tab w:val="left" w:pos="851"/>
        </w:tabs>
        <w:spacing w:line="360" w:lineRule="auto"/>
        <w:ind w:left="851" w:hanging="851"/>
        <w:rPr>
          <w:rFonts w:ascii="Arial" w:hAnsi="Arial" w:cs="Arial"/>
          <w:sz w:val="20"/>
        </w:rPr>
      </w:pPr>
    </w:p>
    <w:p w14:paraId="34CB6202" w14:textId="797BC715" w:rsidR="00427050" w:rsidRDefault="00427050">
      <w:pPr>
        <w:pStyle w:val="Tabletext"/>
        <w:tabs>
          <w:tab w:val="left" w:pos="851"/>
        </w:tabs>
        <w:spacing w:line="360" w:lineRule="auto"/>
        <w:ind w:left="851" w:hanging="851"/>
        <w:rPr>
          <w:rFonts w:ascii="Arial" w:hAnsi="Arial" w:cs="Arial"/>
          <w:sz w:val="20"/>
        </w:rPr>
      </w:pPr>
    </w:p>
    <w:p w14:paraId="1C916119" w14:textId="1046C84A" w:rsidR="00427050" w:rsidRDefault="00427050">
      <w:pPr>
        <w:pStyle w:val="Tabletext"/>
        <w:tabs>
          <w:tab w:val="left" w:pos="851"/>
        </w:tabs>
        <w:spacing w:line="360" w:lineRule="auto"/>
        <w:ind w:left="851" w:hanging="851"/>
        <w:rPr>
          <w:rFonts w:ascii="Arial" w:hAnsi="Arial" w:cs="Arial"/>
          <w:sz w:val="20"/>
        </w:rPr>
      </w:pPr>
    </w:p>
    <w:p w14:paraId="067E67F3" w14:textId="3A667712" w:rsidR="00427050" w:rsidRDefault="00427050">
      <w:pPr>
        <w:pStyle w:val="Tabletext"/>
        <w:tabs>
          <w:tab w:val="left" w:pos="851"/>
        </w:tabs>
        <w:spacing w:line="360" w:lineRule="auto"/>
        <w:ind w:left="851" w:hanging="851"/>
        <w:rPr>
          <w:rFonts w:ascii="Arial" w:hAnsi="Arial" w:cs="Arial"/>
          <w:sz w:val="20"/>
        </w:rPr>
      </w:pPr>
    </w:p>
    <w:p w14:paraId="07F2C44F" w14:textId="0761CB37" w:rsidR="00427050" w:rsidRDefault="00427050">
      <w:pPr>
        <w:pStyle w:val="Tabletext"/>
        <w:tabs>
          <w:tab w:val="left" w:pos="851"/>
        </w:tabs>
        <w:spacing w:line="360" w:lineRule="auto"/>
        <w:ind w:left="851" w:hanging="851"/>
        <w:rPr>
          <w:rFonts w:ascii="Arial" w:hAnsi="Arial" w:cs="Arial"/>
          <w:sz w:val="20"/>
        </w:rPr>
      </w:pPr>
    </w:p>
    <w:p w14:paraId="4DBDBF84" w14:textId="0369102F" w:rsidR="00427050" w:rsidRDefault="00427050">
      <w:pPr>
        <w:pStyle w:val="Tabletext"/>
        <w:tabs>
          <w:tab w:val="left" w:pos="851"/>
        </w:tabs>
        <w:spacing w:line="360" w:lineRule="auto"/>
        <w:ind w:left="851" w:hanging="851"/>
        <w:rPr>
          <w:rFonts w:ascii="Arial" w:hAnsi="Arial" w:cs="Arial"/>
          <w:sz w:val="20"/>
        </w:rPr>
      </w:pPr>
    </w:p>
    <w:p w14:paraId="709E9DC2" w14:textId="10170EA5" w:rsidR="00427050" w:rsidRDefault="00427050">
      <w:pPr>
        <w:pStyle w:val="Tabletext"/>
        <w:tabs>
          <w:tab w:val="left" w:pos="851"/>
        </w:tabs>
        <w:spacing w:line="360" w:lineRule="auto"/>
        <w:ind w:left="851" w:hanging="851"/>
        <w:rPr>
          <w:rFonts w:ascii="Arial" w:hAnsi="Arial" w:cs="Arial"/>
          <w:sz w:val="20"/>
        </w:rPr>
      </w:pPr>
    </w:p>
    <w:p w14:paraId="5F998A75" w14:textId="2061A563" w:rsidR="00427050" w:rsidRDefault="00427050">
      <w:pPr>
        <w:pStyle w:val="Tabletext"/>
        <w:tabs>
          <w:tab w:val="left" w:pos="851"/>
        </w:tabs>
        <w:spacing w:line="360" w:lineRule="auto"/>
        <w:ind w:left="851" w:hanging="851"/>
        <w:rPr>
          <w:rFonts w:ascii="Arial" w:hAnsi="Arial" w:cs="Arial"/>
          <w:sz w:val="20"/>
        </w:rPr>
      </w:pPr>
    </w:p>
    <w:p w14:paraId="5D129C9B" w14:textId="2E0ED7C0" w:rsidR="00427050" w:rsidRDefault="00427050">
      <w:pPr>
        <w:pStyle w:val="Tabletext"/>
        <w:tabs>
          <w:tab w:val="left" w:pos="851"/>
        </w:tabs>
        <w:spacing w:line="360" w:lineRule="auto"/>
        <w:ind w:left="851" w:hanging="851"/>
        <w:rPr>
          <w:rFonts w:ascii="Arial" w:hAnsi="Arial" w:cs="Arial"/>
          <w:sz w:val="20"/>
        </w:rPr>
      </w:pPr>
    </w:p>
    <w:p w14:paraId="0A77BABE" w14:textId="77777777" w:rsidR="00427050" w:rsidRPr="0056332A" w:rsidRDefault="00427050">
      <w:pPr>
        <w:pStyle w:val="Tabletext"/>
        <w:tabs>
          <w:tab w:val="left" w:pos="851"/>
        </w:tabs>
        <w:spacing w:line="360" w:lineRule="auto"/>
        <w:ind w:left="851" w:hanging="851"/>
        <w:rPr>
          <w:rFonts w:ascii="Arial" w:hAnsi="Arial" w:cs="Arial"/>
          <w:sz w:val="20"/>
        </w:rPr>
      </w:pPr>
    </w:p>
    <w:sectPr w:rsidR="00427050" w:rsidRPr="0056332A" w:rsidSect="00B94517">
      <w:headerReference w:type="default" r:id="rId17"/>
      <w:footerReference w:type="even" r:id="rId18"/>
      <w:footerReference w:type="default" r:id="rId19"/>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12638" w14:textId="77777777" w:rsidR="000E233E" w:rsidRDefault="000E233E">
      <w:r>
        <w:separator/>
      </w:r>
    </w:p>
    <w:p w14:paraId="2453F272" w14:textId="77777777" w:rsidR="000E233E" w:rsidRDefault="000E233E"/>
  </w:endnote>
  <w:endnote w:type="continuationSeparator" w:id="0">
    <w:p w14:paraId="7366BB55" w14:textId="77777777" w:rsidR="000E233E" w:rsidRDefault="000E233E">
      <w:r>
        <w:continuationSeparator/>
      </w:r>
    </w:p>
    <w:p w14:paraId="472D92D5" w14:textId="77777777" w:rsidR="000E233E" w:rsidRDefault="000E2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C4298C" w:rsidRDefault="00C4298C"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C4298C" w:rsidRDefault="00C4298C"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C4298C" w:rsidRPr="00487022" w14:paraId="092BB28E" w14:textId="77777777" w:rsidTr="007D7EDE">
      <w:trPr>
        <w:trHeight w:val="182"/>
        <w:jc w:val="center"/>
      </w:trPr>
      <w:tc>
        <w:tcPr>
          <w:tcW w:w="3373" w:type="dxa"/>
        </w:tcPr>
        <w:p w14:paraId="4398D5E7" w14:textId="77777777" w:rsidR="00C4298C" w:rsidRPr="00BE7548" w:rsidRDefault="00C4298C"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C4298C" w:rsidRPr="00487022" w:rsidRDefault="00C4298C"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C4298C" w:rsidRPr="00487022" w:rsidRDefault="00C4298C"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C4298C" w:rsidRDefault="00C42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0F77F" w14:textId="77777777" w:rsidR="000E233E" w:rsidRDefault="000E233E">
      <w:r>
        <w:separator/>
      </w:r>
    </w:p>
    <w:p w14:paraId="1DC38A2C" w14:textId="77777777" w:rsidR="000E233E" w:rsidRDefault="000E233E"/>
  </w:footnote>
  <w:footnote w:type="continuationSeparator" w:id="0">
    <w:p w14:paraId="00CB8C9C" w14:textId="77777777" w:rsidR="000E233E" w:rsidRDefault="000E233E">
      <w:r>
        <w:continuationSeparator/>
      </w:r>
    </w:p>
    <w:p w14:paraId="1BDDF9BE" w14:textId="77777777" w:rsidR="000E233E" w:rsidRDefault="000E233E"/>
  </w:footnote>
  <w:footnote w:id="1">
    <w:p w14:paraId="27079811" w14:textId="77777777" w:rsidR="00C4298C" w:rsidRDefault="00C4298C"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C4298C" w:rsidRDefault="00C4298C" w:rsidP="00120C89">
      <w:pPr>
        <w:pStyle w:val="FootnoteText"/>
      </w:pPr>
    </w:p>
    <w:p w14:paraId="61148FD4" w14:textId="77777777" w:rsidR="00C4298C" w:rsidRDefault="00C4298C" w:rsidP="00120C89">
      <w:pPr>
        <w:pStyle w:val="FootnoteText"/>
      </w:pPr>
    </w:p>
  </w:footnote>
  <w:footnote w:id="2">
    <w:p w14:paraId="6CDEB4EB" w14:textId="77777777" w:rsidR="00C4298C" w:rsidRPr="00612AD4" w:rsidRDefault="00C4298C"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C4298C" w:rsidRDefault="00C4298C" w:rsidP="00B66761">
    <w:pPr>
      <w:pStyle w:val="Header"/>
      <w:jc w:val="center"/>
      <w:rPr>
        <w:rFonts w:cs="Arial"/>
        <w:b/>
        <w:caps/>
        <w:sz w:val="16"/>
        <w:szCs w:val="16"/>
      </w:rPr>
    </w:pPr>
    <w:r>
      <w:rPr>
        <w:rFonts w:cs="Arial"/>
        <w:b/>
        <w:caps/>
        <w:sz w:val="16"/>
        <w:szCs w:val="16"/>
      </w:rPr>
      <w:t>confidential</w:t>
    </w:r>
  </w:p>
  <w:p w14:paraId="63A56FFD" w14:textId="77777777" w:rsidR="00C4298C" w:rsidRDefault="00C4298C"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5C9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33E"/>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1C63"/>
    <w:rsid w:val="0029216F"/>
    <w:rsid w:val="002936D1"/>
    <w:rsid w:val="00293D89"/>
    <w:rsid w:val="002944BD"/>
    <w:rsid w:val="0029480A"/>
    <w:rsid w:val="00294E08"/>
    <w:rsid w:val="002971CD"/>
    <w:rsid w:val="002A0A61"/>
    <w:rsid w:val="002A0DFF"/>
    <w:rsid w:val="002A0E57"/>
    <w:rsid w:val="002A10D3"/>
    <w:rsid w:val="002A216F"/>
    <w:rsid w:val="002A4C89"/>
    <w:rsid w:val="002A5B2B"/>
    <w:rsid w:val="002A7FA7"/>
    <w:rsid w:val="002A7FE2"/>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9B5"/>
    <w:rsid w:val="00371F9D"/>
    <w:rsid w:val="003725D1"/>
    <w:rsid w:val="0037271A"/>
    <w:rsid w:val="003731A4"/>
    <w:rsid w:val="00373C22"/>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27050"/>
    <w:rsid w:val="0043077A"/>
    <w:rsid w:val="0043277A"/>
    <w:rsid w:val="00432DA0"/>
    <w:rsid w:val="00432E7C"/>
    <w:rsid w:val="00433249"/>
    <w:rsid w:val="004334D4"/>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61B"/>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47F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9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59"/>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09D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98C"/>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97FF9"/>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1D3D"/>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0FF"/>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B6F"/>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4B86"/>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mohlahlo@thedtic.gov.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nematswerani@thedtic.gov.za"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file:///D:\Users\thulanimt\Documents\SCM%20Policy\RFX%20Templates%2005_2022\Tender%20Officer%0d45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00CD8-6A46-4894-8514-96CD661A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12131</Words>
  <Characters>69151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81120</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Brian Matemane</cp:lastModifiedBy>
  <cp:revision>2</cp:revision>
  <cp:lastPrinted>2021-04-09T10:54:00Z</cp:lastPrinted>
  <dcterms:created xsi:type="dcterms:W3CDTF">2022-05-25T11:58:00Z</dcterms:created>
  <dcterms:modified xsi:type="dcterms:W3CDTF">2022-05-25T11:58:00Z</dcterms:modified>
</cp:coreProperties>
</file>