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EC26" w14:textId="31A934FE" w:rsidR="00DB39D8" w:rsidRDefault="00DB39D8" w:rsidP="003A45B0">
      <w:pPr>
        <w:rPr>
          <w:rFonts w:ascii="Arial" w:hAnsi="Arial" w:cs="Arial"/>
          <w:sz w:val="20"/>
          <w:szCs w:val="20"/>
        </w:rPr>
      </w:pPr>
    </w:p>
    <w:p w14:paraId="4362D3CF" w14:textId="77777777" w:rsidR="005F49E9" w:rsidRDefault="005F49E9" w:rsidP="003A45B0">
      <w:pPr>
        <w:rPr>
          <w:rFonts w:ascii="Arial" w:hAnsi="Arial" w:cs="Arial"/>
          <w:sz w:val="20"/>
          <w:szCs w:val="20"/>
        </w:rPr>
      </w:pPr>
    </w:p>
    <w:p w14:paraId="15E6CBB0" w14:textId="1FF742E5" w:rsidR="007B5E82" w:rsidRPr="008D0EBB" w:rsidRDefault="00E25F08" w:rsidP="008D0EBB">
      <w:pPr>
        <w:jc w:val="center"/>
        <w:rPr>
          <w:rFonts w:ascii="Arial" w:hAnsi="Arial" w:cs="Arial"/>
          <w:sz w:val="20"/>
          <w:szCs w:val="20"/>
        </w:rPr>
      </w:pPr>
      <w:r w:rsidRPr="00C94B22"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690DA391" wp14:editId="4B48F34D">
            <wp:extent cx="4267200" cy="1247775"/>
            <wp:effectExtent l="0" t="0" r="0" b="9525"/>
            <wp:docPr id="3" name="Picture 1" descr="siga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ag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54BB" w14:textId="54970D77" w:rsidR="00DB39D8" w:rsidRPr="00E06F8E" w:rsidRDefault="00AA57CE" w:rsidP="006C485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APPOINTMENT OF </w:t>
      </w:r>
      <w:r w:rsidR="00E5477F">
        <w:rPr>
          <w:rFonts w:ascii="Arial" w:hAnsi="Arial" w:cs="Arial"/>
          <w:b/>
          <w:sz w:val="20"/>
          <w:szCs w:val="20"/>
        </w:rPr>
        <w:t>A SERVICE PROVIDER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6371B">
        <w:rPr>
          <w:rFonts w:ascii="Arial" w:hAnsi="Arial" w:cs="Arial"/>
          <w:b/>
          <w:sz w:val="20"/>
          <w:szCs w:val="20"/>
        </w:rPr>
        <w:t xml:space="preserve">TO PROVIDE INTERNAL AUDIT SERVICES </w:t>
      </w:r>
      <w:r w:rsidR="005E6BCA">
        <w:rPr>
          <w:rFonts w:ascii="Arial" w:hAnsi="Arial" w:cs="Arial"/>
          <w:b/>
          <w:sz w:val="20"/>
          <w:szCs w:val="20"/>
        </w:rPr>
        <w:t>FOR</w:t>
      </w:r>
      <w:r>
        <w:rPr>
          <w:rFonts w:ascii="Arial" w:hAnsi="Arial" w:cs="Arial"/>
          <w:b/>
          <w:sz w:val="20"/>
          <w:szCs w:val="20"/>
        </w:rPr>
        <w:t xml:space="preserve"> THE KWAZULU-NATAL SHARKS BOARD</w:t>
      </w:r>
      <w:r w:rsidR="0036371B">
        <w:rPr>
          <w:rFonts w:ascii="Arial" w:hAnsi="Arial" w:cs="Arial"/>
          <w:b/>
          <w:sz w:val="20"/>
          <w:szCs w:val="20"/>
        </w:rPr>
        <w:t xml:space="preserve"> FOR A PERIOD OF THREE (3) YEARS</w:t>
      </w:r>
    </w:p>
    <w:p w14:paraId="1811729C" w14:textId="77777777" w:rsidR="00DB39D8" w:rsidRPr="00E06F8E" w:rsidRDefault="00DB39D8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06F8E">
        <w:rPr>
          <w:rFonts w:ascii="Arial" w:eastAsia="Calibri" w:hAnsi="Arial" w:cs="Arial"/>
          <w:b/>
          <w:sz w:val="20"/>
          <w:szCs w:val="20"/>
          <w:lang w:val="en-US"/>
        </w:rPr>
        <w:t>Notification of Tender</w:t>
      </w:r>
    </w:p>
    <w:p w14:paraId="70669AFE" w14:textId="77777777" w:rsidR="000F3CEE" w:rsidRPr="00E82873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The KwaZulu-Natal Sharks Board </w:t>
      </w:r>
      <w:r w:rsidR="00AA57CE" w:rsidRPr="00E82873">
        <w:rPr>
          <w:rFonts w:ascii="Arial" w:eastAsia="Calibri" w:hAnsi="Arial" w:cs="Arial"/>
          <w:sz w:val="20"/>
          <w:szCs w:val="20"/>
          <w:lang w:val="en-US"/>
        </w:rPr>
        <w:t xml:space="preserve">Maritime Centre of Excellence </w:t>
      </w:r>
      <w:r w:rsidRPr="00E82873">
        <w:rPr>
          <w:rFonts w:ascii="Arial" w:eastAsia="Calibri" w:hAnsi="Arial" w:cs="Arial"/>
          <w:sz w:val="20"/>
          <w:szCs w:val="20"/>
          <w:lang w:val="en-US"/>
        </w:rPr>
        <w:t>invites tenders for the following: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984"/>
        <w:gridCol w:w="993"/>
      </w:tblGrid>
      <w:tr w:rsidR="00205EFB" w:rsidRPr="00E82873" w14:paraId="3B74E0B9" w14:textId="77777777" w:rsidTr="0036371B">
        <w:trPr>
          <w:trHeight w:val="586"/>
        </w:trPr>
        <w:tc>
          <w:tcPr>
            <w:tcW w:w="3261" w:type="dxa"/>
          </w:tcPr>
          <w:p w14:paraId="2B54F7B0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126" w:type="dxa"/>
          </w:tcPr>
          <w:p w14:paraId="75AEE6B0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Tender No.</w:t>
            </w:r>
          </w:p>
        </w:tc>
        <w:tc>
          <w:tcPr>
            <w:tcW w:w="1701" w:type="dxa"/>
          </w:tcPr>
          <w:p w14:paraId="51D4E047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Compulsory Briefing Date</w:t>
            </w:r>
          </w:p>
        </w:tc>
        <w:tc>
          <w:tcPr>
            <w:tcW w:w="1984" w:type="dxa"/>
          </w:tcPr>
          <w:p w14:paraId="6EACE4D3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Tender Closing Date</w:t>
            </w:r>
          </w:p>
        </w:tc>
        <w:tc>
          <w:tcPr>
            <w:tcW w:w="993" w:type="dxa"/>
            <w:shd w:val="clear" w:color="auto" w:fill="auto"/>
          </w:tcPr>
          <w:p w14:paraId="79D3551B" w14:textId="77777777" w:rsidR="00205EFB" w:rsidRPr="00E82873" w:rsidRDefault="00773D84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Tender Closing Time</w:t>
            </w:r>
          </w:p>
        </w:tc>
      </w:tr>
      <w:tr w:rsidR="00205EFB" w:rsidRPr="00E82873" w14:paraId="20CCAEF7" w14:textId="77777777" w:rsidTr="0036371B">
        <w:trPr>
          <w:trHeight w:val="728"/>
        </w:trPr>
        <w:tc>
          <w:tcPr>
            <w:tcW w:w="3261" w:type="dxa"/>
          </w:tcPr>
          <w:p w14:paraId="0DDDF30D" w14:textId="7D9E0D1B" w:rsidR="000F3CEE" w:rsidRPr="00E82873" w:rsidRDefault="0036371B" w:rsidP="003D378A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Internal Audit Services</w:t>
            </w:r>
            <w:r w:rsidR="00AA57CE" w:rsidRPr="00E8287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5959E6F9" w14:textId="77777777" w:rsidR="00086BF3" w:rsidRPr="00E82873" w:rsidRDefault="00086BF3" w:rsidP="003D378A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  <w:p w14:paraId="16C1E509" w14:textId="0C23E803" w:rsidR="00A676F0" w:rsidRPr="00E82873" w:rsidRDefault="00A676F0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Evaluation will be on functionality and </w:t>
            </w:r>
            <w:r w:rsidR="007B5E82"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80/20-</w:t>
            </w:r>
            <w:r w:rsidR="0036371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</w:t>
            </w:r>
            <w:r w:rsidR="007B5E82"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</w:t>
            </w:r>
            <w:r w:rsidR="00561F6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e</w:t>
            </w:r>
            <w:r w:rsidR="0036371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cific goals</w:t>
            </w: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</w:tcPr>
          <w:p w14:paraId="277C3D4C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4485AD5" w14:textId="4E94623F" w:rsidR="000F3CEE" w:rsidRPr="00E82873" w:rsidRDefault="00AA57C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ZNT</w:t>
            </w:r>
            <w:r w:rsidR="00086BF3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  <w:r w:rsidR="0036371B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/</w:t>
            </w:r>
            <w:r w:rsidR="000F72D9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  <w:r w:rsidR="0036371B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KZNSB0</w:t>
            </w:r>
            <w:r w:rsidR="00B066CB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46D18F7F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707AC71D" w14:textId="23ABC003" w:rsidR="000F3CEE" w:rsidRPr="00E82873" w:rsidRDefault="0036371B" w:rsidP="00AA57CE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23</w:t>
            </w:r>
            <w:r w:rsidR="000F72D9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January</w:t>
            </w:r>
            <w:r w:rsidR="000F72D9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</w:t>
            </w:r>
            <w:r w:rsidR="00086BF3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</w:tcPr>
          <w:p w14:paraId="3135846B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D25D176" w14:textId="7A76B211" w:rsidR="000F3CEE" w:rsidRPr="00E82873" w:rsidRDefault="0036371B" w:rsidP="00F85A19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08</w:t>
            </w:r>
            <w:r w:rsidR="00086BF3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9C4984">
              <w:rPr>
                <w:rFonts w:ascii="Arial" w:eastAsia="Calibri" w:hAnsi="Arial" w:cs="Arial"/>
                <w:sz w:val="20"/>
                <w:szCs w:val="20"/>
                <w:lang w:val="en-US"/>
              </w:rPr>
              <w:t>February</w:t>
            </w:r>
            <w:r w:rsidR="00086BF3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5EE19ED7" w14:textId="77777777" w:rsidR="00205EFB" w:rsidRPr="00E82873" w:rsidRDefault="00205EFB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10978B6E" w14:textId="77777777" w:rsidR="00773D84" w:rsidRPr="00E82873" w:rsidRDefault="00773D84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11h00</w:t>
            </w:r>
          </w:p>
        </w:tc>
      </w:tr>
    </w:tbl>
    <w:p w14:paraId="0CCF180D" w14:textId="10C8930C" w:rsidR="00FE0C0D" w:rsidRPr="009C4984" w:rsidRDefault="00773D84" w:rsidP="00196E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A compulsory briefing session with the representatives of the KwaZulu-Natal Sharks Board will </w:t>
      </w:r>
      <w:r w:rsidR="0084367A" w:rsidRPr="00E82873">
        <w:rPr>
          <w:rFonts w:ascii="Arial" w:eastAsia="Calibri" w:hAnsi="Arial" w:cs="Arial"/>
          <w:sz w:val="20"/>
          <w:szCs w:val="20"/>
          <w:lang w:val="en-US"/>
        </w:rPr>
        <w:t xml:space="preserve">take place at the </w:t>
      </w:r>
      <w:r w:rsidR="0036371B">
        <w:rPr>
          <w:rFonts w:ascii="Arial" w:eastAsia="Calibri" w:hAnsi="Arial" w:cs="Arial"/>
          <w:sz w:val="20"/>
          <w:szCs w:val="20"/>
          <w:lang w:val="en-US"/>
        </w:rPr>
        <w:t>Hall</w:t>
      </w:r>
      <w:r w:rsidR="0084367A" w:rsidRPr="00E82873">
        <w:rPr>
          <w:rFonts w:ascii="Arial" w:eastAsia="Calibri" w:hAnsi="Arial" w:cs="Arial"/>
          <w:sz w:val="20"/>
          <w:szCs w:val="20"/>
          <w:lang w:val="en-US"/>
        </w:rPr>
        <w:t xml:space="preserve">, 1a </w:t>
      </w:r>
      <w:proofErr w:type="spellStart"/>
      <w:r w:rsidR="0084367A" w:rsidRPr="00E82873">
        <w:rPr>
          <w:rFonts w:ascii="Arial" w:eastAsia="Calibri" w:hAnsi="Arial" w:cs="Arial"/>
          <w:sz w:val="20"/>
          <w:szCs w:val="20"/>
          <w:lang w:val="en-US"/>
        </w:rPr>
        <w:t>Herrwood</w:t>
      </w:r>
      <w:proofErr w:type="spellEnd"/>
      <w:r w:rsidR="0084367A" w:rsidRPr="00E82873">
        <w:rPr>
          <w:rFonts w:ascii="Arial" w:eastAsia="Calibri" w:hAnsi="Arial" w:cs="Arial"/>
          <w:sz w:val="20"/>
          <w:szCs w:val="20"/>
          <w:lang w:val="en-US"/>
        </w:rPr>
        <w:t xml:space="preserve"> Drive </w:t>
      </w:r>
      <w:proofErr w:type="spellStart"/>
      <w:r w:rsidR="0084367A" w:rsidRPr="00E82873">
        <w:rPr>
          <w:rFonts w:ascii="Arial" w:eastAsia="Calibri" w:hAnsi="Arial" w:cs="Arial"/>
          <w:sz w:val="20"/>
          <w:szCs w:val="20"/>
          <w:lang w:val="en-US"/>
        </w:rPr>
        <w:t>uMhlanga</w:t>
      </w:r>
      <w:proofErr w:type="spellEnd"/>
      <w:r w:rsidR="0084367A" w:rsidRPr="00E82873">
        <w:rPr>
          <w:rFonts w:ascii="Arial" w:eastAsia="Calibri" w:hAnsi="Arial" w:cs="Arial"/>
          <w:sz w:val="20"/>
          <w:szCs w:val="20"/>
          <w:lang w:val="en-US"/>
        </w:rPr>
        <w:t xml:space="preserve"> Rocks at 11:00 am.</w:t>
      </w:r>
    </w:p>
    <w:p w14:paraId="5BD5803C" w14:textId="77777777" w:rsidR="009F107A" w:rsidRPr="000B432A" w:rsidRDefault="00632174" w:rsidP="009F10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0B432A">
        <w:rPr>
          <w:rFonts w:ascii="Arial" w:hAnsi="Arial" w:cs="Arial"/>
          <w:sz w:val="20"/>
        </w:rPr>
        <w:t>Proof of registration with Central Supplier Database (CSD)</w:t>
      </w:r>
      <w:r w:rsidR="009F107A" w:rsidRPr="000B432A">
        <w:rPr>
          <w:rFonts w:ascii="Arial" w:hAnsi="Arial" w:cs="Arial"/>
          <w:sz w:val="20"/>
        </w:rPr>
        <w:t xml:space="preserve">, </w:t>
      </w:r>
    </w:p>
    <w:p w14:paraId="6DE2CE8F" w14:textId="77777777" w:rsidR="009F107A" w:rsidRDefault="009F107A" w:rsidP="009F10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9F107A">
        <w:rPr>
          <w:rFonts w:ascii="Arial" w:hAnsi="Arial" w:cs="Arial"/>
          <w:sz w:val="20"/>
          <w:szCs w:val="20"/>
          <w:lang w:val="en-GB"/>
        </w:rPr>
        <w:t xml:space="preserve">Copy of company registration certificate, </w:t>
      </w:r>
    </w:p>
    <w:p w14:paraId="7E153DB5" w14:textId="77777777" w:rsidR="009F107A" w:rsidRDefault="009F107A" w:rsidP="009F10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9F107A">
        <w:rPr>
          <w:rFonts w:ascii="Arial" w:hAnsi="Arial" w:cs="Arial"/>
          <w:sz w:val="20"/>
          <w:szCs w:val="20"/>
          <w:lang w:val="en-GB"/>
        </w:rPr>
        <w:t xml:space="preserve">Valid BBBEE Certificate, </w:t>
      </w:r>
    </w:p>
    <w:p w14:paraId="1C6558B8" w14:textId="77777777" w:rsidR="009F107A" w:rsidRDefault="009F107A" w:rsidP="009F10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9F107A">
        <w:rPr>
          <w:rFonts w:ascii="Arial" w:hAnsi="Arial" w:cs="Arial"/>
          <w:sz w:val="20"/>
          <w:szCs w:val="20"/>
          <w:lang w:val="en-GB"/>
        </w:rPr>
        <w:t>Accreditation of the team of internal auditors assigned to this project by the Institute of Internal Auditors South Africa (IIASA). (</w:t>
      </w:r>
      <w:r w:rsidRPr="009F107A">
        <w:rPr>
          <w:rFonts w:ascii="Arial" w:hAnsi="Arial" w:cs="Arial"/>
          <w:b/>
          <w:sz w:val="20"/>
          <w:szCs w:val="20"/>
          <w:lang w:val="en-GB"/>
        </w:rPr>
        <w:t>NB:</w:t>
      </w:r>
      <w:r w:rsidRPr="009F107A">
        <w:rPr>
          <w:rFonts w:ascii="Arial" w:hAnsi="Arial" w:cs="Arial"/>
          <w:sz w:val="20"/>
          <w:szCs w:val="20"/>
          <w:lang w:val="en-GB"/>
        </w:rPr>
        <w:t xml:space="preserve"> the accreditation certificates must be valid and certified), and </w:t>
      </w:r>
    </w:p>
    <w:p w14:paraId="124EB9E1" w14:textId="0FED4464" w:rsidR="006C4857" w:rsidRPr="009F107A" w:rsidRDefault="009F107A" w:rsidP="009F10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9F107A">
        <w:rPr>
          <w:rFonts w:ascii="Arial" w:hAnsi="Arial" w:cs="Arial"/>
          <w:sz w:val="20"/>
          <w:szCs w:val="20"/>
          <w:lang w:val="en-GB"/>
        </w:rPr>
        <w:t>Proof of banking details.</w:t>
      </w:r>
    </w:p>
    <w:p w14:paraId="7FDA5534" w14:textId="2219C02B" w:rsidR="0006427C" w:rsidRPr="00E82873" w:rsidRDefault="00FE0C0D" w:rsidP="00196E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All Supply Chain Management inquiries must be addressed 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>to M</w:t>
      </w:r>
      <w:r w:rsidR="000B432A">
        <w:rPr>
          <w:rFonts w:ascii="Arial" w:eastAsia="Calibri" w:hAnsi="Arial" w:cs="Arial"/>
          <w:sz w:val="20"/>
          <w:szCs w:val="20"/>
          <w:lang w:val="en-US"/>
        </w:rPr>
        <w:t>i</w:t>
      </w:r>
      <w:r w:rsidR="009F107A">
        <w:rPr>
          <w:rFonts w:ascii="Arial" w:eastAsia="Calibri" w:hAnsi="Arial" w:cs="Arial"/>
          <w:sz w:val="20"/>
          <w:szCs w:val="20"/>
          <w:lang w:val="en-US"/>
        </w:rPr>
        <w:t>ss N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r w:rsidR="009F107A">
        <w:rPr>
          <w:rFonts w:ascii="Arial" w:eastAsia="Calibri" w:hAnsi="Arial" w:cs="Arial"/>
          <w:sz w:val="20"/>
          <w:szCs w:val="20"/>
          <w:lang w:val="en-US"/>
        </w:rPr>
        <w:t xml:space="preserve">Khumalo 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>on 031 566 04</w:t>
      </w:r>
      <w:r w:rsidR="009F107A">
        <w:rPr>
          <w:rFonts w:ascii="Arial" w:eastAsia="Calibri" w:hAnsi="Arial" w:cs="Arial"/>
          <w:sz w:val="20"/>
          <w:szCs w:val="20"/>
          <w:lang w:val="en-US"/>
        </w:rPr>
        <w:t>88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 E-mail: </w:t>
      </w:r>
      <w:hyperlink r:id="rId9" w:history="1">
        <w:r w:rsidR="009F107A" w:rsidRPr="001620C6">
          <w:rPr>
            <w:rStyle w:val="Hyperlink"/>
            <w:rFonts w:ascii="Arial" w:hAnsi="Arial" w:cs="Arial"/>
            <w:sz w:val="20"/>
            <w:szCs w:val="20"/>
          </w:rPr>
          <w:t>nonkululeko@shark.co.za</w:t>
        </w:r>
      </w:hyperlink>
      <w:r w:rsidR="00DB073B" w:rsidRPr="00E82873">
        <w:rPr>
          <w:rFonts w:ascii="Arial" w:eastAsia="Calibri" w:hAnsi="Arial" w:cs="Arial"/>
          <w:sz w:val="20"/>
          <w:szCs w:val="20"/>
          <w:lang w:val="en-US"/>
        </w:rPr>
        <w:t xml:space="preserve"> and all Technical queries to M</w:t>
      </w:r>
      <w:r w:rsidR="009F107A">
        <w:rPr>
          <w:rFonts w:ascii="Arial" w:eastAsia="Calibri" w:hAnsi="Arial" w:cs="Arial"/>
          <w:sz w:val="20"/>
          <w:szCs w:val="20"/>
          <w:lang w:val="en-US"/>
        </w:rPr>
        <w:t>r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r w:rsidR="009F107A">
        <w:rPr>
          <w:rFonts w:ascii="Arial" w:eastAsia="Calibri" w:hAnsi="Arial" w:cs="Arial"/>
          <w:sz w:val="20"/>
          <w:szCs w:val="20"/>
          <w:lang w:val="en-US"/>
        </w:rPr>
        <w:t xml:space="preserve">S </w:t>
      </w:r>
      <w:r w:rsidR="009C4984">
        <w:rPr>
          <w:rFonts w:ascii="Arial" w:eastAsia="Calibri" w:hAnsi="Arial" w:cs="Arial"/>
          <w:sz w:val="20"/>
          <w:szCs w:val="20"/>
          <w:lang w:val="en-US"/>
        </w:rPr>
        <w:t>M</w:t>
      </w:r>
      <w:r w:rsidR="009F107A">
        <w:rPr>
          <w:rFonts w:ascii="Arial" w:eastAsia="Calibri" w:hAnsi="Arial" w:cs="Arial"/>
          <w:sz w:val="20"/>
          <w:szCs w:val="20"/>
          <w:lang w:val="en-US"/>
        </w:rPr>
        <w:t>zelemu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 on 031 566 </w:t>
      </w:r>
      <w:r w:rsidR="009C4984">
        <w:rPr>
          <w:rFonts w:ascii="Arial" w:eastAsia="Calibri" w:hAnsi="Arial" w:cs="Arial"/>
          <w:sz w:val="20"/>
          <w:szCs w:val="20"/>
          <w:lang w:val="en-US"/>
        </w:rPr>
        <w:t>04</w:t>
      </w:r>
      <w:r w:rsidR="009F107A">
        <w:rPr>
          <w:rFonts w:ascii="Arial" w:eastAsia="Calibri" w:hAnsi="Arial" w:cs="Arial"/>
          <w:sz w:val="20"/>
          <w:szCs w:val="20"/>
          <w:lang w:val="en-US"/>
        </w:rPr>
        <w:t>22</w:t>
      </w:r>
      <w:r w:rsidR="003D378A" w:rsidRPr="00E82873">
        <w:rPr>
          <w:rFonts w:ascii="Arial" w:eastAsia="Calibri" w:hAnsi="Arial" w:cs="Arial"/>
          <w:sz w:val="20"/>
          <w:szCs w:val="20"/>
          <w:lang w:val="en-US"/>
        </w:rPr>
        <w:t xml:space="preserve"> E-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>mail:</w:t>
      </w:r>
      <w:r w:rsidR="003D378A" w:rsidRPr="00E82873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hyperlink r:id="rId10" w:history="1">
        <w:r w:rsidR="009F107A" w:rsidRPr="001620C6">
          <w:rPr>
            <w:rStyle w:val="Hyperlink"/>
            <w:rFonts w:ascii="Arial" w:hAnsi="Arial" w:cs="Arial"/>
            <w:sz w:val="20"/>
            <w:szCs w:val="20"/>
          </w:rPr>
          <w:t>mzelemu@shark.co.za</w:t>
        </w:r>
      </w:hyperlink>
      <w:r w:rsidR="00571282" w:rsidRPr="00E82873">
        <w:rPr>
          <w:rFonts w:ascii="Arial" w:hAnsi="Arial" w:cs="Arial"/>
          <w:color w:val="0070C0"/>
          <w:sz w:val="20"/>
          <w:szCs w:val="20"/>
          <w:lang w:val="en-US"/>
        </w:rPr>
        <w:t>.</w:t>
      </w:r>
    </w:p>
    <w:p w14:paraId="7603ABB7" w14:textId="77777777" w:rsidR="00AA57CE" w:rsidRPr="00E82873" w:rsidRDefault="0006427C" w:rsidP="00196E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Telegraphic, telephonic, telex, facsimile and late tenders </w:t>
      </w:r>
      <w:r w:rsidR="00DB073B" w:rsidRPr="00E82873">
        <w:rPr>
          <w:rFonts w:ascii="Arial" w:eastAsia="Calibri" w:hAnsi="Arial" w:cs="Arial"/>
          <w:sz w:val="20"/>
          <w:szCs w:val="20"/>
          <w:lang w:val="en-US"/>
        </w:rPr>
        <w:t>will not be accepted.</w:t>
      </w:r>
    </w:p>
    <w:tbl>
      <w:tblPr>
        <w:tblpPr w:leftFromText="180" w:rightFromText="180" w:topFromText="100" w:bottomFromText="100" w:vertAnchor="text" w:horzAnchor="page" w:tblpX="914" w:tblpY="796"/>
        <w:tblOverlap w:val="never"/>
        <w:tblW w:w="10480" w:type="dxa"/>
        <w:tblLayout w:type="fixed"/>
        <w:tblLook w:val="04A0" w:firstRow="1" w:lastRow="0" w:firstColumn="1" w:lastColumn="0" w:noHBand="0" w:noVBand="1"/>
      </w:tblPr>
      <w:tblGrid>
        <w:gridCol w:w="841"/>
        <w:gridCol w:w="992"/>
        <w:gridCol w:w="1418"/>
        <w:gridCol w:w="5953"/>
        <w:gridCol w:w="1276"/>
      </w:tblGrid>
      <w:tr w:rsidR="0036371B" w:rsidRPr="005346E1" w14:paraId="72C7165D" w14:textId="77777777" w:rsidTr="00D02873">
        <w:trPr>
          <w:trHeight w:val="430"/>
          <w:tblHeader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95186F9" w14:textId="77777777" w:rsidR="0036371B" w:rsidRPr="005346E1" w:rsidRDefault="0036371B" w:rsidP="00D0287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ZA"/>
              </w:rPr>
            </w:pPr>
            <w:r w:rsidRPr="005346E1">
              <w:rPr>
                <w:rFonts w:ascii="Arial" w:eastAsia="Calibri" w:hAnsi="Arial" w:cs="Arial"/>
                <w:b/>
                <w:sz w:val="18"/>
                <w:szCs w:val="18"/>
                <w:lang w:eastAsia="en-ZA"/>
              </w:rPr>
              <w:t>No.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</w:tcPr>
          <w:p w14:paraId="07B3C68B" w14:textId="77777777" w:rsidR="0036371B" w:rsidRPr="005346E1" w:rsidRDefault="0036371B" w:rsidP="00D0287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</w:tcPr>
          <w:p w14:paraId="16D46BEF" w14:textId="77777777" w:rsidR="0036371B" w:rsidRPr="005346E1" w:rsidRDefault="0036371B" w:rsidP="00D0287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eastAsia="en-ZA"/>
              </w:rPr>
              <w:t>Standard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</w:tcPr>
          <w:p w14:paraId="6E3D7475" w14:textId="77777777" w:rsidR="0036371B" w:rsidRPr="005346E1" w:rsidRDefault="0036371B" w:rsidP="00D0287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ZA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eastAsia="en-ZA"/>
              </w:rPr>
              <w:t>COMPONENT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6A99507" w14:textId="77777777" w:rsidR="0036371B" w:rsidRPr="005346E1" w:rsidRDefault="0036371B" w:rsidP="00D0287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ZA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eastAsia="en-ZA"/>
              </w:rPr>
              <w:t>POINTS</w:t>
            </w:r>
          </w:p>
        </w:tc>
      </w:tr>
      <w:tr w:rsidR="0036371B" w:rsidRPr="005346E1" w14:paraId="1731023B" w14:textId="77777777" w:rsidTr="00D02873">
        <w:trPr>
          <w:trHeight w:val="300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14:paraId="5AB1F268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7AD6D19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33F58CF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</w:rPr>
              <w:t>Industry Knowledge &amp; Resources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ED97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Previous experience in the field of Public Audit, Internal Audit and Risk with extensive knowledge of PFMA, Treasury Regulations. –  on the assignment. CV(s) of Internal Audit and Risk team with appropriate qualifications to be attached to tender proposal.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682B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</w:tr>
      <w:tr w:rsidR="0036371B" w:rsidRPr="005346E1" w14:paraId="5F172B3E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4E2F4549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81CFAC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BE45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2D2B" w14:textId="77777777" w:rsidR="0036371B" w:rsidRPr="005346E1" w:rsidRDefault="0036371B" w:rsidP="0036371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Partner 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10 points (maximum)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84C5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0CC50E28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16E2D3C6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E31C2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2FF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B50D3" w14:textId="77777777" w:rsidR="0036371B" w:rsidRPr="005346E1" w:rsidRDefault="0036371B" w:rsidP="0036371B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Partner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10 years’ post article experience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10 points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09C87670" w14:textId="77777777" w:rsidR="0036371B" w:rsidRPr="005346E1" w:rsidRDefault="0036371B" w:rsidP="0036371B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Partner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7 years but less than 10 years’ post article experience = </w:t>
            </w:r>
            <w:r w:rsidRPr="005346E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 points.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5A9C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154536CD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7EBCD531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4BAFA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DDD5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712" w14:textId="77777777" w:rsidR="0036371B" w:rsidRPr="005346E1" w:rsidRDefault="0036371B" w:rsidP="0036371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Specialist (IT)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5 points (maximum)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D4B0F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45D3BCB3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1B54115E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2B1426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0B6D8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96C" w14:textId="77777777" w:rsidR="0036371B" w:rsidRPr="005346E1" w:rsidRDefault="0036371B" w:rsidP="0036371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Specialist (IT)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5 years’ post article experience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5 points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5004939E" w14:textId="77777777" w:rsidR="0036371B" w:rsidRPr="005346E1" w:rsidRDefault="0036371B" w:rsidP="0036371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Specialist (IT)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3 years but less than 5 years’ post article experience = 3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points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F701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553D9369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66FB08F9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943284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C7AC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388" w14:textId="77777777" w:rsidR="0036371B" w:rsidRPr="005346E1" w:rsidRDefault="0036371B" w:rsidP="0036371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Risk Management Specialist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= 5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points (maximum)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FAE47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111A72C3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364D1722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7D5415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F969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349" w14:textId="77777777" w:rsidR="0036371B" w:rsidRPr="005346E1" w:rsidRDefault="0036371B" w:rsidP="0036371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Risk Management Specialist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5 years’ post article experience = 5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points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35BDD836" w14:textId="77777777" w:rsidR="0036371B" w:rsidRPr="005346E1" w:rsidRDefault="0036371B" w:rsidP="0036371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Risk Management Specialist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3 years but less than 5 years’ post article experience = 3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points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70A6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3930DE9F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3EB1703E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2BC65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53DA5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958" w14:textId="77777777" w:rsidR="0036371B" w:rsidRPr="005346E1" w:rsidRDefault="0036371B" w:rsidP="0036371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Internal Auditors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= 10 points (maximum)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97381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67D8DC32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22D93A64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A1C82D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2285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654" w14:textId="77777777" w:rsidR="0036371B" w:rsidRPr="005346E1" w:rsidRDefault="0036371B" w:rsidP="003637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Internal Auditors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5 years’ post article experience (Minimum of three CV’s will be evaluated)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= 10 points</w:t>
            </w:r>
          </w:p>
          <w:p w14:paraId="3FDFACDD" w14:textId="77777777" w:rsidR="0036371B" w:rsidRPr="005346E1" w:rsidRDefault="0036371B" w:rsidP="003637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Internal Auditors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3 years but less than 5 years’ post article experience (Minimum of three CV’s will be evaluated)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= 5 points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648B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1B385A4F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50BF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D0E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85E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686" w14:textId="77777777" w:rsidR="0036371B" w:rsidRPr="005346E1" w:rsidRDefault="0036371B" w:rsidP="0036371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Manager/Supervisor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20 points (maximum).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6D7E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22195155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52E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54D6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5A1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DEC" w14:textId="77777777" w:rsidR="0036371B" w:rsidRPr="005346E1" w:rsidRDefault="0036371B" w:rsidP="0036371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Manager/Supervisor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7 years’ post article experience (Minimum of two CV’s will be evaluated)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20 points</w:t>
            </w:r>
          </w:p>
          <w:p w14:paraId="4CB77351" w14:textId="77777777" w:rsidR="0036371B" w:rsidRPr="005346E1" w:rsidRDefault="0036371B" w:rsidP="0036371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Manager/Supervisor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 with more than or equal to 5 years but less than 7 years’ post article experience (Minimum of two CV’s will be evaluated) = 10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points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FC73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41EF9AFC" w14:textId="77777777" w:rsidTr="00D02873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4051FC0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3D68D7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EBB59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</w:rPr>
              <w:t>Performance standards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2C95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Quality assurance tools of the tenderer.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Tenderers must submit the following below with their proposals: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B8E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36371B" w:rsidRPr="005346E1" w14:paraId="4A2B0D44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14:paraId="2019954F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81B06C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9E5F7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08D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Audit methodology which has undergone Quality Assurance by IIA and Risk Management framework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20 points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5A9AD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71B" w:rsidRPr="005346E1" w14:paraId="405CDDED" w14:textId="77777777" w:rsidTr="00D02873">
        <w:trPr>
          <w:trHeight w:val="300"/>
        </w:trPr>
        <w:tc>
          <w:tcPr>
            <w:tcW w:w="841" w:type="dxa"/>
            <w:tcBorders>
              <w:left w:val="single" w:sz="8" w:space="0" w:color="auto"/>
              <w:right w:val="single" w:sz="4" w:space="0" w:color="auto"/>
            </w:tcBorders>
            <w:noWrap/>
          </w:tcPr>
          <w:p w14:paraId="70A8C51D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9EDA74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2F63CB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971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Audit methodology which has not undergone Quality Assurance by IIA and Risk Management framework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10 points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0F4D2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71B" w:rsidRPr="005346E1" w14:paraId="5CD86F94" w14:textId="77777777" w:rsidTr="00D02873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AAB6F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F1A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0BF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Accreditation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A75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>Accreditation of the team of Internal auditors assigned to this project with the Institute of Internal Auditors. Proof of accreditation to be submitted.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3A2C7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36371B" w:rsidRPr="005346E1" w14:paraId="3A37D313" w14:textId="77777777" w:rsidTr="00D0287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D5EF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67B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D3C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4463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Registration with (IIA, SAICA, ACFE, IRMSA &amp; ISACA)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15 points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06FA6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71B" w:rsidRPr="005346E1" w14:paraId="1082609D" w14:textId="77777777" w:rsidTr="00D0287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5A58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AA21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464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735" w14:textId="77777777" w:rsidR="0036371B" w:rsidRPr="005346E1" w:rsidRDefault="0036371B" w:rsidP="00D02873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</w:rPr>
              <w:t xml:space="preserve">Registration with (IIA, SAICA and ISACA) = </w:t>
            </w:r>
            <w:r w:rsidRPr="005346E1">
              <w:rPr>
                <w:rFonts w:ascii="Arial" w:hAnsi="Arial" w:cs="Arial"/>
                <w:b/>
                <w:sz w:val="18"/>
                <w:szCs w:val="18"/>
              </w:rPr>
              <w:t>9 points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AECB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7807127D" w14:textId="77777777" w:rsidTr="00D0287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129B8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B02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C9C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132" w14:textId="77777777" w:rsidR="0036371B" w:rsidRPr="005346E1" w:rsidRDefault="0036371B" w:rsidP="00D02873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</w:rPr>
              <w:t xml:space="preserve">Registration with (IIA and SAICA) = </w:t>
            </w:r>
            <w:r w:rsidRPr="005346E1">
              <w:rPr>
                <w:rFonts w:ascii="Arial" w:hAnsi="Arial" w:cs="Arial"/>
                <w:b/>
                <w:sz w:val="18"/>
                <w:szCs w:val="18"/>
              </w:rPr>
              <w:t>6 points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DA72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11F8108A" w14:textId="77777777" w:rsidTr="00D02873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D45C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987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D1CC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</w:rPr>
              <w:t>References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849F7" w14:textId="77777777" w:rsidR="0036371B" w:rsidRPr="005346E1" w:rsidRDefault="0036371B" w:rsidP="00D02873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Capacity to provide internal audit services and risk services. Bidders are required to provide a list of references of public sector experience with contact details. </w:t>
            </w:r>
            <w:r w:rsidRPr="005346E1">
              <w:rPr>
                <w:rFonts w:ascii="Arial" w:hAnsi="Arial" w:cs="Arial"/>
                <w:sz w:val="18"/>
                <w:szCs w:val="18"/>
              </w:rPr>
              <w:t xml:space="preserve"> (attach reference letters, not a list)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A4DD1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36371B" w:rsidRPr="005346E1" w14:paraId="082B85F7" w14:textId="77777777" w:rsidTr="00D0287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9F27C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6704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E7CC2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E8F4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2 Reference provided =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B9C79D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71B" w:rsidRPr="005346E1" w14:paraId="781902F6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BF037D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F59313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8106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90FDD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3 References provided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= 5 Points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2254B9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0910DDF8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939BB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C8A6C0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1D84F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042" w14:textId="77777777" w:rsidR="0036371B" w:rsidRPr="005346E1" w:rsidRDefault="0036371B" w:rsidP="00D0287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4 References provided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= 10 Points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7C1A7C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3EF72864" w14:textId="77777777" w:rsidTr="00D02873">
        <w:trPr>
          <w:trHeight w:val="300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201B2E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BF945E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BC021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DA2" w14:textId="77777777" w:rsidR="0036371B" w:rsidRPr="005346E1" w:rsidRDefault="0036371B" w:rsidP="00D02873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46E1">
              <w:rPr>
                <w:rFonts w:ascii="Arial" w:hAnsi="Arial" w:cs="Arial"/>
                <w:sz w:val="18"/>
                <w:szCs w:val="18"/>
                <w:lang w:val="en-GB"/>
              </w:rPr>
              <w:t xml:space="preserve">5 References provided </w:t>
            </w: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= 15 Points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D8A9CF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1B" w:rsidRPr="005346E1" w14:paraId="2189D44E" w14:textId="77777777" w:rsidTr="00D0287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55507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912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4F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TOTAL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71B3" w14:textId="77777777" w:rsidR="0036371B" w:rsidRPr="005346E1" w:rsidRDefault="0036371B" w:rsidP="00D02873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A2D9CA" w14:textId="77777777" w:rsidR="0036371B" w:rsidRPr="005346E1" w:rsidRDefault="0036371B" w:rsidP="00D02873">
            <w:pPr>
              <w:tabs>
                <w:tab w:val="num" w:pos="8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6E1">
              <w:rPr>
                <w:rFonts w:ascii="Arial" w:hAnsi="Arial" w:cs="Arial"/>
                <w:b/>
                <w:sz w:val="18"/>
                <w:szCs w:val="18"/>
                <w:lang w:val="en-GB"/>
              </w:rPr>
              <w:t>100</w:t>
            </w:r>
          </w:p>
        </w:tc>
      </w:tr>
    </w:tbl>
    <w:p w14:paraId="31F40D38" w14:textId="77777777" w:rsidR="00E5477F" w:rsidRPr="00E82873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20"/>
          <w:szCs w:val="20"/>
          <w:lang w:eastAsia="en-ZA"/>
        </w:rPr>
      </w:pPr>
    </w:p>
    <w:p w14:paraId="7B7A3FE2" w14:textId="34F2318C" w:rsidR="00E5477F" w:rsidRPr="00E82873" w:rsidRDefault="00E5477F" w:rsidP="00196E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ZA"/>
        </w:rPr>
      </w:pP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A</w:t>
      </w:r>
      <w:r w:rsidRPr="00E82873">
        <w:rPr>
          <w:rFonts w:ascii="Arial" w:hAnsi="Arial" w:cs="Arial"/>
          <w:color w:val="070707"/>
          <w:spacing w:val="4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bidder that s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c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ores</w:t>
      </w:r>
      <w:r w:rsidRPr="00E82873">
        <w:rPr>
          <w:rFonts w:ascii="Arial" w:hAnsi="Arial" w:cs="Arial"/>
          <w:color w:val="070707"/>
          <w:spacing w:val="2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less</w:t>
      </w:r>
      <w:r w:rsidRPr="00E82873">
        <w:rPr>
          <w:rFonts w:ascii="Arial" w:hAnsi="Arial" w:cs="Arial"/>
          <w:color w:val="070707"/>
          <w:spacing w:val="3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than</w:t>
      </w:r>
      <w:r w:rsidRPr="00E82873">
        <w:rPr>
          <w:rFonts w:ascii="Arial" w:hAnsi="Arial" w:cs="Arial"/>
          <w:color w:val="070707"/>
          <w:spacing w:val="28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171717"/>
          <w:sz w:val="20"/>
          <w:szCs w:val="20"/>
          <w:lang w:eastAsia="en-ZA"/>
        </w:rPr>
        <w:t>(</w:t>
      </w:r>
      <w:r w:rsidR="0036371B">
        <w:rPr>
          <w:rFonts w:ascii="Arial" w:hAnsi="Arial" w:cs="Arial"/>
          <w:b/>
          <w:color w:val="070707"/>
          <w:sz w:val="20"/>
          <w:szCs w:val="20"/>
          <w:lang w:eastAsia="en-ZA"/>
        </w:rPr>
        <w:t>7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0</w:t>
      </w:r>
      <w:r w:rsidRPr="00E82873">
        <w:rPr>
          <w:rFonts w:ascii="Arial" w:hAnsi="Arial" w:cs="Arial"/>
          <w:b/>
          <w:color w:val="171717"/>
          <w:sz w:val="20"/>
          <w:szCs w:val="20"/>
          <w:lang w:eastAsia="en-ZA"/>
        </w:rPr>
        <w:t>%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)</w:t>
      </w:r>
      <w:r w:rsidRPr="00E82873">
        <w:rPr>
          <w:rFonts w:ascii="Arial" w:hAnsi="Arial" w:cs="Arial"/>
          <w:b/>
          <w:color w:val="070707"/>
          <w:spacing w:val="-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of</w:t>
      </w:r>
      <w:r w:rsidRPr="00E82873">
        <w:rPr>
          <w:rFonts w:ascii="Arial" w:hAnsi="Arial" w:cs="Arial"/>
          <w:b/>
          <w:color w:val="070707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the</w:t>
      </w:r>
      <w:r w:rsidRPr="00E82873">
        <w:rPr>
          <w:rFonts w:ascii="Arial" w:hAnsi="Arial" w:cs="Arial"/>
          <w:b/>
          <w:color w:val="070707"/>
          <w:spacing w:val="39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100</w:t>
      </w:r>
      <w:r w:rsidRPr="00E82873">
        <w:rPr>
          <w:rFonts w:ascii="Arial" w:hAnsi="Arial" w:cs="Arial"/>
          <w:color w:val="070707"/>
          <w:spacing w:val="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po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nt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s</w:t>
      </w:r>
      <w:r w:rsidRPr="00E82873">
        <w:rPr>
          <w:rFonts w:ascii="Arial" w:hAnsi="Arial" w:cs="Arial"/>
          <w:color w:val="171717"/>
          <w:spacing w:val="10"/>
          <w:sz w:val="20"/>
          <w:szCs w:val="20"/>
          <w:lang w:eastAsia="en-ZA"/>
        </w:rPr>
        <w:t xml:space="preserve"> </w:t>
      </w:r>
      <w:r w:rsidR="007C6BF7"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allocated </w:t>
      </w:r>
      <w:r w:rsidR="007C6BF7" w:rsidRPr="00E82873">
        <w:rPr>
          <w:rFonts w:ascii="Arial" w:hAnsi="Arial" w:cs="Arial"/>
          <w:color w:val="070707"/>
          <w:spacing w:val="29"/>
          <w:sz w:val="20"/>
          <w:szCs w:val="20"/>
          <w:lang w:eastAsia="en-ZA"/>
        </w:rPr>
        <w:t>in</w:t>
      </w:r>
      <w:r w:rsidRPr="00E82873">
        <w:rPr>
          <w:rFonts w:ascii="Arial" w:hAnsi="Arial" w:cs="Arial"/>
          <w:color w:val="070707"/>
          <w:spacing w:val="2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r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esp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ec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t</w:t>
      </w:r>
      <w:r w:rsidRPr="00E82873">
        <w:rPr>
          <w:rFonts w:ascii="Arial" w:hAnsi="Arial" w:cs="Arial"/>
          <w:color w:val="282828"/>
          <w:spacing w:val="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of</w:t>
      </w:r>
      <w:r w:rsidRPr="00E82873">
        <w:rPr>
          <w:rFonts w:ascii="Arial" w:hAnsi="Arial" w:cs="Arial"/>
          <w:color w:val="070707"/>
          <w:spacing w:val="1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"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func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ti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ona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l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ity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"</w:t>
      </w:r>
      <w:r w:rsidRPr="00E82873">
        <w:rPr>
          <w:rFonts w:ascii="Arial" w:hAnsi="Arial" w:cs="Arial"/>
          <w:color w:val="282828"/>
          <w:spacing w:val="-1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ll </w:t>
      </w:r>
      <w:proofErr w:type="gramStart"/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be </w:t>
      </w:r>
      <w:r w:rsidRPr="00E82873">
        <w:rPr>
          <w:rFonts w:ascii="Arial" w:hAnsi="Arial" w:cs="Arial"/>
          <w:color w:val="070707"/>
          <w:spacing w:val="1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rega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r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ded</w:t>
      </w:r>
      <w:proofErr w:type="gramEnd"/>
      <w:r w:rsidRPr="00E82873">
        <w:rPr>
          <w:rFonts w:ascii="Arial" w:hAnsi="Arial" w:cs="Arial"/>
          <w:color w:val="070707"/>
          <w:spacing w:val="67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as </w:t>
      </w:r>
      <w:r w:rsidRPr="00E82873">
        <w:rPr>
          <w:rFonts w:ascii="Arial" w:hAnsi="Arial" w:cs="Arial"/>
          <w:color w:val="070707"/>
          <w:spacing w:val="1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submitting</w:t>
      </w:r>
      <w:r w:rsidRPr="00E82873">
        <w:rPr>
          <w:rFonts w:ascii="Arial" w:hAnsi="Arial" w:cs="Arial"/>
          <w:color w:val="070707"/>
          <w:spacing w:val="6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a </w:t>
      </w:r>
      <w:r w:rsidRPr="00E82873">
        <w:rPr>
          <w:rFonts w:ascii="Arial" w:hAnsi="Arial" w:cs="Arial"/>
          <w:color w:val="070707"/>
          <w:spacing w:val="2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non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-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re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s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ponsive </w:t>
      </w:r>
      <w:r w:rsidRPr="00E82873">
        <w:rPr>
          <w:rFonts w:ascii="Arial" w:hAnsi="Arial" w:cs="Arial"/>
          <w:color w:val="070707"/>
          <w:spacing w:val="3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d  and </w:t>
      </w:r>
      <w:r w:rsidRPr="00E82873">
        <w:rPr>
          <w:rFonts w:ascii="Arial" w:hAnsi="Arial" w:cs="Arial"/>
          <w:color w:val="070707"/>
          <w:spacing w:val="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will </w:t>
      </w:r>
      <w:r w:rsidRPr="00E82873">
        <w:rPr>
          <w:rFonts w:ascii="Arial" w:hAnsi="Arial" w:cs="Arial"/>
          <w:color w:val="070707"/>
          <w:spacing w:val="1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be </w:t>
      </w:r>
      <w:r w:rsidRPr="00E82873">
        <w:rPr>
          <w:rFonts w:ascii="Arial" w:hAnsi="Arial" w:cs="Arial"/>
          <w:color w:val="070707"/>
          <w:spacing w:val="1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disqualified </w:t>
      </w:r>
      <w:r w:rsidRPr="00E82873">
        <w:rPr>
          <w:rFonts w:ascii="Arial" w:hAnsi="Arial" w:cs="Arial"/>
          <w:color w:val="070707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and therefore</w:t>
      </w:r>
      <w:r w:rsidRPr="00E82873">
        <w:rPr>
          <w:rFonts w:ascii="Arial" w:hAnsi="Arial" w:cs="Arial"/>
          <w:color w:val="070707"/>
          <w:spacing w:val="1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will</w:t>
      </w:r>
      <w:r w:rsidRPr="00E82873">
        <w:rPr>
          <w:rFonts w:ascii="Arial" w:hAnsi="Arial" w:cs="Arial"/>
          <w:color w:val="070707"/>
          <w:spacing w:val="2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not</w:t>
      </w:r>
      <w:r w:rsidRPr="00E82873">
        <w:rPr>
          <w:rFonts w:ascii="Arial" w:hAnsi="Arial" w:cs="Arial"/>
          <w:color w:val="070707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be</w:t>
      </w:r>
      <w:r w:rsidRPr="00E82873">
        <w:rPr>
          <w:rFonts w:ascii="Arial" w:hAnsi="Arial" w:cs="Arial"/>
          <w:color w:val="070707"/>
          <w:spacing w:val="1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cons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dered for</w:t>
      </w:r>
      <w:r w:rsidRPr="00E82873">
        <w:rPr>
          <w:rFonts w:ascii="Arial" w:hAnsi="Arial" w:cs="Arial"/>
          <w:color w:val="070707"/>
          <w:spacing w:val="1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the</w:t>
      </w:r>
      <w:r w:rsidRPr="00E82873">
        <w:rPr>
          <w:rFonts w:ascii="Arial" w:hAnsi="Arial" w:cs="Arial"/>
          <w:color w:val="070707"/>
          <w:spacing w:val="2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last</w:t>
      </w:r>
      <w:r w:rsidRPr="00E82873">
        <w:rPr>
          <w:rFonts w:ascii="Arial" w:hAnsi="Arial" w:cs="Arial"/>
          <w:color w:val="070707"/>
          <w:spacing w:val="8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phase</w:t>
      </w:r>
      <w:r w:rsidRPr="00E82873">
        <w:rPr>
          <w:rFonts w:ascii="Arial" w:hAnsi="Arial" w:cs="Arial"/>
          <w:color w:val="070707"/>
          <w:spacing w:val="1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of</w:t>
      </w:r>
      <w:r w:rsidRPr="00E82873">
        <w:rPr>
          <w:rFonts w:ascii="Arial" w:hAnsi="Arial" w:cs="Arial"/>
          <w:color w:val="070707"/>
          <w:spacing w:val="7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evaluat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on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,</w:t>
      </w:r>
      <w:r w:rsidRPr="00E82873">
        <w:rPr>
          <w:rFonts w:ascii="Arial" w:hAnsi="Arial" w:cs="Arial"/>
          <w:color w:val="282828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where</w:t>
      </w:r>
      <w:r w:rsidRPr="00E82873">
        <w:rPr>
          <w:rFonts w:ascii="Arial" w:hAnsi="Arial" w:cs="Arial"/>
          <w:color w:val="070707"/>
          <w:spacing w:val="9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t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h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 xml:space="preserve">e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suc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c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essful</w:t>
      </w:r>
      <w:r w:rsidRPr="00E82873">
        <w:rPr>
          <w:rFonts w:ascii="Arial" w:hAnsi="Arial" w:cs="Arial"/>
          <w:color w:val="070707"/>
          <w:spacing w:val="7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bidders</w:t>
      </w:r>
      <w:r w:rsidRPr="00E82873">
        <w:rPr>
          <w:rFonts w:ascii="Arial" w:hAnsi="Arial" w:cs="Arial"/>
          <w:color w:val="070707"/>
          <w:spacing w:val="-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will</w:t>
      </w:r>
      <w:r w:rsidRPr="00E82873">
        <w:rPr>
          <w:rFonts w:ascii="Arial" w:hAnsi="Arial" w:cs="Arial"/>
          <w:color w:val="070707"/>
          <w:spacing w:val="3"/>
          <w:sz w:val="20"/>
          <w:szCs w:val="20"/>
          <w:lang w:eastAsia="en-ZA"/>
        </w:rPr>
        <w:t xml:space="preserve"> be scored on </w:t>
      </w:r>
      <w:r w:rsidRPr="00E82873">
        <w:rPr>
          <w:rFonts w:ascii="Arial" w:hAnsi="Arial" w:cs="Arial"/>
          <w:color w:val="070707"/>
          <w:spacing w:val="1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pric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e</w:t>
      </w:r>
      <w:r w:rsidRPr="00E82873">
        <w:rPr>
          <w:rFonts w:ascii="Arial" w:hAnsi="Arial" w:cs="Arial"/>
          <w:color w:val="171717"/>
          <w:spacing w:val="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and</w:t>
      </w:r>
      <w:r w:rsidRPr="00E82873">
        <w:rPr>
          <w:rFonts w:ascii="Arial" w:hAnsi="Arial" w:cs="Arial"/>
          <w:color w:val="070707"/>
          <w:spacing w:val="8"/>
          <w:sz w:val="20"/>
          <w:szCs w:val="20"/>
          <w:lang w:eastAsia="en-ZA"/>
        </w:rPr>
        <w:t xml:space="preserve"> </w:t>
      </w:r>
      <w:r w:rsidR="0036371B">
        <w:rPr>
          <w:rFonts w:ascii="Arial" w:hAnsi="Arial" w:cs="Arial"/>
          <w:color w:val="070707"/>
          <w:spacing w:val="8"/>
          <w:sz w:val="20"/>
          <w:szCs w:val="20"/>
          <w:lang w:eastAsia="en-ZA"/>
        </w:rPr>
        <w:t>Specific Goals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.</w:t>
      </w:r>
    </w:p>
    <w:p w14:paraId="1BF1B6F7" w14:textId="34B207DE" w:rsidR="00886632" w:rsidRPr="00E82873" w:rsidRDefault="00886632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lastRenderedPageBreak/>
        <w:t>Bids Documents Av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ailable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at 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KwaZulu – Natal Sharks Board, 1a </w:t>
      </w:r>
      <w:proofErr w:type="spellStart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Herrwood</w:t>
      </w:r>
      <w:proofErr w:type="spellEnd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Drive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, 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Umhlang</w:t>
      </w:r>
      <w:r w:rsidR="00FB7A69">
        <w:rPr>
          <w:rFonts w:ascii="Arial" w:eastAsia="Calibri" w:hAnsi="Arial" w:cs="Arial"/>
          <w:b/>
          <w:sz w:val="20"/>
          <w:szCs w:val="20"/>
          <w:lang w:val="en-US"/>
        </w:rPr>
        <w:t>a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5C2F30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      </w:t>
      </w:r>
      <w:r w:rsidR="00EF1F07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       </w:t>
      </w:r>
    </w:p>
    <w:p w14:paraId="2304F0EF" w14:textId="77777777" w:rsidR="00063026" w:rsidRPr="00E82873" w:rsidRDefault="00886632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Submission of Bids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: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Sealed envelopes clearly marked with the relevant bid 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>n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umber, Closing date and time and Bidders name must be deposited into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the bid box at the Sharks Board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premises at the Ground Floo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r, 1a </w:t>
      </w:r>
      <w:proofErr w:type="spellStart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Herrwood</w:t>
      </w:r>
      <w:proofErr w:type="spellEnd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Drive Mhlanga, 4320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14:paraId="0F9BB414" w14:textId="2F350245" w:rsidR="007C6EA3" w:rsidRPr="00E82873" w:rsidRDefault="00C12F24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NB: A</w:t>
      </w:r>
      <w:r w:rsidR="00C94B2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non – refundable deposit of R30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0.00 for the tender document is payable into KwaZulu – Natal Sharks Board bank account as mentioned below with reference “Tender”</w:t>
      </w:r>
      <w:r w:rsidR="009D5F86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.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The tend</w:t>
      </w:r>
      <w:r w:rsidR="002419B8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er document will be available </w:t>
      </w:r>
      <w:r w:rsidR="00DF21A1">
        <w:rPr>
          <w:rFonts w:ascii="Arial" w:eastAsia="Calibri" w:hAnsi="Arial" w:cs="Arial"/>
          <w:b/>
          <w:sz w:val="20"/>
          <w:szCs w:val="20"/>
          <w:lang w:val="en-US"/>
        </w:rPr>
        <w:t>1</w:t>
      </w:r>
      <w:r w:rsidR="009F107A">
        <w:rPr>
          <w:rFonts w:ascii="Arial" w:eastAsia="Calibri" w:hAnsi="Arial" w:cs="Arial"/>
          <w:b/>
          <w:sz w:val="20"/>
          <w:szCs w:val="20"/>
          <w:lang w:val="en-US"/>
        </w:rPr>
        <w:t>7 January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>20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>2</w:t>
      </w:r>
      <w:r w:rsidR="009F107A">
        <w:rPr>
          <w:rFonts w:ascii="Arial" w:eastAsia="Calibri" w:hAnsi="Arial" w:cs="Arial"/>
          <w:b/>
          <w:sz w:val="20"/>
          <w:szCs w:val="20"/>
          <w:lang w:val="en-US"/>
        </w:rPr>
        <w:t>4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and may be collected upon </w:t>
      </w:r>
      <w:r w:rsidR="009454CA" w:rsidRPr="00E82873">
        <w:rPr>
          <w:rFonts w:ascii="Arial" w:eastAsia="Calibri" w:hAnsi="Arial" w:cs="Arial"/>
          <w:b/>
          <w:sz w:val="20"/>
          <w:szCs w:val="20"/>
          <w:lang w:val="en-US"/>
        </w:rPr>
        <w:t>producing proof of payment (deposit slip: no cash will be accepted)</w:t>
      </w:r>
    </w:p>
    <w:p w14:paraId="63582008" w14:textId="77777777" w:rsidR="009D5F86" w:rsidRPr="00E82873" w:rsidRDefault="009D5F86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The Banking details are as follows: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Bank: ABSA, Account Number 1012341080,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Account Holder: KZN Sharks Board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, Branch: La Lucia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Ridge</w:t>
      </w:r>
      <w:r w:rsidR="00E25F08" w:rsidRPr="00E82873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14:paraId="46D1B8A9" w14:textId="56DE6C73" w:rsidR="00C94B22" w:rsidRPr="00E82873" w:rsidRDefault="00C94B22" w:rsidP="00196E8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An original valid Tax Clearance Certificate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with Pin</w:t>
      </w:r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>,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original valid B-BBEE Status Level Verification Certificate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>/</w:t>
      </w:r>
      <w:proofErr w:type="gramStart"/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>Sworn Affidavit</w:t>
      </w:r>
      <w:proofErr w:type="gramEnd"/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>, registration with NT Central Supplier Database, and 1 original and four (4) copies of bound proposal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247C1F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must </w:t>
      </w:r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be submitted with </w:t>
      </w:r>
      <w:r w:rsidR="00247C1F" w:rsidRPr="00E82873">
        <w:rPr>
          <w:rFonts w:ascii="Arial" w:eastAsia="Calibri" w:hAnsi="Arial" w:cs="Arial"/>
          <w:b/>
          <w:sz w:val="20"/>
          <w:szCs w:val="20"/>
          <w:lang w:val="en-US"/>
        </w:rPr>
        <w:t>the bid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14:paraId="1296267B" w14:textId="4846F663" w:rsidR="006A71EE" w:rsidRPr="00E82873" w:rsidRDefault="006A71EE" w:rsidP="00196E8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B54767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 xml:space="preserve">NB: Tender documents </w:t>
      </w:r>
      <w:r w:rsidR="002F52E2" w:rsidRPr="00B54767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>won’t</w:t>
      </w:r>
      <w:r w:rsidRPr="00B54767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 xml:space="preserve"> be </w:t>
      </w:r>
      <w:r w:rsidR="00411958" w:rsidRPr="00B54767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>issued</w:t>
      </w:r>
      <w:r w:rsidRPr="00B54767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>/collected on the briefing day</w:t>
      </w:r>
      <w:r w:rsidR="00411958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14:paraId="76A5F87E" w14:textId="77777777" w:rsidR="00C94B22" w:rsidRPr="00E06F8E" w:rsidRDefault="00C94B22" w:rsidP="003D378A">
      <w:pPr>
        <w:jc w:val="both"/>
        <w:rPr>
          <w:rFonts w:ascii="Arial" w:hAnsi="Arial" w:cs="Arial"/>
          <w:sz w:val="20"/>
          <w:szCs w:val="20"/>
        </w:rPr>
      </w:pPr>
    </w:p>
    <w:p w14:paraId="583AF674" w14:textId="77777777" w:rsidR="00C94B22" w:rsidRPr="00E06F8E" w:rsidRDefault="00C94B22">
      <w:pPr>
        <w:rPr>
          <w:rFonts w:ascii="Arial" w:hAnsi="Arial" w:cs="Arial"/>
          <w:sz w:val="20"/>
          <w:szCs w:val="20"/>
        </w:rPr>
      </w:pPr>
    </w:p>
    <w:sectPr w:rsidR="00C94B22" w:rsidRPr="00E06F8E" w:rsidSect="006F6FDD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764F" w14:textId="77777777" w:rsidR="006F6FDD" w:rsidRDefault="006F6FDD" w:rsidP="00711471">
      <w:pPr>
        <w:spacing w:after="0" w:line="240" w:lineRule="auto"/>
      </w:pPr>
      <w:r>
        <w:separator/>
      </w:r>
    </w:p>
  </w:endnote>
  <w:endnote w:type="continuationSeparator" w:id="0">
    <w:p w14:paraId="1314424C" w14:textId="77777777" w:rsidR="006F6FDD" w:rsidRDefault="006F6FDD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D56E34F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43F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695B3420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6925" w14:textId="77777777" w:rsidR="006F6FDD" w:rsidRDefault="006F6FDD" w:rsidP="00711471">
      <w:pPr>
        <w:spacing w:after="0" w:line="240" w:lineRule="auto"/>
      </w:pPr>
      <w:r>
        <w:separator/>
      </w:r>
    </w:p>
  </w:footnote>
  <w:footnote w:type="continuationSeparator" w:id="0">
    <w:p w14:paraId="5767392C" w14:textId="77777777" w:rsidR="006F6FDD" w:rsidRDefault="006F6FDD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A8C"/>
    <w:multiLevelType w:val="hybridMultilevel"/>
    <w:tmpl w:val="B8D09B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86C75"/>
    <w:multiLevelType w:val="hybridMultilevel"/>
    <w:tmpl w:val="5F0A72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A6CD9"/>
    <w:multiLevelType w:val="hybridMultilevel"/>
    <w:tmpl w:val="93BC0E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02E"/>
    <w:multiLevelType w:val="hybridMultilevel"/>
    <w:tmpl w:val="897018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3C68"/>
    <w:multiLevelType w:val="hybridMultilevel"/>
    <w:tmpl w:val="43267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A65"/>
    <w:multiLevelType w:val="hybridMultilevel"/>
    <w:tmpl w:val="D92616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24398"/>
    <w:multiLevelType w:val="hybridMultilevel"/>
    <w:tmpl w:val="EE6E7D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0481D"/>
    <w:multiLevelType w:val="hybridMultilevel"/>
    <w:tmpl w:val="F3B29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A3A5A"/>
    <w:multiLevelType w:val="hybridMultilevel"/>
    <w:tmpl w:val="A3C8B9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F0881"/>
    <w:multiLevelType w:val="hybridMultilevel"/>
    <w:tmpl w:val="46102A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310451"/>
    <w:multiLevelType w:val="hybridMultilevel"/>
    <w:tmpl w:val="99B677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011DD"/>
    <w:multiLevelType w:val="hybridMultilevel"/>
    <w:tmpl w:val="FE28F3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AF54E8"/>
    <w:multiLevelType w:val="hybridMultilevel"/>
    <w:tmpl w:val="93E6433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639326">
    <w:abstractNumId w:val="4"/>
  </w:num>
  <w:num w:numId="2" w16cid:durableId="910968712">
    <w:abstractNumId w:val="0"/>
  </w:num>
  <w:num w:numId="3" w16cid:durableId="297689263">
    <w:abstractNumId w:val="3"/>
  </w:num>
  <w:num w:numId="4" w16cid:durableId="1703355972">
    <w:abstractNumId w:val="9"/>
  </w:num>
  <w:num w:numId="5" w16cid:durableId="1129397865">
    <w:abstractNumId w:val="6"/>
  </w:num>
  <w:num w:numId="6" w16cid:durableId="236718476">
    <w:abstractNumId w:val="11"/>
  </w:num>
  <w:num w:numId="7" w16cid:durableId="639697245">
    <w:abstractNumId w:val="1"/>
  </w:num>
  <w:num w:numId="8" w16cid:durableId="1857772674">
    <w:abstractNumId w:val="10"/>
  </w:num>
  <w:num w:numId="9" w16cid:durableId="667710264">
    <w:abstractNumId w:val="8"/>
  </w:num>
  <w:num w:numId="10" w16cid:durableId="2120827770">
    <w:abstractNumId w:val="2"/>
  </w:num>
  <w:num w:numId="11" w16cid:durableId="1698699813">
    <w:abstractNumId w:val="5"/>
  </w:num>
  <w:num w:numId="12" w16cid:durableId="986739765">
    <w:abstractNumId w:val="7"/>
  </w:num>
  <w:num w:numId="13" w16cid:durableId="10551561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344D"/>
    <w:rsid w:val="00021218"/>
    <w:rsid w:val="0002234A"/>
    <w:rsid w:val="000405E4"/>
    <w:rsid w:val="000472B5"/>
    <w:rsid w:val="00055A02"/>
    <w:rsid w:val="00063026"/>
    <w:rsid w:val="0006427C"/>
    <w:rsid w:val="00065B59"/>
    <w:rsid w:val="000666FE"/>
    <w:rsid w:val="00084018"/>
    <w:rsid w:val="00086BF3"/>
    <w:rsid w:val="00095515"/>
    <w:rsid w:val="000B432A"/>
    <w:rsid w:val="000C0B69"/>
    <w:rsid w:val="000C3EF7"/>
    <w:rsid w:val="000C5637"/>
    <w:rsid w:val="000C5944"/>
    <w:rsid w:val="000C7ECC"/>
    <w:rsid w:val="000E0A27"/>
    <w:rsid w:val="000F3CEE"/>
    <w:rsid w:val="000F72D9"/>
    <w:rsid w:val="0010333A"/>
    <w:rsid w:val="00122481"/>
    <w:rsid w:val="00133947"/>
    <w:rsid w:val="00133F31"/>
    <w:rsid w:val="00135F18"/>
    <w:rsid w:val="00143DC3"/>
    <w:rsid w:val="001456C2"/>
    <w:rsid w:val="00170007"/>
    <w:rsid w:val="0017365F"/>
    <w:rsid w:val="00196E80"/>
    <w:rsid w:val="001A2DB2"/>
    <w:rsid w:val="001B57C0"/>
    <w:rsid w:val="001C7357"/>
    <w:rsid w:val="001E614E"/>
    <w:rsid w:val="00202B09"/>
    <w:rsid w:val="00205EFB"/>
    <w:rsid w:val="00231A2B"/>
    <w:rsid w:val="002419B8"/>
    <w:rsid w:val="00243D71"/>
    <w:rsid w:val="0024686F"/>
    <w:rsid w:val="00247C1F"/>
    <w:rsid w:val="00262BB8"/>
    <w:rsid w:val="002637AA"/>
    <w:rsid w:val="00284919"/>
    <w:rsid w:val="002B4957"/>
    <w:rsid w:val="002B5F11"/>
    <w:rsid w:val="002E0907"/>
    <w:rsid w:val="002E3336"/>
    <w:rsid w:val="002E37AB"/>
    <w:rsid w:val="002E5B54"/>
    <w:rsid w:val="002F52E2"/>
    <w:rsid w:val="003300A6"/>
    <w:rsid w:val="00334CCA"/>
    <w:rsid w:val="0036371B"/>
    <w:rsid w:val="00380CE6"/>
    <w:rsid w:val="00384E91"/>
    <w:rsid w:val="003A45B0"/>
    <w:rsid w:val="003D378A"/>
    <w:rsid w:val="003D61A1"/>
    <w:rsid w:val="00400332"/>
    <w:rsid w:val="00411958"/>
    <w:rsid w:val="00425F55"/>
    <w:rsid w:val="00431709"/>
    <w:rsid w:val="00446F3B"/>
    <w:rsid w:val="00456972"/>
    <w:rsid w:val="004678C0"/>
    <w:rsid w:val="00471D0A"/>
    <w:rsid w:val="004763B5"/>
    <w:rsid w:val="00476BA0"/>
    <w:rsid w:val="00492D60"/>
    <w:rsid w:val="004B6271"/>
    <w:rsid w:val="004C5241"/>
    <w:rsid w:val="004F09F5"/>
    <w:rsid w:val="005104C6"/>
    <w:rsid w:val="005133CD"/>
    <w:rsid w:val="00515926"/>
    <w:rsid w:val="00521339"/>
    <w:rsid w:val="005315D0"/>
    <w:rsid w:val="005517DF"/>
    <w:rsid w:val="00561F6D"/>
    <w:rsid w:val="00562948"/>
    <w:rsid w:val="00571282"/>
    <w:rsid w:val="0057304D"/>
    <w:rsid w:val="005A2B7E"/>
    <w:rsid w:val="005B4B0F"/>
    <w:rsid w:val="005C2F30"/>
    <w:rsid w:val="005C7990"/>
    <w:rsid w:val="005D46F8"/>
    <w:rsid w:val="005E6BCA"/>
    <w:rsid w:val="005E7EB9"/>
    <w:rsid w:val="005F2466"/>
    <w:rsid w:val="005F49E9"/>
    <w:rsid w:val="0060741F"/>
    <w:rsid w:val="0061164A"/>
    <w:rsid w:val="00614D03"/>
    <w:rsid w:val="006212BA"/>
    <w:rsid w:val="0062358A"/>
    <w:rsid w:val="00632174"/>
    <w:rsid w:val="00644A53"/>
    <w:rsid w:val="0066023F"/>
    <w:rsid w:val="00660FF2"/>
    <w:rsid w:val="00667972"/>
    <w:rsid w:val="006828D4"/>
    <w:rsid w:val="00692E5E"/>
    <w:rsid w:val="006A71EE"/>
    <w:rsid w:val="006B5E1D"/>
    <w:rsid w:val="006C4857"/>
    <w:rsid w:val="006C4A67"/>
    <w:rsid w:val="006F6FDD"/>
    <w:rsid w:val="00704A5B"/>
    <w:rsid w:val="00711471"/>
    <w:rsid w:val="0072250F"/>
    <w:rsid w:val="00724195"/>
    <w:rsid w:val="00725B62"/>
    <w:rsid w:val="00730F60"/>
    <w:rsid w:val="00731F2A"/>
    <w:rsid w:val="0077118D"/>
    <w:rsid w:val="00773D84"/>
    <w:rsid w:val="00794965"/>
    <w:rsid w:val="007B08AE"/>
    <w:rsid w:val="007B5E82"/>
    <w:rsid w:val="007B65AB"/>
    <w:rsid w:val="007C29AE"/>
    <w:rsid w:val="007C6BF7"/>
    <w:rsid w:val="007C6EA3"/>
    <w:rsid w:val="007D22AF"/>
    <w:rsid w:val="007D3FA7"/>
    <w:rsid w:val="007D4A14"/>
    <w:rsid w:val="007E7F6D"/>
    <w:rsid w:val="007F0EE5"/>
    <w:rsid w:val="00804BFD"/>
    <w:rsid w:val="00825B9B"/>
    <w:rsid w:val="0084051F"/>
    <w:rsid w:val="00840780"/>
    <w:rsid w:val="0084367A"/>
    <w:rsid w:val="0084630F"/>
    <w:rsid w:val="00886632"/>
    <w:rsid w:val="00890AF1"/>
    <w:rsid w:val="008948A3"/>
    <w:rsid w:val="008A39DD"/>
    <w:rsid w:val="008C7598"/>
    <w:rsid w:val="008D0EBB"/>
    <w:rsid w:val="008D616A"/>
    <w:rsid w:val="008F1680"/>
    <w:rsid w:val="00906193"/>
    <w:rsid w:val="0091263F"/>
    <w:rsid w:val="009173CC"/>
    <w:rsid w:val="00922786"/>
    <w:rsid w:val="00926D94"/>
    <w:rsid w:val="00933C43"/>
    <w:rsid w:val="009368B6"/>
    <w:rsid w:val="009454CA"/>
    <w:rsid w:val="0098346E"/>
    <w:rsid w:val="009859FA"/>
    <w:rsid w:val="00994467"/>
    <w:rsid w:val="009C14BF"/>
    <w:rsid w:val="009C4984"/>
    <w:rsid w:val="009D4895"/>
    <w:rsid w:val="009D5F86"/>
    <w:rsid w:val="009D69DF"/>
    <w:rsid w:val="009F107A"/>
    <w:rsid w:val="009F54A1"/>
    <w:rsid w:val="00A12BB7"/>
    <w:rsid w:val="00A214AD"/>
    <w:rsid w:val="00A36839"/>
    <w:rsid w:val="00A676F0"/>
    <w:rsid w:val="00A72DC9"/>
    <w:rsid w:val="00A90DAE"/>
    <w:rsid w:val="00A9230A"/>
    <w:rsid w:val="00A943DB"/>
    <w:rsid w:val="00AA57CE"/>
    <w:rsid w:val="00AB192F"/>
    <w:rsid w:val="00AB2445"/>
    <w:rsid w:val="00AB36D7"/>
    <w:rsid w:val="00AB4357"/>
    <w:rsid w:val="00AB538E"/>
    <w:rsid w:val="00AD3636"/>
    <w:rsid w:val="00AE235A"/>
    <w:rsid w:val="00B03F3A"/>
    <w:rsid w:val="00B05063"/>
    <w:rsid w:val="00B066CB"/>
    <w:rsid w:val="00B13FA0"/>
    <w:rsid w:val="00B30534"/>
    <w:rsid w:val="00B338A1"/>
    <w:rsid w:val="00B372AB"/>
    <w:rsid w:val="00B400EE"/>
    <w:rsid w:val="00B46420"/>
    <w:rsid w:val="00B533C7"/>
    <w:rsid w:val="00B54767"/>
    <w:rsid w:val="00B63117"/>
    <w:rsid w:val="00B7399D"/>
    <w:rsid w:val="00BA232A"/>
    <w:rsid w:val="00BB05C4"/>
    <w:rsid w:val="00BC5943"/>
    <w:rsid w:val="00BD5481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6F35"/>
    <w:rsid w:val="00C57CDA"/>
    <w:rsid w:val="00C82FB8"/>
    <w:rsid w:val="00C94B22"/>
    <w:rsid w:val="00CC0A06"/>
    <w:rsid w:val="00CC2FF9"/>
    <w:rsid w:val="00CD29C2"/>
    <w:rsid w:val="00CD715D"/>
    <w:rsid w:val="00CE793D"/>
    <w:rsid w:val="00D01C66"/>
    <w:rsid w:val="00D1223F"/>
    <w:rsid w:val="00D4443F"/>
    <w:rsid w:val="00D50D86"/>
    <w:rsid w:val="00D57F38"/>
    <w:rsid w:val="00D61B76"/>
    <w:rsid w:val="00D70511"/>
    <w:rsid w:val="00D75F7C"/>
    <w:rsid w:val="00D85E91"/>
    <w:rsid w:val="00D93C23"/>
    <w:rsid w:val="00DA21F0"/>
    <w:rsid w:val="00DB073B"/>
    <w:rsid w:val="00DB0AE4"/>
    <w:rsid w:val="00DB39D8"/>
    <w:rsid w:val="00DE4180"/>
    <w:rsid w:val="00DE76CC"/>
    <w:rsid w:val="00DF21A1"/>
    <w:rsid w:val="00E06F8E"/>
    <w:rsid w:val="00E1721A"/>
    <w:rsid w:val="00E25F08"/>
    <w:rsid w:val="00E5477F"/>
    <w:rsid w:val="00E60D5D"/>
    <w:rsid w:val="00E61CDE"/>
    <w:rsid w:val="00E62E58"/>
    <w:rsid w:val="00E665AD"/>
    <w:rsid w:val="00E67B3A"/>
    <w:rsid w:val="00E74F6C"/>
    <w:rsid w:val="00E82873"/>
    <w:rsid w:val="00E829BF"/>
    <w:rsid w:val="00E940E8"/>
    <w:rsid w:val="00EB34F0"/>
    <w:rsid w:val="00EB6FD6"/>
    <w:rsid w:val="00EF0726"/>
    <w:rsid w:val="00EF1F07"/>
    <w:rsid w:val="00EF359C"/>
    <w:rsid w:val="00EF7588"/>
    <w:rsid w:val="00EF7EE3"/>
    <w:rsid w:val="00F40D72"/>
    <w:rsid w:val="00F422C8"/>
    <w:rsid w:val="00F55C32"/>
    <w:rsid w:val="00F67372"/>
    <w:rsid w:val="00F75FC4"/>
    <w:rsid w:val="00F85A19"/>
    <w:rsid w:val="00F85CEA"/>
    <w:rsid w:val="00FB5B9A"/>
    <w:rsid w:val="00FB7A69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5239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paragraph" w:customStyle="1" w:styleId="Default">
    <w:name w:val="Default"/>
    <w:rsid w:val="00086BF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0EB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3217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3217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zelemu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nkululeko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BA28-BAE3-4FE8-990B-1463966E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nonkululeko khumalo</cp:lastModifiedBy>
  <cp:revision>7</cp:revision>
  <cp:lastPrinted>2015-11-05T09:37:00Z</cp:lastPrinted>
  <dcterms:created xsi:type="dcterms:W3CDTF">2024-01-16T07:03:00Z</dcterms:created>
  <dcterms:modified xsi:type="dcterms:W3CDTF">2024-01-16T07:22:00Z</dcterms:modified>
</cp:coreProperties>
</file>