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CC77" w14:textId="241C1DD2" w:rsidR="008A25CB" w:rsidRPr="00571A51" w:rsidRDefault="008A25CB" w:rsidP="008A25CB">
      <w:pPr>
        <w:jc w:val="center"/>
        <w:rPr>
          <w:rFonts w:cstheme="minorHAnsi"/>
          <w:b/>
          <w:bCs/>
          <w:color w:val="000000" w:themeColor="text1"/>
        </w:rPr>
      </w:pPr>
      <w:r w:rsidRPr="00571A51">
        <w:rPr>
          <w:rFonts w:cstheme="minorHAnsi"/>
          <w:b/>
          <w:bCs/>
          <w:color w:val="000000" w:themeColor="text1"/>
        </w:rPr>
        <w:t>TERMS OF REFERENCE</w:t>
      </w:r>
    </w:p>
    <w:p w14:paraId="5DBAB531" w14:textId="7656E96C" w:rsidR="005B3E0E" w:rsidRPr="00571A51" w:rsidRDefault="005B3E0E" w:rsidP="005B3E0E">
      <w:pPr>
        <w:jc w:val="center"/>
        <w:rPr>
          <w:rFonts w:cstheme="minorHAnsi"/>
          <w:color w:val="000000" w:themeColor="text1"/>
          <w:shd w:val="clear" w:color="auto" w:fill="FFFFFF"/>
        </w:rPr>
      </w:pPr>
      <w:r w:rsidRPr="00571A51">
        <w:rPr>
          <w:rFonts w:cstheme="minorHAnsi"/>
          <w:color w:val="000000" w:themeColor="text1"/>
          <w:shd w:val="clear" w:color="auto" w:fill="FFFFFF"/>
        </w:rPr>
        <w:t xml:space="preserve">Terms of Reference – </w:t>
      </w:r>
      <w:r w:rsidR="00BC2F31" w:rsidRPr="00571A51">
        <w:rPr>
          <w:rFonts w:cstheme="minorHAnsi"/>
          <w:color w:val="000000" w:themeColor="text1"/>
          <w:shd w:val="clear" w:color="auto" w:fill="FFFFFF"/>
        </w:rPr>
        <w:t>B-B</w:t>
      </w:r>
      <w:r w:rsidRPr="00571A51">
        <w:rPr>
          <w:rFonts w:cstheme="minorHAnsi"/>
          <w:color w:val="000000" w:themeColor="text1"/>
        </w:rPr>
        <w:t>BEE Transformation,</w:t>
      </w:r>
      <w:r w:rsidRPr="00571A51">
        <w:rPr>
          <w:rFonts w:cstheme="minorHAnsi"/>
          <w:color w:val="000000" w:themeColor="text1"/>
          <w:shd w:val="clear" w:color="auto" w:fill="FFFFFF"/>
        </w:rPr>
        <w:t xml:space="preserve"> advisory and support services</w:t>
      </w:r>
    </w:p>
    <w:p w14:paraId="60F217A6" w14:textId="77777777" w:rsidR="005B3E0E" w:rsidRPr="00571A51" w:rsidRDefault="005B3E0E" w:rsidP="008A25CB">
      <w:pPr>
        <w:jc w:val="center"/>
        <w:rPr>
          <w:rFonts w:cstheme="minorHAnsi"/>
          <w:b/>
          <w:bCs/>
          <w:color w:val="000000" w:themeColor="text1"/>
        </w:rPr>
      </w:pPr>
    </w:p>
    <w:p w14:paraId="17A6168D" w14:textId="43C0C616" w:rsidR="00F25B4E" w:rsidRPr="00571A51" w:rsidRDefault="008A25CB">
      <w:pPr>
        <w:rPr>
          <w:rFonts w:cstheme="minorHAnsi"/>
          <w:b/>
          <w:bCs/>
          <w:color w:val="000000" w:themeColor="text1"/>
        </w:rPr>
      </w:pPr>
      <w:r w:rsidRPr="00571A51">
        <w:rPr>
          <w:rFonts w:cstheme="minorHAnsi"/>
          <w:color w:val="000000" w:themeColor="text1"/>
        </w:rPr>
        <w:t xml:space="preserve">Appointment of a service provider </w:t>
      </w:r>
      <w:r w:rsidR="008D7BB8" w:rsidRPr="00571A51">
        <w:rPr>
          <w:rFonts w:cstheme="minorHAnsi"/>
          <w:color w:val="000000" w:themeColor="text1"/>
        </w:rPr>
        <w:t>as</w:t>
      </w:r>
      <w:r w:rsidR="00855E24" w:rsidRPr="00571A51">
        <w:rPr>
          <w:rFonts w:cstheme="minorHAnsi"/>
          <w:color w:val="000000" w:themeColor="text1"/>
        </w:rPr>
        <w:t xml:space="preserve"> </w:t>
      </w:r>
      <w:r w:rsidRPr="00571A51">
        <w:rPr>
          <w:rFonts w:cstheme="minorHAnsi"/>
          <w:color w:val="000000" w:themeColor="text1"/>
        </w:rPr>
        <w:t xml:space="preserve">the B-BBEE </w:t>
      </w:r>
      <w:r w:rsidR="004B5203" w:rsidRPr="00571A51">
        <w:rPr>
          <w:rFonts w:cstheme="minorHAnsi"/>
          <w:color w:val="000000" w:themeColor="text1"/>
        </w:rPr>
        <w:t>transformation</w:t>
      </w:r>
      <w:r w:rsidRPr="00571A51">
        <w:rPr>
          <w:rFonts w:cstheme="minorHAnsi"/>
          <w:color w:val="000000" w:themeColor="text1"/>
        </w:rPr>
        <w:t xml:space="preserve"> agency for a period of 3 years</w:t>
      </w:r>
    </w:p>
    <w:p w14:paraId="3243BEEB" w14:textId="77777777" w:rsidR="008A25CB" w:rsidRPr="00571A51" w:rsidRDefault="008A25CB">
      <w:pPr>
        <w:rPr>
          <w:rFonts w:cstheme="minorHAnsi"/>
          <w:b/>
          <w:bCs/>
          <w:color w:val="000000" w:themeColor="text1"/>
        </w:rPr>
      </w:pPr>
    </w:p>
    <w:p w14:paraId="0CEDA7EF" w14:textId="5208AF8E" w:rsidR="00047959" w:rsidRPr="00571A51" w:rsidRDefault="00C1022C">
      <w:pPr>
        <w:rPr>
          <w:rFonts w:cstheme="minorHAnsi"/>
          <w:b/>
          <w:bCs/>
          <w:color w:val="000000" w:themeColor="text1"/>
        </w:rPr>
      </w:pPr>
      <w:r w:rsidRPr="00571A51">
        <w:rPr>
          <w:rFonts w:cstheme="minorHAnsi"/>
          <w:b/>
          <w:bCs/>
          <w:color w:val="000000" w:themeColor="text1"/>
        </w:rPr>
        <w:t>1</w:t>
      </w:r>
      <w:r w:rsidR="00F467E1" w:rsidRPr="00571A51">
        <w:rPr>
          <w:rFonts w:cstheme="minorHAnsi"/>
          <w:b/>
          <w:bCs/>
          <w:color w:val="000000" w:themeColor="text1"/>
        </w:rPr>
        <w:t>.</w:t>
      </w:r>
      <w:r w:rsidRPr="00571A51">
        <w:rPr>
          <w:rFonts w:cstheme="minorHAnsi"/>
          <w:b/>
          <w:bCs/>
          <w:color w:val="000000" w:themeColor="text1"/>
        </w:rPr>
        <w:t xml:space="preserve"> </w:t>
      </w:r>
      <w:r w:rsidR="00047959" w:rsidRPr="00571A51">
        <w:rPr>
          <w:rFonts w:cstheme="minorHAnsi"/>
          <w:b/>
          <w:bCs/>
          <w:color w:val="000000" w:themeColor="text1"/>
        </w:rPr>
        <w:t>BACKGROUND</w:t>
      </w:r>
    </w:p>
    <w:p w14:paraId="7012B3F2" w14:textId="77777777" w:rsidR="00FE7CF7" w:rsidRPr="00571A51" w:rsidRDefault="00FE7CF7" w:rsidP="00FE7CF7">
      <w:pPr>
        <w:spacing w:after="0"/>
        <w:ind w:right="61"/>
        <w:jc w:val="both"/>
        <w:rPr>
          <w:rFonts w:eastAsia="Arial" w:cstheme="minorHAnsi"/>
          <w:bCs/>
          <w:color w:val="000000" w:themeColor="text1"/>
        </w:rPr>
      </w:pPr>
      <w:r w:rsidRPr="00571A51">
        <w:rPr>
          <w:rFonts w:eastAsia="Arial" w:cstheme="minorHAnsi"/>
          <w:bCs/>
          <w:color w:val="000000" w:themeColor="text1"/>
        </w:rPr>
        <w:t>The Human Sciences Research Council (HSRC) is a Schedule 3 (A) national public entity in terms of the Public Finance Management Act (PFMA) 1999 (Act No.1 of 1999 as amended). The HSRC is governed by a Board appointed by the Minister of Higher Education, Science and Innovation. In delivering ‘social science that makes a difference’ in South Africa and the region, the Research Programmes and Units of the Human Sciences Research Council initiate and undertake policy-oriented research projects and programmes from its offices in Cape Town, Durban, Pietermaritzburg, and Pretoria. Its public-purpose mandate is set out in the Human Sciences Research Council Act of 2008.</w:t>
      </w:r>
    </w:p>
    <w:p w14:paraId="54164C77" w14:textId="77777777" w:rsidR="00047959" w:rsidRPr="00571A51" w:rsidRDefault="00047959">
      <w:pPr>
        <w:rPr>
          <w:rFonts w:cstheme="minorHAnsi"/>
          <w:color w:val="000000" w:themeColor="text1"/>
        </w:rPr>
      </w:pPr>
    </w:p>
    <w:p w14:paraId="2332AEAF" w14:textId="28A04687" w:rsidR="00FE7CF7" w:rsidRPr="00571A51" w:rsidRDefault="00FE7CF7">
      <w:p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 xml:space="preserve">These are the official terms of reference (TORs) commissioned by HSRC for the appointment of a service provider to perform a B-BBEE </w:t>
      </w:r>
      <w:r w:rsidR="00846006" w:rsidRPr="00571A51">
        <w:rPr>
          <w:rFonts w:cstheme="minorHAnsi"/>
          <w:color w:val="000000" w:themeColor="text1"/>
        </w:rPr>
        <w:t>transformation</w:t>
      </w:r>
      <w:r w:rsidR="00E1389E" w:rsidRPr="00571A51">
        <w:rPr>
          <w:rFonts w:cstheme="minorHAnsi"/>
          <w:color w:val="000000" w:themeColor="text1"/>
        </w:rPr>
        <w:t>, advisory</w:t>
      </w:r>
      <w:r w:rsidR="00BC218F">
        <w:rPr>
          <w:rFonts w:cstheme="minorHAnsi"/>
          <w:color w:val="000000" w:themeColor="text1"/>
        </w:rPr>
        <w:t>,</w:t>
      </w:r>
      <w:r w:rsidR="00E1389E" w:rsidRPr="00571A51">
        <w:rPr>
          <w:rFonts w:cstheme="minorHAnsi"/>
          <w:color w:val="000000" w:themeColor="text1"/>
        </w:rPr>
        <w:t xml:space="preserve"> and support services</w:t>
      </w:r>
      <w:r w:rsidR="00B75CA5" w:rsidRPr="00571A51">
        <w:rPr>
          <w:rFonts w:cstheme="minorHAnsi"/>
          <w:color w:val="000000" w:themeColor="text1"/>
        </w:rPr>
        <w:t xml:space="preserve"> for HSRC</w:t>
      </w:r>
      <w:r w:rsidR="00937BA4" w:rsidRPr="00571A51">
        <w:rPr>
          <w:rFonts w:cstheme="minorHAnsi"/>
          <w:color w:val="000000" w:themeColor="text1"/>
        </w:rPr>
        <w:t>.</w:t>
      </w:r>
    </w:p>
    <w:p w14:paraId="36A996B9" w14:textId="77777777" w:rsidR="00047959" w:rsidRPr="00571A51" w:rsidRDefault="00047959">
      <w:pPr>
        <w:rPr>
          <w:rFonts w:cstheme="minorHAnsi"/>
          <w:color w:val="000000" w:themeColor="text1"/>
        </w:rPr>
      </w:pPr>
    </w:p>
    <w:p w14:paraId="750FB99D" w14:textId="768064D8" w:rsidR="00047959" w:rsidRPr="00571A51" w:rsidRDefault="00047959">
      <w:p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>Please note the following regarding HSRC</w:t>
      </w:r>
    </w:p>
    <w:p w14:paraId="76FE3641" w14:textId="31C693CA" w:rsidR="00047959" w:rsidRPr="00571A51" w:rsidRDefault="00047959">
      <w:p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>•HSRC is a schedule 3A public entity reporting directly to DSI.</w:t>
      </w:r>
    </w:p>
    <w:p w14:paraId="61E50C12" w14:textId="7102529F" w:rsidR="00D7399E" w:rsidRPr="00571A51" w:rsidRDefault="00047959">
      <w:p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 xml:space="preserve"> • Currently have </w:t>
      </w:r>
      <w:proofErr w:type="gramStart"/>
      <w:r w:rsidR="00E22C55">
        <w:rPr>
          <w:rFonts w:cstheme="minorHAnsi"/>
          <w:color w:val="000000" w:themeColor="text1"/>
        </w:rPr>
        <w:t xml:space="preserve">about </w:t>
      </w:r>
      <w:r w:rsidR="00B97757">
        <w:rPr>
          <w:rFonts w:cstheme="minorHAnsi"/>
          <w:color w:val="000000" w:themeColor="text1"/>
        </w:rPr>
        <w:t> 400</w:t>
      </w:r>
      <w:proofErr w:type="gramEnd"/>
      <w:r w:rsidR="00B97757">
        <w:rPr>
          <w:rFonts w:cstheme="minorHAnsi"/>
          <w:color w:val="000000" w:themeColor="text1"/>
        </w:rPr>
        <w:t xml:space="preserve"> </w:t>
      </w:r>
      <w:r w:rsidRPr="00571A51">
        <w:rPr>
          <w:rFonts w:cstheme="minorHAnsi"/>
          <w:color w:val="000000" w:themeColor="text1"/>
        </w:rPr>
        <w:t xml:space="preserve">employees. </w:t>
      </w:r>
    </w:p>
    <w:p w14:paraId="4FC4023E" w14:textId="77777777" w:rsidR="00047959" w:rsidRPr="00571A51" w:rsidRDefault="00047959">
      <w:pPr>
        <w:rPr>
          <w:rFonts w:cstheme="minorHAnsi"/>
          <w:color w:val="000000" w:themeColor="text1"/>
        </w:rPr>
      </w:pPr>
    </w:p>
    <w:p w14:paraId="29123F97" w14:textId="41F4D2FD" w:rsidR="003568F4" w:rsidRPr="00571A51" w:rsidRDefault="00C1022C">
      <w:pPr>
        <w:rPr>
          <w:rFonts w:cstheme="minorHAnsi"/>
          <w:b/>
          <w:bCs/>
          <w:color w:val="000000" w:themeColor="text1"/>
        </w:rPr>
      </w:pPr>
      <w:r w:rsidRPr="00571A51">
        <w:rPr>
          <w:rFonts w:cstheme="minorHAnsi"/>
          <w:b/>
          <w:bCs/>
          <w:color w:val="000000" w:themeColor="text1"/>
        </w:rPr>
        <w:t>2</w:t>
      </w:r>
      <w:r w:rsidR="00F467E1" w:rsidRPr="00571A51">
        <w:rPr>
          <w:rFonts w:cstheme="minorHAnsi"/>
          <w:b/>
          <w:bCs/>
          <w:color w:val="000000" w:themeColor="text1"/>
        </w:rPr>
        <w:t>.</w:t>
      </w:r>
      <w:r w:rsidRPr="00571A51">
        <w:rPr>
          <w:rFonts w:cstheme="minorHAnsi"/>
          <w:b/>
          <w:bCs/>
          <w:color w:val="000000" w:themeColor="text1"/>
        </w:rPr>
        <w:t xml:space="preserve"> </w:t>
      </w:r>
      <w:r w:rsidR="003568F4" w:rsidRPr="00571A51">
        <w:rPr>
          <w:rFonts w:cstheme="minorHAnsi"/>
          <w:b/>
          <w:bCs/>
          <w:color w:val="000000" w:themeColor="text1"/>
        </w:rPr>
        <w:t xml:space="preserve">INVITATION FOR PROPOSALS </w:t>
      </w:r>
    </w:p>
    <w:p w14:paraId="54A1D0A2" w14:textId="468C5E5F" w:rsidR="003568F4" w:rsidRPr="00571A51" w:rsidRDefault="003568F4">
      <w:p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 xml:space="preserve">These </w:t>
      </w:r>
      <w:r w:rsidR="004F6185">
        <w:rPr>
          <w:rFonts w:cstheme="minorHAnsi"/>
          <w:color w:val="000000" w:themeColor="text1"/>
        </w:rPr>
        <w:t>T</w:t>
      </w:r>
      <w:r w:rsidRPr="00571A51">
        <w:rPr>
          <w:rFonts w:cstheme="minorHAnsi"/>
          <w:color w:val="000000" w:themeColor="text1"/>
        </w:rPr>
        <w:t xml:space="preserve">erms of </w:t>
      </w:r>
      <w:r w:rsidR="004F6185">
        <w:rPr>
          <w:rFonts w:cstheme="minorHAnsi"/>
          <w:color w:val="000000" w:themeColor="text1"/>
        </w:rPr>
        <w:t>R</w:t>
      </w:r>
      <w:r w:rsidRPr="00571A51">
        <w:rPr>
          <w:rFonts w:cstheme="minorHAnsi"/>
          <w:color w:val="000000" w:themeColor="text1"/>
        </w:rPr>
        <w:t>eference are intended to provide a scope of work and deliverables to appoint B</w:t>
      </w:r>
      <w:r w:rsidR="00705FED" w:rsidRPr="00571A51">
        <w:rPr>
          <w:rFonts w:cstheme="minorHAnsi"/>
          <w:color w:val="000000" w:themeColor="text1"/>
        </w:rPr>
        <w:t>-</w:t>
      </w:r>
      <w:proofErr w:type="gramStart"/>
      <w:r w:rsidRPr="00571A51">
        <w:rPr>
          <w:rFonts w:cstheme="minorHAnsi"/>
          <w:color w:val="000000" w:themeColor="text1"/>
        </w:rPr>
        <w:t>BBEE  agency</w:t>
      </w:r>
      <w:proofErr w:type="gramEnd"/>
      <w:r w:rsidRPr="00571A51">
        <w:rPr>
          <w:rFonts w:cstheme="minorHAnsi"/>
          <w:color w:val="000000" w:themeColor="text1"/>
        </w:rPr>
        <w:t xml:space="preserve"> to compile a </w:t>
      </w:r>
      <w:r w:rsidR="00937BA4" w:rsidRPr="00571A51">
        <w:rPr>
          <w:rFonts w:cstheme="minorHAnsi"/>
          <w:color w:val="000000" w:themeColor="text1"/>
        </w:rPr>
        <w:t xml:space="preserve">B-BBEE </w:t>
      </w:r>
      <w:r w:rsidR="003B3928">
        <w:rPr>
          <w:rFonts w:cstheme="minorHAnsi"/>
          <w:color w:val="000000" w:themeColor="text1"/>
        </w:rPr>
        <w:t>T</w:t>
      </w:r>
      <w:r w:rsidR="00937BA4" w:rsidRPr="00571A51">
        <w:rPr>
          <w:rFonts w:cstheme="minorHAnsi"/>
          <w:color w:val="000000" w:themeColor="text1"/>
        </w:rPr>
        <w:t xml:space="preserve">ransformation </w:t>
      </w:r>
      <w:r w:rsidR="003B3928">
        <w:rPr>
          <w:rFonts w:cstheme="minorHAnsi"/>
          <w:color w:val="000000" w:themeColor="text1"/>
        </w:rPr>
        <w:t>P</w:t>
      </w:r>
      <w:r w:rsidR="00937BA4" w:rsidRPr="00571A51">
        <w:rPr>
          <w:rFonts w:cstheme="minorHAnsi"/>
          <w:color w:val="000000" w:themeColor="text1"/>
        </w:rPr>
        <w:t>lan</w:t>
      </w:r>
      <w:r w:rsidRPr="00571A51">
        <w:rPr>
          <w:rFonts w:cstheme="minorHAnsi"/>
          <w:color w:val="000000" w:themeColor="text1"/>
        </w:rPr>
        <w:t xml:space="preserve">, </w:t>
      </w:r>
      <w:r w:rsidR="00705FED" w:rsidRPr="00571A51">
        <w:rPr>
          <w:rFonts w:cstheme="minorHAnsi"/>
          <w:color w:val="000000" w:themeColor="text1"/>
        </w:rPr>
        <w:t>including advisory and support services</w:t>
      </w:r>
      <w:r w:rsidRPr="00571A51">
        <w:rPr>
          <w:rFonts w:cstheme="minorHAnsi"/>
          <w:color w:val="000000" w:themeColor="text1"/>
        </w:rPr>
        <w:t xml:space="preserve"> for </w:t>
      </w:r>
      <w:r w:rsidR="00EF42DB" w:rsidRPr="00571A51">
        <w:rPr>
          <w:rFonts w:cstheme="minorHAnsi"/>
          <w:color w:val="000000" w:themeColor="text1"/>
        </w:rPr>
        <w:t>3 years</w:t>
      </w:r>
      <w:r w:rsidRPr="00571A51">
        <w:rPr>
          <w:rFonts w:cstheme="minorHAnsi"/>
          <w:color w:val="000000" w:themeColor="text1"/>
        </w:rPr>
        <w:t>.</w:t>
      </w:r>
    </w:p>
    <w:p w14:paraId="5D86D097" w14:textId="77777777" w:rsidR="003568F4" w:rsidRPr="00571A51" w:rsidRDefault="003568F4">
      <w:pPr>
        <w:rPr>
          <w:rFonts w:cstheme="minorHAnsi"/>
          <w:color w:val="000000" w:themeColor="text1"/>
        </w:rPr>
      </w:pPr>
    </w:p>
    <w:p w14:paraId="6BEB330D" w14:textId="138457D3" w:rsidR="003568F4" w:rsidRPr="00571A51" w:rsidRDefault="00417FBB">
      <w:pPr>
        <w:rPr>
          <w:rFonts w:cstheme="minorHAnsi"/>
          <w:b/>
          <w:bCs/>
          <w:color w:val="000000" w:themeColor="text1"/>
        </w:rPr>
      </w:pPr>
      <w:r w:rsidRPr="00571A51">
        <w:rPr>
          <w:rFonts w:cstheme="minorHAnsi"/>
          <w:b/>
          <w:bCs/>
          <w:color w:val="000000" w:themeColor="text1"/>
        </w:rPr>
        <w:t>3</w:t>
      </w:r>
      <w:r w:rsidR="006B7761" w:rsidRPr="00571A51">
        <w:rPr>
          <w:rFonts w:cstheme="minorHAnsi"/>
          <w:b/>
          <w:bCs/>
          <w:color w:val="000000" w:themeColor="text1"/>
        </w:rPr>
        <w:t>.</w:t>
      </w:r>
      <w:r w:rsidRPr="00571A51">
        <w:rPr>
          <w:rFonts w:cstheme="minorHAnsi"/>
          <w:b/>
          <w:bCs/>
          <w:color w:val="000000" w:themeColor="text1"/>
        </w:rPr>
        <w:t xml:space="preserve"> </w:t>
      </w:r>
      <w:r w:rsidR="003568F4" w:rsidRPr="00571A51">
        <w:rPr>
          <w:rFonts w:cstheme="minorHAnsi"/>
          <w:b/>
          <w:bCs/>
          <w:color w:val="000000" w:themeColor="text1"/>
        </w:rPr>
        <w:t xml:space="preserve">SCOPE OF WORK </w:t>
      </w:r>
    </w:p>
    <w:p w14:paraId="497898A7" w14:textId="77777777" w:rsidR="00465BA1" w:rsidRPr="00571A51" w:rsidRDefault="003568F4" w:rsidP="00465BA1">
      <w:p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>The appointed service provider will be expected to perform the following services as duties and responsibilities.</w:t>
      </w:r>
    </w:p>
    <w:p w14:paraId="1CB679B5" w14:textId="0EA3FB5D" w:rsidR="006A63E9" w:rsidRPr="00571A51" w:rsidRDefault="006A63E9" w:rsidP="006A63E9">
      <w:pPr>
        <w:pStyle w:val="ListParagraph"/>
        <w:numPr>
          <w:ilvl w:val="0"/>
          <w:numId w:val="6"/>
        </w:numPr>
        <w:spacing w:line="252" w:lineRule="auto"/>
        <w:textAlignment w:val="baseline"/>
        <w:rPr>
          <w:rFonts w:eastAsia="Times New Roman" w:cstheme="minorHAnsi"/>
          <w:color w:val="000000" w:themeColor="text1"/>
        </w:rPr>
      </w:pPr>
      <w:r w:rsidRPr="00571A51">
        <w:rPr>
          <w:rFonts w:eastAsia="Times New Roman" w:cstheme="minorHAnsi"/>
          <w:color w:val="000000" w:themeColor="text1"/>
        </w:rPr>
        <w:t xml:space="preserve">Review the current status, re-evaluate, and </w:t>
      </w:r>
      <w:hyperlink r:id="rId7" w:history="1">
        <w:r w:rsidRPr="00571A51">
          <w:rPr>
            <w:rStyle w:val="Hyperlink"/>
            <w:rFonts w:eastAsia="Times New Roman" w:cstheme="minorHAnsi"/>
            <w:color w:val="000000" w:themeColor="text1"/>
          </w:rPr>
          <w:t>validate the HSRC's current B</w:t>
        </w:r>
        <w:r w:rsidR="00581F71">
          <w:rPr>
            <w:rStyle w:val="Hyperlink"/>
            <w:rFonts w:eastAsia="Times New Roman" w:cstheme="minorHAnsi"/>
            <w:color w:val="000000" w:themeColor="text1"/>
          </w:rPr>
          <w:t>BB</w:t>
        </w:r>
        <w:r w:rsidRPr="00571A51">
          <w:rPr>
            <w:rStyle w:val="Hyperlink"/>
            <w:rFonts w:eastAsia="Times New Roman" w:cstheme="minorHAnsi"/>
            <w:color w:val="000000" w:themeColor="text1"/>
          </w:rPr>
          <w:t>E</w:t>
        </w:r>
        <w:r w:rsidR="00A73279">
          <w:rPr>
            <w:rStyle w:val="Hyperlink"/>
            <w:rFonts w:eastAsia="Times New Roman" w:cstheme="minorHAnsi"/>
            <w:color w:val="000000" w:themeColor="text1"/>
          </w:rPr>
          <w:t>E</w:t>
        </w:r>
        <w:r w:rsidRPr="00571A51">
          <w:rPr>
            <w:rStyle w:val="Hyperlink"/>
            <w:rFonts w:eastAsia="Times New Roman" w:cstheme="minorHAnsi"/>
            <w:color w:val="000000" w:themeColor="text1"/>
          </w:rPr>
          <w:t xml:space="preserve"> plan. </w:t>
        </w:r>
      </w:hyperlink>
      <w:r w:rsidRPr="00571A51">
        <w:rPr>
          <w:rFonts w:eastAsia="Times New Roman" w:cstheme="minorHAnsi"/>
          <w:color w:val="000000" w:themeColor="text1"/>
        </w:rPr>
        <w:t>Thereafter migrate it into an effective transformation plan. The B</w:t>
      </w:r>
      <w:r w:rsidR="00581F71">
        <w:rPr>
          <w:rFonts w:eastAsia="Times New Roman" w:cstheme="minorHAnsi"/>
          <w:color w:val="000000" w:themeColor="text1"/>
        </w:rPr>
        <w:t>BB</w:t>
      </w:r>
      <w:r w:rsidRPr="00571A51">
        <w:rPr>
          <w:rFonts w:eastAsia="Times New Roman" w:cstheme="minorHAnsi"/>
          <w:color w:val="000000" w:themeColor="text1"/>
        </w:rPr>
        <w:t>EE transformation plan provides HSRC with a competitive advantage.</w:t>
      </w:r>
    </w:p>
    <w:p w14:paraId="1F67C8E8" w14:textId="519F7BE4" w:rsidR="006A63E9" w:rsidRPr="00571A51" w:rsidRDefault="005A55FE" w:rsidP="006A63E9">
      <w:pPr>
        <w:pStyle w:val="ListParagraph"/>
        <w:numPr>
          <w:ilvl w:val="0"/>
          <w:numId w:val="7"/>
        </w:numPr>
        <w:spacing w:line="252" w:lineRule="auto"/>
        <w:rPr>
          <w:rFonts w:eastAsia="Times New Roman" w:cstheme="minorHAnsi"/>
          <w:color w:val="000000" w:themeColor="text1"/>
          <w:bdr w:val="none" w:sz="0" w:space="0" w:color="auto" w:frame="1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I</w:t>
      </w:r>
      <w:r w:rsidR="006A63E9" w:rsidRPr="00571A51">
        <w:rPr>
          <w:rFonts w:eastAsia="Times New Roman" w:cstheme="minorHAnsi"/>
          <w:color w:val="000000" w:themeColor="text1"/>
          <w:shd w:val="clear" w:color="auto" w:fill="FFFFFF"/>
        </w:rPr>
        <w:t>ncorporate a delivery-orientated approach with proven methodologies that have been tested in the marketplace to deliver an increased B</w:t>
      </w:r>
      <w:r w:rsidR="00581F71">
        <w:rPr>
          <w:rFonts w:eastAsia="Times New Roman" w:cstheme="minorHAnsi"/>
          <w:color w:val="000000" w:themeColor="text1"/>
          <w:shd w:val="clear" w:color="auto" w:fill="FFFFFF"/>
        </w:rPr>
        <w:t>BB</w:t>
      </w:r>
      <w:r w:rsidR="006A63E9" w:rsidRPr="00571A51">
        <w:rPr>
          <w:rFonts w:eastAsia="Times New Roman" w:cstheme="minorHAnsi"/>
          <w:color w:val="000000" w:themeColor="text1"/>
          <w:shd w:val="clear" w:color="auto" w:fill="FFFFFF"/>
        </w:rPr>
        <w:t>EE rating/scoring for HSRC.</w:t>
      </w:r>
    </w:p>
    <w:p w14:paraId="6B932FF0" w14:textId="5B4CD2D6" w:rsidR="006A63E9" w:rsidRPr="00571A51" w:rsidRDefault="005A55FE" w:rsidP="006A63E9">
      <w:pPr>
        <w:pStyle w:val="ListParagraph"/>
        <w:numPr>
          <w:ilvl w:val="0"/>
          <w:numId w:val="7"/>
        </w:numPr>
        <w:spacing w:line="252" w:lineRule="auto"/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P</w:t>
      </w:r>
      <w:r w:rsidR="006A63E9" w:rsidRPr="00571A51">
        <w:rPr>
          <w:rFonts w:eastAsia="Times New Roman" w:cstheme="minorHAnsi"/>
          <w:color w:val="000000" w:themeColor="text1"/>
          <w:shd w:val="clear" w:color="auto" w:fill="FFFFFF"/>
        </w:rPr>
        <w:t xml:space="preserve">rovide the HSRC with </w:t>
      </w:r>
      <w:r w:rsidR="006A3699">
        <w:rPr>
          <w:rFonts w:eastAsia="Times New Roman" w:cstheme="minorHAnsi"/>
          <w:color w:val="000000" w:themeColor="text1"/>
          <w:shd w:val="clear" w:color="auto" w:fill="FFFFFF"/>
        </w:rPr>
        <w:t xml:space="preserve">the </w:t>
      </w:r>
      <w:r w:rsidR="00CC3500">
        <w:rPr>
          <w:rFonts w:eastAsia="Times New Roman" w:cstheme="minorHAnsi"/>
          <w:color w:val="000000" w:themeColor="text1"/>
          <w:shd w:val="clear" w:color="auto" w:fill="FFFFFF"/>
        </w:rPr>
        <w:t>capability to</w:t>
      </w:r>
      <w:r w:rsidR="006A63E9" w:rsidRPr="00571A51">
        <w:rPr>
          <w:rFonts w:eastAsia="Times New Roman" w:cstheme="minorHAnsi"/>
          <w:color w:val="000000" w:themeColor="text1"/>
          <w:shd w:val="clear" w:color="auto" w:fill="FFFFFF"/>
        </w:rPr>
        <w:t xml:space="preserve"> undertake strategy development, organizational transformation, B</w:t>
      </w:r>
      <w:r w:rsidR="00E04392">
        <w:rPr>
          <w:rFonts w:eastAsia="Times New Roman" w:cstheme="minorHAnsi"/>
          <w:color w:val="000000" w:themeColor="text1"/>
          <w:shd w:val="clear" w:color="auto" w:fill="FFFFFF"/>
        </w:rPr>
        <w:t>BB</w:t>
      </w:r>
      <w:r w:rsidR="006A63E9" w:rsidRPr="00571A51">
        <w:rPr>
          <w:rFonts w:eastAsia="Times New Roman" w:cstheme="minorHAnsi"/>
          <w:color w:val="000000" w:themeColor="text1"/>
          <w:shd w:val="clear" w:color="auto" w:fill="FFFFFF"/>
        </w:rPr>
        <w:t>E</w:t>
      </w:r>
      <w:r w:rsidR="006A3699">
        <w:rPr>
          <w:rFonts w:eastAsia="Times New Roman" w:cstheme="minorHAnsi"/>
          <w:color w:val="000000" w:themeColor="text1"/>
          <w:shd w:val="clear" w:color="auto" w:fill="FFFFFF"/>
        </w:rPr>
        <w:t>E</w:t>
      </w:r>
      <w:r w:rsidR="006A63E9" w:rsidRPr="00571A51">
        <w:rPr>
          <w:rFonts w:eastAsia="Times New Roman" w:cstheme="minorHAnsi"/>
          <w:color w:val="000000" w:themeColor="text1"/>
          <w:shd w:val="clear" w:color="auto" w:fill="FFFFFF"/>
        </w:rPr>
        <w:t xml:space="preserve"> implementation, due diligence, and training skills.</w:t>
      </w:r>
    </w:p>
    <w:p w14:paraId="71F20EB9" w14:textId="0E4D5F7A" w:rsidR="006A63E9" w:rsidRDefault="00FD1EE1" w:rsidP="006A63E9">
      <w:pPr>
        <w:pStyle w:val="ListParagraph"/>
        <w:numPr>
          <w:ilvl w:val="0"/>
          <w:numId w:val="7"/>
        </w:numPr>
        <w:spacing w:line="252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Assist the HSRC t</w:t>
      </w:r>
      <w:r w:rsidR="006A63E9" w:rsidRPr="00571A51">
        <w:rPr>
          <w:rFonts w:eastAsia="Times New Roman" w:cstheme="minorHAnsi"/>
          <w:color w:val="000000" w:themeColor="text1"/>
        </w:rPr>
        <w:t>o approach all the stages of transformation, from the initial stage of understanding B</w:t>
      </w:r>
      <w:r w:rsidR="009A099E">
        <w:rPr>
          <w:rFonts w:eastAsia="Times New Roman" w:cstheme="minorHAnsi"/>
          <w:color w:val="000000" w:themeColor="text1"/>
        </w:rPr>
        <w:t>BB</w:t>
      </w:r>
      <w:r w:rsidR="006A63E9" w:rsidRPr="00571A51">
        <w:rPr>
          <w:rFonts w:eastAsia="Times New Roman" w:cstheme="minorHAnsi"/>
          <w:color w:val="000000" w:themeColor="text1"/>
        </w:rPr>
        <w:t>EE to building a B</w:t>
      </w:r>
      <w:r w:rsidR="009A099E">
        <w:rPr>
          <w:rFonts w:eastAsia="Times New Roman" w:cstheme="minorHAnsi"/>
          <w:color w:val="000000" w:themeColor="text1"/>
        </w:rPr>
        <w:t>BB</w:t>
      </w:r>
      <w:r w:rsidR="006A63E9" w:rsidRPr="00571A51">
        <w:rPr>
          <w:rFonts w:eastAsia="Times New Roman" w:cstheme="minorHAnsi"/>
          <w:color w:val="000000" w:themeColor="text1"/>
        </w:rPr>
        <w:t xml:space="preserve">EE strategy </w:t>
      </w:r>
      <w:r w:rsidR="009A099E">
        <w:rPr>
          <w:rFonts w:eastAsia="Times New Roman" w:cstheme="minorHAnsi"/>
          <w:color w:val="000000" w:themeColor="text1"/>
        </w:rPr>
        <w:t xml:space="preserve">and policy </w:t>
      </w:r>
      <w:r w:rsidR="006A63E9" w:rsidRPr="00571A51">
        <w:rPr>
          <w:rFonts w:eastAsia="Times New Roman" w:cstheme="minorHAnsi"/>
          <w:color w:val="000000" w:themeColor="text1"/>
        </w:rPr>
        <w:t xml:space="preserve">and onto the implementation </w:t>
      </w:r>
      <w:r w:rsidR="006A63E9" w:rsidRPr="00571A51">
        <w:rPr>
          <w:rFonts w:eastAsia="Times New Roman" w:cstheme="minorHAnsi"/>
          <w:color w:val="000000" w:themeColor="text1"/>
        </w:rPr>
        <w:lastRenderedPageBreak/>
        <w:t xml:space="preserve">and monitoring of the strategy. This approach is to be underpinned by </w:t>
      </w:r>
      <w:r w:rsidR="009A099E">
        <w:rPr>
          <w:rFonts w:eastAsia="Times New Roman" w:cstheme="minorHAnsi"/>
          <w:color w:val="000000" w:themeColor="text1"/>
        </w:rPr>
        <w:t>a</w:t>
      </w:r>
      <w:r w:rsidR="006A63E9" w:rsidRPr="00571A51">
        <w:rPr>
          <w:rFonts w:eastAsia="Times New Roman" w:cstheme="minorHAnsi"/>
          <w:color w:val="000000" w:themeColor="text1"/>
        </w:rPr>
        <w:t xml:space="preserve"> </w:t>
      </w:r>
      <w:r w:rsidR="00145BE4">
        <w:rPr>
          <w:rFonts w:eastAsia="Times New Roman" w:cstheme="minorHAnsi"/>
          <w:color w:val="000000" w:themeColor="text1"/>
        </w:rPr>
        <w:t>change management</w:t>
      </w:r>
      <w:r w:rsidR="006A63E9" w:rsidRPr="00571A51">
        <w:rPr>
          <w:rFonts w:eastAsia="Times New Roman" w:cstheme="minorHAnsi"/>
          <w:color w:val="000000" w:themeColor="text1"/>
        </w:rPr>
        <w:t xml:space="preserve"> approach to equip the HSRC in-house champions with a firm foundation in B</w:t>
      </w:r>
      <w:r w:rsidR="0064319C">
        <w:rPr>
          <w:rFonts w:eastAsia="Times New Roman" w:cstheme="minorHAnsi"/>
          <w:color w:val="000000" w:themeColor="text1"/>
        </w:rPr>
        <w:t>BE</w:t>
      </w:r>
      <w:r w:rsidR="006A63E9" w:rsidRPr="00571A51">
        <w:rPr>
          <w:rFonts w:eastAsia="Times New Roman" w:cstheme="minorHAnsi"/>
          <w:color w:val="000000" w:themeColor="text1"/>
        </w:rPr>
        <w:t xml:space="preserve">EE. </w:t>
      </w:r>
    </w:p>
    <w:p w14:paraId="49548936" w14:textId="1E403C2E" w:rsidR="00F027FE" w:rsidRPr="00571A51" w:rsidRDefault="00F027FE" w:rsidP="006A63E9">
      <w:pPr>
        <w:pStyle w:val="ListParagraph"/>
        <w:numPr>
          <w:ilvl w:val="0"/>
          <w:numId w:val="7"/>
        </w:numPr>
        <w:spacing w:line="252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Conduct inhouse training for all the internal stakeholders under each pillar</w:t>
      </w:r>
      <w:r w:rsidR="005032CA">
        <w:rPr>
          <w:rFonts w:eastAsia="Times New Roman" w:cstheme="minorHAnsi"/>
          <w:color w:val="000000" w:themeColor="text1"/>
        </w:rPr>
        <w:t>.</w:t>
      </w:r>
    </w:p>
    <w:p w14:paraId="22BAD5B8" w14:textId="3DD05757" w:rsidR="006A63E9" w:rsidRPr="00571A51" w:rsidRDefault="006A63E9" w:rsidP="006A63E9">
      <w:pPr>
        <w:pStyle w:val="ListParagraph"/>
        <w:numPr>
          <w:ilvl w:val="0"/>
          <w:numId w:val="6"/>
        </w:numPr>
        <w:spacing w:line="252" w:lineRule="auto"/>
        <w:textAlignment w:val="baseline"/>
        <w:rPr>
          <w:rFonts w:eastAsia="Times New Roman" w:cstheme="minorHAnsi"/>
          <w:color w:val="000000" w:themeColor="text1"/>
        </w:rPr>
      </w:pPr>
      <w:r w:rsidRPr="00571A51">
        <w:rPr>
          <w:rFonts w:eastAsia="Times New Roman" w:cstheme="minorHAnsi"/>
          <w:color w:val="000000" w:themeColor="text1"/>
          <w:shd w:val="clear" w:color="auto" w:fill="FFFFFF"/>
        </w:rPr>
        <w:t>To assist the HSRC in developing a strategic B</w:t>
      </w:r>
      <w:r w:rsidR="00E04392">
        <w:rPr>
          <w:rFonts w:eastAsia="Times New Roman" w:cstheme="minorHAnsi"/>
          <w:color w:val="000000" w:themeColor="text1"/>
          <w:shd w:val="clear" w:color="auto" w:fill="FFFFFF"/>
        </w:rPr>
        <w:t>BB</w:t>
      </w:r>
      <w:r w:rsidRPr="00571A51">
        <w:rPr>
          <w:rFonts w:eastAsia="Times New Roman" w:cstheme="minorHAnsi"/>
          <w:color w:val="000000" w:themeColor="text1"/>
          <w:shd w:val="clear" w:color="auto" w:fill="FFFFFF"/>
        </w:rPr>
        <w:t>EE roadmap to assist the HSRC’s transformation objectives.</w:t>
      </w:r>
      <w:r w:rsidRPr="00571A51">
        <w:rPr>
          <w:rFonts w:eastAsia="Times New Roman" w:cstheme="minorHAnsi"/>
          <w:color w:val="000000" w:themeColor="text1"/>
        </w:rPr>
        <w:t xml:space="preserve"> Should not be limited to developing and implementing the transformation process but also aid in communicating it with HSRC stakeholders.</w:t>
      </w:r>
    </w:p>
    <w:p w14:paraId="121C45F2" w14:textId="520CD6A7" w:rsidR="006A63E9" w:rsidRPr="00571A51" w:rsidRDefault="006A63E9" w:rsidP="006A63E9">
      <w:pPr>
        <w:pStyle w:val="ListParagraph"/>
        <w:numPr>
          <w:ilvl w:val="0"/>
          <w:numId w:val="7"/>
        </w:numPr>
        <w:spacing w:line="252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571A51">
        <w:rPr>
          <w:rFonts w:eastAsia="Times New Roman" w:cstheme="minorHAnsi"/>
          <w:color w:val="000000" w:themeColor="text1"/>
          <w:shd w:val="clear" w:color="auto" w:fill="FFFFFF"/>
        </w:rPr>
        <w:t>BBBEE Scorecard track and provision of the necessary training to manage in addition to recording of information</w:t>
      </w:r>
      <w:r w:rsidR="005F2B9C">
        <w:rPr>
          <w:rFonts w:eastAsia="Times New Roman" w:cstheme="minorHAnsi"/>
          <w:color w:val="000000" w:themeColor="text1"/>
          <w:shd w:val="clear" w:color="auto" w:fill="FFFFFF"/>
        </w:rPr>
        <w:t xml:space="preserve">. </w:t>
      </w:r>
      <w:r w:rsidRPr="00571A51"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</w:p>
    <w:p w14:paraId="61B41DF8" w14:textId="2E59474E" w:rsidR="006A63E9" w:rsidRPr="00571A51" w:rsidRDefault="006A63E9" w:rsidP="006A63E9">
      <w:pPr>
        <w:pStyle w:val="ListParagraph"/>
        <w:numPr>
          <w:ilvl w:val="0"/>
          <w:numId w:val="7"/>
        </w:numPr>
        <w:spacing w:line="252" w:lineRule="auto"/>
        <w:textAlignment w:val="baseline"/>
        <w:rPr>
          <w:rFonts w:eastAsia="Times New Roman" w:cstheme="minorHAnsi"/>
          <w:color w:val="000000" w:themeColor="text1"/>
        </w:rPr>
      </w:pPr>
      <w:r w:rsidRPr="00571A51">
        <w:rPr>
          <w:rFonts w:eastAsia="Times New Roman" w:cstheme="minorHAnsi"/>
          <w:color w:val="000000" w:themeColor="text1"/>
        </w:rPr>
        <w:t>Five years of experience with evidence of successful transformation.</w:t>
      </w:r>
    </w:p>
    <w:p w14:paraId="55EE90C1" w14:textId="5B190CFF" w:rsidR="006A63E9" w:rsidRPr="00571A51" w:rsidRDefault="006A63E9" w:rsidP="006A63E9">
      <w:pPr>
        <w:pStyle w:val="ListParagraph"/>
        <w:numPr>
          <w:ilvl w:val="0"/>
          <w:numId w:val="7"/>
        </w:numPr>
        <w:spacing w:line="252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571A51">
        <w:rPr>
          <w:rFonts w:eastAsia="Times New Roman" w:cstheme="minorHAnsi"/>
          <w:color w:val="000000" w:themeColor="text1"/>
          <w:shd w:val="clear" w:color="auto" w:fill="FFFFFF"/>
        </w:rPr>
        <w:t xml:space="preserve">Tender Preparations - </w:t>
      </w:r>
      <w:r w:rsidRPr="00571A51">
        <w:rPr>
          <w:rStyle w:val="Strong"/>
          <w:rFonts w:eastAsia="Times New Roman" w:cstheme="minorHAnsi"/>
          <w:color w:val="000000" w:themeColor="text1"/>
        </w:rPr>
        <w:t>PPPFA</w:t>
      </w:r>
      <w:r w:rsidRPr="00571A51">
        <w:rPr>
          <w:rFonts w:eastAsia="Times New Roman" w:cstheme="minorHAnsi"/>
          <w:color w:val="000000" w:themeColor="text1"/>
          <w:shd w:val="clear" w:color="auto" w:fill="FFFFFF"/>
        </w:rPr>
        <w:t xml:space="preserve"> aligned with the aims of </w:t>
      </w:r>
      <w:r w:rsidR="00BC218F">
        <w:rPr>
          <w:rFonts w:eastAsia="Times New Roman" w:cstheme="minorHAnsi"/>
          <w:color w:val="000000" w:themeColor="text1"/>
          <w:shd w:val="clear" w:color="auto" w:fill="FFFFFF"/>
        </w:rPr>
        <w:t xml:space="preserve">the </w:t>
      </w:r>
      <w:r w:rsidRPr="00571A51">
        <w:rPr>
          <w:rFonts w:eastAsia="Times New Roman" w:cstheme="minorHAnsi"/>
          <w:color w:val="000000" w:themeColor="text1"/>
          <w:shd w:val="clear" w:color="auto" w:fill="FFFFFF"/>
        </w:rPr>
        <w:t>B-BBEE Act and its Codes of Good Practice</w:t>
      </w:r>
      <w:r w:rsidR="005F2B9C">
        <w:rPr>
          <w:rFonts w:eastAsia="Times New Roman" w:cstheme="minorHAnsi"/>
          <w:color w:val="000000" w:themeColor="text1"/>
          <w:shd w:val="clear" w:color="auto" w:fill="FFFFFF"/>
        </w:rPr>
        <w:t>.</w:t>
      </w:r>
      <w:r w:rsidRPr="00571A51"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</w:p>
    <w:p w14:paraId="627EE1DC" w14:textId="77777777" w:rsidR="001551D9" w:rsidRPr="00571A51" w:rsidRDefault="001551D9">
      <w:pPr>
        <w:rPr>
          <w:rFonts w:cstheme="minorHAnsi"/>
          <w:color w:val="000000" w:themeColor="text1"/>
        </w:rPr>
      </w:pPr>
    </w:p>
    <w:p w14:paraId="395F345F" w14:textId="77777777" w:rsidR="002859BA" w:rsidRPr="00571A51" w:rsidRDefault="001551D9">
      <w:pPr>
        <w:rPr>
          <w:rFonts w:cstheme="minorHAnsi"/>
          <w:b/>
          <w:bCs/>
          <w:color w:val="000000" w:themeColor="text1"/>
        </w:rPr>
      </w:pPr>
      <w:r w:rsidRPr="00571A51">
        <w:rPr>
          <w:rFonts w:cstheme="minorHAnsi"/>
          <w:b/>
          <w:bCs/>
          <w:color w:val="000000" w:themeColor="text1"/>
        </w:rPr>
        <w:t>4. TIMING AND DELIVERY</w:t>
      </w:r>
    </w:p>
    <w:p w14:paraId="7D1ED553" w14:textId="32114ECF" w:rsidR="001551D9" w:rsidRPr="00571A51" w:rsidRDefault="001551D9">
      <w:p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 xml:space="preserve"> The project will run </w:t>
      </w:r>
      <w:r w:rsidR="00DE04FE" w:rsidRPr="00571A51">
        <w:rPr>
          <w:rFonts w:cstheme="minorHAnsi"/>
          <w:color w:val="000000" w:themeColor="text1"/>
        </w:rPr>
        <w:t xml:space="preserve">for a period of </w:t>
      </w:r>
      <w:r w:rsidR="00EA05C8" w:rsidRPr="00571A51">
        <w:rPr>
          <w:rFonts w:cstheme="minorHAnsi"/>
          <w:color w:val="000000" w:themeColor="text1"/>
        </w:rPr>
        <w:t xml:space="preserve">3 </w:t>
      </w:r>
      <w:r w:rsidR="00DE04FE" w:rsidRPr="00571A51">
        <w:rPr>
          <w:rFonts w:cstheme="minorHAnsi"/>
          <w:color w:val="000000" w:themeColor="text1"/>
        </w:rPr>
        <w:t>years</w:t>
      </w:r>
      <w:r w:rsidRPr="00571A51">
        <w:rPr>
          <w:rFonts w:cstheme="minorHAnsi"/>
          <w:color w:val="000000" w:themeColor="text1"/>
        </w:rPr>
        <w:t xml:space="preserve">. The expected </w:t>
      </w:r>
      <w:r w:rsidR="00DE04FE" w:rsidRPr="00571A51">
        <w:rPr>
          <w:rFonts w:cstheme="minorHAnsi"/>
          <w:color w:val="000000" w:themeColor="text1"/>
        </w:rPr>
        <w:t>commencement</w:t>
      </w:r>
      <w:r w:rsidR="00056C6B" w:rsidRPr="00571A51">
        <w:rPr>
          <w:rFonts w:cstheme="minorHAnsi"/>
          <w:color w:val="000000" w:themeColor="text1"/>
        </w:rPr>
        <w:t xml:space="preserve"> </w:t>
      </w:r>
      <w:r w:rsidRPr="00571A51">
        <w:rPr>
          <w:rFonts w:cstheme="minorHAnsi"/>
          <w:color w:val="000000" w:themeColor="text1"/>
        </w:rPr>
        <w:t>date - will be communicated once the service provider is appointed.</w:t>
      </w:r>
    </w:p>
    <w:p w14:paraId="1B5BD4BB" w14:textId="77777777" w:rsidR="002859BA" w:rsidRPr="008B71C5" w:rsidRDefault="001551D9">
      <w:pPr>
        <w:rPr>
          <w:rFonts w:cstheme="minorHAnsi"/>
          <w:b/>
          <w:color w:val="000000" w:themeColor="text1"/>
        </w:rPr>
      </w:pPr>
      <w:r w:rsidRPr="008B71C5">
        <w:rPr>
          <w:rFonts w:cstheme="minorHAnsi"/>
          <w:b/>
          <w:color w:val="000000" w:themeColor="text1"/>
        </w:rPr>
        <w:t xml:space="preserve"> 5. SUBMISSION OF PROPOSALS AND QUALIFYING CRITERIA</w:t>
      </w:r>
    </w:p>
    <w:p w14:paraId="78D2A19B" w14:textId="4E479F8B" w:rsidR="002859BA" w:rsidRPr="00571A51" w:rsidRDefault="001551D9">
      <w:p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 xml:space="preserve"> • Pre-qualification criteria (failure to follow </w:t>
      </w:r>
      <w:r w:rsidR="00681010" w:rsidRPr="00571A51">
        <w:rPr>
          <w:rFonts w:cstheme="minorHAnsi"/>
          <w:color w:val="000000" w:themeColor="text1"/>
        </w:rPr>
        <w:t xml:space="preserve">the </w:t>
      </w:r>
      <w:r w:rsidRPr="00571A51">
        <w:rPr>
          <w:rFonts w:cstheme="minorHAnsi"/>
          <w:color w:val="000000" w:themeColor="text1"/>
        </w:rPr>
        <w:t xml:space="preserve">below criterion will result in disqualification) </w:t>
      </w:r>
    </w:p>
    <w:p w14:paraId="5497B1C2" w14:textId="43F5F495" w:rsidR="002859BA" w:rsidRPr="00571A51" w:rsidRDefault="001551D9">
      <w:p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 xml:space="preserve">a) </w:t>
      </w:r>
      <w:r w:rsidR="005D07ED" w:rsidRPr="00571A51">
        <w:rPr>
          <w:rFonts w:cstheme="minorHAnsi"/>
          <w:color w:val="000000" w:themeColor="text1"/>
        </w:rPr>
        <w:t>Previously or currently serve as SANAS Technical Assistant</w:t>
      </w:r>
      <w:r w:rsidR="005D07ED">
        <w:rPr>
          <w:rFonts w:cstheme="minorHAnsi"/>
          <w:color w:val="000000" w:themeColor="text1"/>
        </w:rPr>
        <w:t xml:space="preserve">. </w:t>
      </w:r>
      <w:r w:rsidRPr="00571A51">
        <w:rPr>
          <w:rFonts w:cstheme="minorHAnsi"/>
          <w:color w:val="000000" w:themeColor="text1"/>
        </w:rPr>
        <w:t xml:space="preserve"> </w:t>
      </w:r>
    </w:p>
    <w:p w14:paraId="0A3ECDAD" w14:textId="3A31FB91" w:rsidR="0014259E" w:rsidRDefault="008B71C5" w:rsidP="00B2526F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</w:t>
      </w:r>
      <w:r w:rsidR="001551D9" w:rsidRPr="00571A51">
        <w:rPr>
          <w:rFonts w:cstheme="minorHAnsi"/>
          <w:color w:val="000000" w:themeColor="text1"/>
        </w:rPr>
        <w:t>) Price/quotation (Amount must include all taxes) An all-inclusive quotation as per the price schedule below.</w:t>
      </w:r>
    </w:p>
    <w:p w14:paraId="324850C2" w14:textId="719D9A02" w:rsidR="0097381D" w:rsidRPr="00571A51" w:rsidRDefault="008B71C5" w:rsidP="00145BE4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</w:t>
      </w:r>
      <w:r w:rsidR="00145BE4">
        <w:rPr>
          <w:rFonts w:cstheme="minorHAnsi"/>
          <w:color w:val="000000" w:themeColor="text1"/>
        </w:rPr>
        <w:t xml:space="preserve">) </w:t>
      </w:r>
      <w:r w:rsidR="0097381D" w:rsidRPr="00571A51">
        <w:rPr>
          <w:rFonts w:cstheme="minorHAnsi"/>
          <w:color w:val="000000" w:themeColor="text1"/>
        </w:rPr>
        <w:t xml:space="preserve">Provide proof of </w:t>
      </w:r>
      <w:r w:rsidR="0097381D">
        <w:rPr>
          <w:rFonts w:cstheme="minorHAnsi"/>
          <w:color w:val="000000" w:themeColor="text1"/>
        </w:rPr>
        <w:t>certification/</w:t>
      </w:r>
      <w:r w:rsidR="0097381D" w:rsidRPr="00571A51">
        <w:rPr>
          <w:rFonts w:cstheme="minorHAnsi"/>
          <w:color w:val="000000" w:themeColor="text1"/>
        </w:rPr>
        <w:t>qualification specifically in the field of B</w:t>
      </w:r>
      <w:r w:rsidR="002D7301">
        <w:rPr>
          <w:rFonts w:cstheme="minorHAnsi"/>
          <w:color w:val="000000" w:themeColor="text1"/>
        </w:rPr>
        <w:t>BB</w:t>
      </w:r>
      <w:r w:rsidR="0097381D" w:rsidRPr="00571A51">
        <w:rPr>
          <w:rFonts w:cstheme="minorHAnsi"/>
          <w:color w:val="000000" w:themeColor="text1"/>
        </w:rPr>
        <w:t>EE transformation.</w:t>
      </w:r>
      <w:r w:rsidR="0097381D">
        <w:rPr>
          <w:rFonts w:cstheme="minorHAnsi"/>
          <w:color w:val="000000" w:themeColor="text1"/>
        </w:rPr>
        <w:t xml:space="preserve"> </w:t>
      </w:r>
      <w:r w:rsidR="0097381D" w:rsidRPr="00571A51">
        <w:rPr>
          <w:rFonts w:cstheme="minorHAnsi"/>
          <w:color w:val="000000" w:themeColor="text1"/>
        </w:rPr>
        <w:t xml:space="preserve">Provide proof of membership to </w:t>
      </w:r>
      <w:r w:rsidR="0097381D">
        <w:rPr>
          <w:rFonts w:cstheme="minorHAnsi"/>
          <w:color w:val="000000" w:themeColor="text1"/>
        </w:rPr>
        <w:t xml:space="preserve">the </w:t>
      </w:r>
      <w:r w:rsidR="0097381D" w:rsidRPr="00571A51">
        <w:rPr>
          <w:rFonts w:cstheme="minorHAnsi"/>
          <w:color w:val="000000" w:themeColor="text1"/>
        </w:rPr>
        <w:t xml:space="preserve">affiliation of professional Tax management bodies.  </w:t>
      </w:r>
    </w:p>
    <w:p w14:paraId="6747BE18" w14:textId="0647FEBE" w:rsidR="00784C30" w:rsidRDefault="00784C30" w:rsidP="00B2526F">
      <w:pPr>
        <w:rPr>
          <w:rFonts w:cstheme="minorHAnsi"/>
          <w:color w:val="000000" w:themeColor="text1"/>
        </w:rPr>
      </w:pPr>
    </w:p>
    <w:p w14:paraId="130481A3" w14:textId="2EEE100D" w:rsidR="008B71C5" w:rsidRDefault="008B71C5" w:rsidP="00B2526F">
      <w:pPr>
        <w:rPr>
          <w:rFonts w:cstheme="minorHAnsi"/>
          <w:color w:val="000000" w:themeColor="text1"/>
        </w:rPr>
      </w:pPr>
    </w:p>
    <w:p w14:paraId="7DEA8149" w14:textId="286EC110" w:rsidR="008B71C5" w:rsidRDefault="008B71C5" w:rsidP="00B2526F">
      <w:pPr>
        <w:rPr>
          <w:rFonts w:cstheme="minorHAnsi"/>
          <w:color w:val="000000" w:themeColor="text1"/>
        </w:rPr>
      </w:pPr>
    </w:p>
    <w:p w14:paraId="3BF139E3" w14:textId="30468059" w:rsidR="008B71C5" w:rsidRDefault="008B71C5" w:rsidP="00B2526F">
      <w:pPr>
        <w:rPr>
          <w:rFonts w:cstheme="minorHAnsi"/>
          <w:color w:val="000000" w:themeColor="text1"/>
        </w:rPr>
      </w:pPr>
    </w:p>
    <w:p w14:paraId="1BB6A9BB" w14:textId="499A24C7" w:rsidR="008B71C5" w:rsidRDefault="008B71C5" w:rsidP="00B2526F">
      <w:pPr>
        <w:rPr>
          <w:rFonts w:cstheme="minorHAnsi"/>
          <w:color w:val="000000" w:themeColor="text1"/>
        </w:rPr>
      </w:pPr>
    </w:p>
    <w:p w14:paraId="3981C8D3" w14:textId="43021B06" w:rsidR="008B71C5" w:rsidRDefault="008B71C5" w:rsidP="00B2526F">
      <w:pPr>
        <w:rPr>
          <w:rFonts w:cstheme="minorHAnsi"/>
          <w:color w:val="000000" w:themeColor="text1"/>
        </w:rPr>
      </w:pPr>
    </w:p>
    <w:p w14:paraId="42D37CE3" w14:textId="466AE3C9" w:rsidR="008B71C5" w:rsidRDefault="008B71C5" w:rsidP="00B2526F">
      <w:pPr>
        <w:rPr>
          <w:rFonts w:cstheme="minorHAnsi"/>
          <w:color w:val="000000" w:themeColor="text1"/>
        </w:rPr>
      </w:pPr>
    </w:p>
    <w:p w14:paraId="0DB16F43" w14:textId="6B061DA0" w:rsidR="008B71C5" w:rsidRDefault="008B71C5" w:rsidP="00B2526F">
      <w:pPr>
        <w:rPr>
          <w:rFonts w:cstheme="minorHAnsi"/>
          <w:color w:val="000000" w:themeColor="text1"/>
        </w:rPr>
      </w:pPr>
    </w:p>
    <w:p w14:paraId="64AB7D7B" w14:textId="21F9C95A" w:rsidR="008B71C5" w:rsidRDefault="008B71C5" w:rsidP="00B2526F">
      <w:pPr>
        <w:rPr>
          <w:rFonts w:cstheme="minorHAnsi"/>
          <w:color w:val="000000" w:themeColor="text1"/>
        </w:rPr>
      </w:pPr>
    </w:p>
    <w:p w14:paraId="06AE4A3B" w14:textId="67626650" w:rsidR="008B71C5" w:rsidRDefault="008B71C5" w:rsidP="00B2526F">
      <w:pPr>
        <w:rPr>
          <w:rFonts w:cstheme="minorHAnsi"/>
          <w:color w:val="000000" w:themeColor="text1"/>
        </w:rPr>
      </w:pPr>
    </w:p>
    <w:p w14:paraId="44FC03B2" w14:textId="1326AE71" w:rsidR="008B71C5" w:rsidRDefault="008B71C5" w:rsidP="00B2526F">
      <w:pPr>
        <w:rPr>
          <w:rFonts w:cstheme="minorHAnsi"/>
          <w:color w:val="000000" w:themeColor="text1"/>
        </w:rPr>
      </w:pPr>
    </w:p>
    <w:p w14:paraId="4DFED24F" w14:textId="43D6EF73" w:rsidR="008B71C5" w:rsidRDefault="008B71C5" w:rsidP="00B2526F">
      <w:pPr>
        <w:rPr>
          <w:rFonts w:cstheme="minorHAnsi"/>
          <w:color w:val="000000" w:themeColor="text1"/>
        </w:rPr>
      </w:pPr>
    </w:p>
    <w:p w14:paraId="27ACE4F2" w14:textId="77777777" w:rsidR="008B71C5" w:rsidRPr="00571A51" w:rsidRDefault="008B71C5" w:rsidP="00B2526F">
      <w:pPr>
        <w:rPr>
          <w:rFonts w:cstheme="minorHAnsi"/>
          <w:color w:val="000000" w:themeColor="text1"/>
        </w:rPr>
      </w:pPr>
    </w:p>
    <w:p w14:paraId="320F12B5" w14:textId="77777777" w:rsidR="00784C30" w:rsidRPr="00571A51" w:rsidRDefault="00784C30" w:rsidP="00B2526F">
      <w:pPr>
        <w:rPr>
          <w:rFonts w:cstheme="minorHAnsi"/>
          <w:color w:val="000000" w:themeColor="text1"/>
        </w:rPr>
      </w:pPr>
    </w:p>
    <w:p w14:paraId="06C5900A" w14:textId="77777777" w:rsidR="00DD4F3E" w:rsidRPr="00571A51" w:rsidRDefault="00DD4F3E" w:rsidP="00DD4F3E">
      <w:pPr>
        <w:ind w:left="360"/>
        <w:jc w:val="both"/>
        <w:rPr>
          <w:rFonts w:cstheme="minorHAnsi"/>
          <w:color w:val="000000" w:themeColor="text1"/>
        </w:rPr>
      </w:pPr>
      <w:r w:rsidRPr="00571A51">
        <w:rPr>
          <w:rFonts w:cstheme="minorHAnsi"/>
          <w:b/>
          <w:color w:val="000000" w:themeColor="text1"/>
        </w:rPr>
        <w:t>EVALUATION CRITERIA</w:t>
      </w:r>
    </w:p>
    <w:p w14:paraId="6433710D" w14:textId="77777777" w:rsidR="00DD4F3E" w:rsidRPr="00571A51" w:rsidRDefault="00DD4F3E" w:rsidP="00DD4F3E">
      <w:pPr>
        <w:jc w:val="both"/>
        <w:rPr>
          <w:rFonts w:cstheme="minorHAnsi"/>
          <w:color w:val="000000" w:themeColor="text1"/>
        </w:rPr>
      </w:pPr>
    </w:p>
    <w:p w14:paraId="2484DA03" w14:textId="77777777" w:rsidR="00DD4F3E" w:rsidRPr="00571A51" w:rsidRDefault="00DD4F3E" w:rsidP="00DD4F3E">
      <w:pPr>
        <w:jc w:val="both"/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>The minimum threshold is 70%, all service providers that score below this will not qualify for further evaluation processes.</w:t>
      </w:r>
    </w:p>
    <w:p w14:paraId="0DA66C8E" w14:textId="77777777" w:rsidR="0014259E" w:rsidRPr="00571A51" w:rsidRDefault="0014259E" w:rsidP="00B2526F">
      <w:pPr>
        <w:rPr>
          <w:rFonts w:cstheme="minorHAnsi"/>
          <w:color w:val="000000" w:themeColor="text1"/>
        </w:rPr>
      </w:pPr>
    </w:p>
    <w:tbl>
      <w:tblPr>
        <w:tblW w:w="93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962"/>
      </w:tblGrid>
      <w:tr w:rsidR="00571A51" w:rsidRPr="00571A51" w14:paraId="7B73FFF6" w14:textId="77777777" w:rsidTr="00343B66">
        <w:trPr>
          <w:jc w:val="right"/>
        </w:trPr>
        <w:tc>
          <w:tcPr>
            <w:tcW w:w="8359" w:type="dxa"/>
          </w:tcPr>
          <w:p w14:paraId="2E932BEE" w14:textId="77777777" w:rsidR="00906623" w:rsidRPr="00571A51" w:rsidRDefault="00906623" w:rsidP="0090662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b/>
                <w:color w:val="000000" w:themeColor="text1"/>
              </w:rPr>
              <w:t>A.</w:t>
            </w:r>
            <w:r w:rsidRPr="00571A51">
              <w:rPr>
                <w:rFonts w:cstheme="minorHAnsi"/>
                <w:b/>
                <w:color w:val="000000" w:themeColor="text1"/>
              </w:rPr>
              <w:tab/>
              <w:t>Functionality</w:t>
            </w:r>
          </w:p>
        </w:tc>
        <w:tc>
          <w:tcPr>
            <w:tcW w:w="962" w:type="dxa"/>
          </w:tcPr>
          <w:p w14:paraId="5F091B95" w14:textId="77777777" w:rsidR="00906623" w:rsidRPr="00571A51" w:rsidRDefault="00906623" w:rsidP="00343B66">
            <w:pPr>
              <w:rPr>
                <w:rFonts w:cstheme="minorHAnsi"/>
                <w:b/>
                <w:color w:val="000000" w:themeColor="text1"/>
              </w:rPr>
            </w:pPr>
            <w:r w:rsidRPr="00571A51">
              <w:rPr>
                <w:rFonts w:cstheme="minorHAnsi"/>
                <w:b/>
                <w:color w:val="000000" w:themeColor="text1"/>
              </w:rPr>
              <w:t>Weight</w:t>
            </w:r>
          </w:p>
        </w:tc>
      </w:tr>
      <w:tr w:rsidR="00571A51" w:rsidRPr="00571A51" w14:paraId="5A75DFDA" w14:textId="77777777" w:rsidTr="00343B66">
        <w:trPr>
          <w:jc w:val="right"/>
        </w:trPr>
        <w:tc>
          <w:tcPr>
            <w:tcW w:w="8359" w:type="dxa"/>
          </w:tcPr>
          <w:p w14:paraId="2C2F8298" w14:textId="77777777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b/>
                <w:color w:val="000000" w:themeColor="text1"/>
              </w:rPr>
              <w:t>1.1</w:t>
            </w:r>
            <w:r w:rsidRPr="00571A51">
              <w:rPr>
                <w:rFonts w:cstheme="minorHAnsi"/>
                <w:color w:val="000000" w:themeColor="text1"/>
              </w:rPr>
              <w:t xml:space="preserve"> </w:t>
            </w:r>
            <w:r w:rsidRPr="00571A51">
              <w:rPr>
                <w:rFonts w:cstheme="minorHAnsi"/>
                <w:b/>
                <w:color w:val="000000" w:themeColor="text1"/>
              </w:rPr>
              <w:t>Experience</w:t>
            </w:r>
          </w:p>
          <w:p w14:paraId="35B1CF5F" w14:textId="77777777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3A1FA8FD" w14:textId="27D6EFC9" w:rsidR="00B340E2" w:rsidRDefault="00906623" w:rsidP="00B340E2">
            <w:pPr>
              <w:pStyle w:val="ListParagraph"/>
              <w:numPr>
                <w:ilvl w:val="2"/>
                <w:numId w:val="4"/>
              </w:num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 xml:space="preserve">Minimum of 5 </w:t>
            </w:r>
            <w:r w:rsidR="00C654F7" w:rsidRPr="00571A51">
              <w:rPr>
                <w:rFonts w:cstheme="minorHAnsi"/>
                <w:color w:val="000000" w:themeColor="text1"/>
              </w:rPr>
              <w:t>years’ experience</w:t>
            </w:r>
            <w:r w:rsidRPr="00571A51">
              <w:rPr>
                <w:rFonts w:cstheme="minorHAnsi"/>
                <w:color w:val="000000" w:themeColor="text1"/>
              </w:rPr>
              <w:t xml:space="preserve"> in rendering BBBEE transformation</w:t>
            </w:r>
            <w:r w:rsidR="00072A54">
              <w:rPr>
                <w:rFonts w:cstheme="minorHAnsi"/>
                <w:color w:val="000000" w:themeColor="text1"/>
              </w:rPr>
              <w:t xml:space="preserve"> programmes</w:t>
            </w:r>
            <w:r w:rsidRPr="00571A51">
              <w:rPr>
                <w:rFonts w:cstheme="minorHAnsi"/>
                <w:color w:val="000000" w:themeColor="text1"/>
              </w:rPr>
              <w:t xml:space="preserve"> to similar public entities like the HSRC or any other entities or departments within the sphere of government. (Similar research institutions will be an added advantage.</w:t>
            </w:r>
            <w:r w:rsidR="00B340E2" w:rsidRPr="00571A51">
              <w:rPr>
                <w:rFonts w:cstheme="minorHAnsi"/>
                <w:color w:val="000000" w:themeColor="text1"/>
              </w:rPr>
              <w:t xml:space="preserve"> Provide four contactable references relevant to the required scope supported by relevant reference letters not older than </w:t>
            </w:r>
            <w:r w:rsidR="006C44C7">
              <w:rPr>
                <w:rFonts w:cstheme="minorHAnsi"/>
                <w:color w:val="000000" w:themeColor="text1"/>
              </w:rPr>
              <w:t xml:space="preserve">five </w:t>
            </w:r>
            <w:r w:rsidR="00B340E2" w:rsidRPr="00571A51">
              <w:rPr>
                <w:rFonts w:cstheme="minorHAnsi"/>
                <w:color w:val="000000" w:themeColor="text1"/>
              </w:rPr>
              <w:t>years (</w:t>
            </w:r>
            <w:r w:rsidR="00997409">
              <w:rPr>
                <w:rFonts w:cstheme="minorHAnsi"/>
                <w:color w:val="000000" w:themeColor="text1"/>
              </w:rPr>
              <w:t>2</w:t>
            </w:r>
            <w:r w:rsidR="00B340E2" w:rsidRPr="00571A51">
              <w:rPr>
                <w:rFonts w:cstheme="minorHAnsi"/>
                <w:color w:val="000000" w:themeColor="text1"/>
              </w:rPr>
              <w:t>0)</w:t>
            </w:r>
          </w:p>
          <w:p w14:paraId="2BE8C3DC" w14:textId="3F4205BD" w:rsidR="00997409" w:rsidRDefault="00797C90" w:rsidP="00786E80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Relevant to </w:t>
            </w:r>
            <w:r w:rsidR="005531AC">
              <w:rPr>
                <w:rFonts w:cstheme="minorHAnsi"/>
                <w:color w:val="000000" w:themeColor="text1"/>
              </w:rPr>
              <w:t>scope</w:t>
            </w:r>
            <w:r w:rsidR="00997409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="00997409">
              <w:rPr>
                <w:rFonts w:cstheme="minorHAnsi"/>
                <w:color w:val="000000" w:themeColor="text1"/>
              </w:rPr>
              <w:t xml:space="preserve">- </w:t>
            </w:r>
            <w:r w:rsidR="005531AC">
              <w:rPr>
                <w:rFonts w:cstheme="minorHAnsi"/>
                <w:color w:val="000000" w:themeColor="text1"/>
              </w:rPr>
              <w:t xml:space="preserve"> </w:t>
            </w:r>
            <w:r w:rsidR="008A5C68">
              <w:rPr>
                <w:rFonts w:cstheme="minorHAnsi"/>
                <w:color w:val="000000" w:themeColor="text1"/>
              </w:rPr>
              <w:t>5</w:t>
            </w:r>
            <w:proofErr w:type="gramEnd"/>
            <w:r w:rsidR="008A5C68">
              <w:rPr>
                <w:rFonts w:cstheme="minorHAnsi"/>
                <w:color w:val="000000" w:themeColor="text1"/>
              </w:rPr>
              <w:t xml:space="preserve"> letters </w:t>
            </w:r>
            <w:r>
              <w:rPr>
                <w:rFonts w:cstheme="minorHAnsi"/>
                <w:color w:val="000000" w:themeColor="text1"/>
              </w:rPr>
              <w:t>(</w:t>
            </w:r>
            <w:r w:rsidR="005531AC">
              <w:rPr>
                <w:rFonts w:cstheme="minorHAnsi"/>
                <w:color w:val="000000" w:themeColor="text1"/>
              </w:rPr>
              <w:t>20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 w:rsidR="005531AC">
              <w:rPr>
                <w:rFonts w:cstheme="minorHAnsi"/>
                <w:color w:val="000000" w:themeColor="text1"/>
              </w:rPr>
              <w:t xml:space="preserve">) </w:t>
            </w:r>
          </w:p>
          <w:p w14:paraId="19541EA8" w14:textId="637167E5" w:rsidR="00997409" w:rsidRDefault="00997409" w:rsidP="00786E80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Relevant to scope</w:t>
            </w:r>
            <w:proofErr w:type="gramStart"/>
            <w:r>
              <w:rPr>
                <w:rFonts w:cstheme="minorHAnsi"/>
                <w:color w:val="000000" w:themeColor="text1"/>
              </w:rPr>
              <w:t xml:space="preserve">-  </w:t>
            </w:r>
            <w:r w:rsidR="005531AC">
              <w:rPr>
                <w:rFonts w:cstheme="minorHAnsi"/>
                <w:color w:val="000000" w:themeColor="text1"/>
              </w:rPr>
              <w:t>4</w:t>
            </w:r>
            <w:proofErr w:type="gramEnd"/>
            <w:r w:rsidR="005531AC">
              <w:rPr>
                <w:rFonts w:cstheme="minorHAnsi"/>
                <w:color w:val="000000" w:themeColor="text1"/>
              </w:rPr>
              <w:t xml:space="preserve"> letters</w:t>
            </w:r>
            <w:r w:rsidR="003B5833">
              <w:rPr>
                <w:rFonts w:cstheme="minorHAnsi"/>
                <w:color w:val="000000" w:themeColor="text1"/>
              </w:rPr>
              <w:t xml:space="preserve"> </w:t>
            </w:r>
            <w:r w:rsidR="005531AC">
              <w:rPr>
                <w:rFonts w:cstheme="minorHAnsi"/>
                <w:color w:val="000000" w:themeColor="text1"/>
              </w:rPr>
              <w:t>(15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 w:rsidR="005531AC">
              <w:rPr>
                <w:rFonts w:cstheme="minorHAnsi"/>
                <w:color w:val="000000" w:themeColor="text1"/>
              </w:rPr>
              <w:t>)</w:t>
            </w:r>
            <w:r w:rsidR="00AC199F">
              <w:rPr>
                <w:rFonts w:cstheme="minorHAnsi"/>
                <w:color w:val="000000" w:themeColor="text1"/>
              </w:rPr>
              <w:t xml:space="preserve"> </w:t>
            </w:r>
          </w:p>
          <w:p w14:paraId="6ACC47DB" w14:textId="0E35E4AF" w:rsidR="00786E80" w:rsidRDefault="00997409" w:rsidP="00786E80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Relevant to scope - </w:t>
            </w:r>
            <w:r w:rsidR="00AC199F">
              <w:rPr>
                <w:rFonts w:cstheme="minorHAnsi"/>
                <w:color w:val="000000" w:themeColor="text1"/>
              </w:rPr>
              <w:t>3 letters and below (10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 w:rsidR="00AC199F">
              <w:rPr>
                <w:rFonts w:cstheme="minorHAnsi"/>
                <w:color w:val="000000" w:themeColor="text1"/>
              </w:rPr>
              <w:t>)</w:t>
            </w:r>
          </w:p>
          <w:p w14:paraId="240C51C5" w14:textId="1435D483" w:rsidR="008A5C68" w:rsidRDefault="00997409" w:rsidP="00786E80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Relevant to scope</w:t>
            </w:r>
            <w:r w:rsidR="00AC199F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– 0 </w:t>
            </w:r>
            <w:r w:rsidR="00AC199F">
              <w:rPr>
                <w:rFonts w:cstheme="minorHAnsi"/>
                <w:color w:val="000000" w:themeColor="text1"/>
              </w:rPr>
              <w:t xml:space="preserve">letters </w:t>
            </w:r>
            <w:r w:rsidR="003B5833">
              <w:rPr>
                <w:rFonts w:cstheme="minorHAnsi"/>
                <w:color w:val="000000" w:themeColor="text1"/>
              </w:rPr>
              <w:t>(</w:t>
            </w:r>
            <w:r w:rsidR="00AC199F">
              <w:rPr>
                <w:rFonts w:cstheme="minorHAnsi"/>
                <w:color w:val="000000" w:themeColor="text1"/>
              </w:rPr>
              <w:t>0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 w:rsidR="003B5833">
              <w:rPr>
                <w:rFonts w:cstheme="minorHAnsi"/>
                <w:color w:val="000000" w:themeColor="text1"/>
              </w:rPr>
              <w:t>)</w:t>
            </w:r>
          </w:p>
          <w:p w14:paraId="1668CDE4" w14:textId="77777777" w:rsidR="00906623" w:rsidRPr="007B5F3A" w:rsidRDefault="00906623" w:rsidP="007B5F3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962" w:type="dxa"/>
          </w:tcPr>
          <w:p w14:paraId="4DAF55A8" w14:textId="20F1328E" w:rsidR="00906623" w:rsidRPr="00571A51" w:rsidRDefault="00997409" w:rsidP="00343B66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B24A9B">
              <w:rPr>
                <w:rFonts w:cstheme="minorHAnsi"/>
                <w:color w:val="000000" w:themeColor="text1"/>
              </w:rPr>
              <w:t>0</w:t>
            </w:r>
          </w:p>
        </w:tc>
      </w:tr>
      <w:tr w:rsidR="00571A51" w:rsidRPr="00571A51" w14:paraId="3B9BA302" w14:textId="77777777" w:rsidTr="00343B66">
        <w:trPr>
          <w:jc w:val="right"/>
        </w:trPr>
        <w:tc>
          <w:tcPr>
            <w:tcW w:w="8359" w:type="dxa"/>
          </w:tcPr>
          <w:p w14:paraId="77199585" w14:textId="77777777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b/>
                <w:color w:val="000000" w:themeColor="text1"/>
              </w:rPr>
              <w:t>1.2</w:t>
            </w:r>
            <w:r w:rsidRPr="00571A51">
              <w:rPr>
                <w:rFonts w:cstheme="minorHAnsi"/>
                <w:color w:val="000000" w:themeColor="text1"/>
              </w:rPr>
              <w:t xml:space="preserve"> </w:t>
            </w:r>
            <w:r w:rsidRPr="00571A51">
              <w:rPr>
                <w:rFonts w:cstheme="minorHAnsi"/>
                <w:b/>
                <w:color w:val="000000" w:themeColor="text1"/>
              </w:rPr>
              <w:t>Methodology</w:t>
            </w:r>
          </w:p>
          <w:p w14:paraId="2B89FBAA" w14:textId="77777777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67887568" w14:textId="3B24BF04" w:rsidR="00906623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 xml:space="preserve">1.2.1 Demonstrate the relevant “BBBEE transformation” methodology and </w:t>
            </w:r>
            <w:proofErr w:type="gramStart"/>
            <w:r w:rsidRPr="00571A51">
              <w:rPr>
                <w:rFonts w:cstheme="minorHAnsi"/>
                <w:color w:val="000000" w:themeColor="text1"/>
              </w:rPr>
              <w:t>approach  (</w:t>
            </w:r>
            <w:proofErr w:type="gramEnd"/>
            <w:r w:rsidR="007E3719">
              <w:rPr>
                <w:rFonts w:cstheme="minorHAnsi"/>
                <w:color w:val="000000" w:themeColor="text1"/>
              </w:rPr>
              <w:t>3</w:t>
            </w:r>
            <w:r w:rsidR="005421AE">
              <w:rPr>
                <w:rFonts w:cstheme="minorHAnsi"/>
                <w:color w:val="000000" w:themeColor="text1"/>
              </w:rPr>
              <w:t>5</w:t>
            </w:r>
            <w:r w:rsidRPr="00571A51">
              <w:rPr>
                <w:rFonts w:cstheme="minorHAnsi"/>
                <w:color w:val="000000" w:themeColor="text1"/>
              </w:rPr>
              <w:t>)</w:t>
            </w:r>
          </w:p>
          <w:p w14:paraId="2D42DA44" w14:textId="03AA7B4B" w:rsidR="0068129A" w:rsidRDefault="000946D7" w:rsidP="00343B66">
            <w:pPr>
              <w:jc w:val="both"/>
              <w:rPr>
                <w:rFonts w:eastAsia="Times New Roman"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Provide </w:t>
            </w:r>
            <w:r w:rsidR="0068129A" w:rsidRPr="00571A51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a delivery-orientated approach with proven methodologies that have been tested in the marketplace to deliver an increased B</w:t>
            </w:r>
            <w:r w:rsidR="00786E80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BB</w:t>
            </w:r>
            <w:r w:rsidR="0068129A" w:rsidRPr="00571A51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EE rating/scoring for HSRC</w:t>
            </w: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. </w:t>
            </w:r>
          </w:p>
          <w:p w14:paraId="3408A1EC" w14:textId="4AF3F931" w:rsidR="000946D7" w:rsidRDefault="000946D7" w:rsidP="0009617F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Excellent </w:t>
            </w:r>
            <w:r w:rsidR="0009617F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(</w:t>
            </w:r>
            <w:r w:rsidR="007E3719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35</w:t>
            </w:r>
            <w:r w:rsidR="0064525D"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 </w:t>
            </w:r>
            <w:r w:rsidR="0064525D">
              <w:rPr>
                <w:rFonts w:cstheme="minorHAnsi"/>
                <w:color w:val="000000" w:themeColor="text1"/>
              </w:rPr>
              <w:t>points</w:t>
            </w:r>
            <w:r w:rsidR="0009617F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)</w:t>
            </w:r>
          </w:p>
          <w:p w14:paraId="206DD473" w14:textId="2EBA838C" w:rsidR="007E3719" w:rsidRDefault="007E3719" w:rsidP="0009617F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Good </w:t>
            </w:r>
            <w:r w:rsidR="0009617F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(</w:t>
            </w: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>25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 w:rsidR="00ED2442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)</w:t>
            </w:r>
          </w:p>
          <w:p w14:paraId="33392DB4" w14:textId="19542342" w:rsidR="007E3719" w:rsidRDefault="007E3719" w:rsidP="0009617F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Fair </w:t>
            </w:r>
            <w:r w:rsidR="0009617F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(</w:t>
            </w: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>10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 w:rsidR="0009617F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)</w:t>
            </w:r>
          </w:p>
          <w:p w14:paraId="0F89F25C" w14:textId="6BC8BC9E" w:rsidR="0009617F" w:rsidRPr="00571A51" w:rsidRDefault="0009617F" w:rsidP="0009617F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>Poor (0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>)</w:t>
            </w:r>
          </w:p>
          <w:p w14:paraId="790D1003" w14:textId="77777777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052C3F40" w14:textId="63361C82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 xml:space="preserve">1.2.2 Provide </w:t>
            </w:r>
            <w:r w:rsidR="00BC218F">
              <w:rPr>
                <w:rFonts w:cstheme="minorHAnsi"/>
                <w:color w:val="000000" w:themeColor="text1"/>
              </w:rPr>
              <w:t xml:space="preserve">a </w:t>
            </w:r>
            <w:r w:rsidRPr="00571A51">
              <w:rPr>
                <w:rFonts w:cstheme="minorHAnsi"/>
                <w:color w:val="000000" w:themeColor="text1"/>
              </w:rPr>
              <w:t xml:space="preserve">detailed project plan with </w:t>
            </w:r>
            <w:r w:rsidR="00BC218F">
              <w:rPr>
                <w:rFonts w:cstheme="minorHAnsi"/>
                <w:color w:val="000000" w:themeColor="text1"/>
              </w:rPr>
              <w:t xml:space="preserve">a </w:t>
            </w:r>
            <w:r w:rsidRPr="00571A51">
              <w:rPr>
                <w:rFonts w:cstheme="minorHAnsi"/>
                <w:color w:val="000000" w:themeColor="text1"/>
              </w:rPr>
              <w:t>timeline (1</w:t>
            </w:r>
            <w:r w:rsidR="005421AE">
              <w:rPr>
                <w:rFonts w:cstheme="minorHAnsi"/>
                <w:color w:val="000000" w:themeColor="text1"/>
              </w:rPr>
              <w:t>0</w:t>
            </w:r>
            <w:r w:rsidRPr="00571A51">
              <w:rPr>
                <w:rFonts w:cstheme="minorHAnsi"/>
                <w:color w:val="000000" w:themeColor="text1"/>
              </w:rPr>
              <w:t>)</w:t>
            </w:r>
          </w:p>
          <w:p w14:paraId="1892C1DD" w14:textId="3360745F" w:rsidR="00ED2442" w:rsidRDefault="00ED2442" w:rsidP="00ED2442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>Detailed</w:t>
            </w:r>
            <w:r w:rsidR="00997409"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 Project Plan</w:t>
            </w: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 (10</w:t>
            </w:r>
            <w:r w:rsidR="00921FCC"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 points</w:t>
            </w: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>)</w:t>
            </w:r>
          </w:p>
          <w:p w14:paraId="165D2633" w14:textId="5FE4F16B" w:rsidR="00921FCC" w:rsidRDefault="00921FCC" w:rsidP="00ED2442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>Moderate Project Plan (</w:t>
            </w:r>
            <w:r w:rsidR="00BA53B2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5</w:t>
            </w: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 points)</w:t>
            </w:r>
          </w:p>
          <w:p w14:paraId="4DD971B2" w14:textId="69C66841" w:rsidR="00ED2442" w:rsidRPr="00571A51" w:rsidRDefault="00ED2442" w:rsidP="00ED2442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Poor </w:t>
            </w:r>
            <w:r w:rsidR="00997409"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Project Plan </w:t>
            </w: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>(0</w:t>
            </w:r>
            <w:r w:rsidR="00921FCC"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 points</w:t>
            </w:r>
            <w:r>
              <w:rPr>
                <w:rFonts w:eastAsia="Times New Roman" w:cstheme="minorHAnsi"/>
                <w:color w:val="000000" w:themeColor="text1"/>
                <w:shd w:val="clear" w:color="auto" w:fill="FFFFFF"/>
              </w:rPr>
              <w:t>)</w:t>
            </w:r>
          </w:p>
          <w:p w14:paraId="6CE9BFB9" w14:textId="77777777" w:rsidR="00906623" w:rsidRDefault="00906623" w:rsidP="00343B66">
            <w:pPr>
              <w:ind w:left="720"/>
              <w:jc w:val="both"/>
              <w:rPr>
                <w:rFonts w:cstheme="minorHAnsi"/>
                <w:color w:val="000000" w:themeColor="text1"/>
              </w:rPr>
            </w:pPr>
          </w:p>
          <w:p w14:paraId="17C2DE1B" w14:textId="77777777" w:rsidR="00921FCC" w:rsidRDefault="00921FCC" w:rsidP="00343B66">
            <w:pPr>
              <w:ind w:left="720"/>
              <w:jc w:val="both"/>
              <w:rPr>
                <w:rFonts w:cstheme="minorHAnsi"/>
                <w:color w:val="000000" w:themeColor="text1"/>
              </w:rPr>
            </w:pPr>
          </w:p>
          <w:p w14:paraId="15DA82C5" w14:textId="77777777" w:rsidR="00921FCC" w:rsidRDefault="00921FCC" w:rsidP="00343B66">
            <w:pPr>
              <w:ind w:left="720"/>
              <w:jc w:val="both"/>
              <w:rPr>
                <w:rFonts w:cstheme="minorHAnsi"/>
                <w:color w:val="000000" w:themeColor="text1"/>
              </w:rPr>
            </w:pPr>
          </w:p>
          <w:p w14:paraId="386207C7" w14:textId="77777777" w:rsidR="00921FCC" w:rsidRDefault="00921FCC" w:rsidP="00343B66">
            <w:pPr>
              <w:ind w:left="720"/>
              <w:jc w:val="both"/>
              <w:rPr>
                <w:rFonts w:cstheme="minorHAnsi"/>
                <w:color w:val="000000" w:themeColor="text1"/>
              </w:rPr>
            </w:pPr>
          </w:p>
          <w:p w14:paraId="0D832CFB" w14:textId="7AD7804D" w:rsidR="00921FCC" w:rsidRPr="00571A51" w:rsidRDefault="00921FCC" w:rsidP="00343B66">
            <w:pPr>
              <w:ind w:left="72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962" w:type="dxa"/>
          </w:tcPr>
          <w:p w14:paraId="7C614B88" w14:textId="63AB351C" w:rsidR="00906623" w:rsidRPr="00571A51" w:rsidRDefault="0058716B" w:rsidP="00343B66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4</w:t>
            </w:r>
            <w:r w:rsidR="00906623" w:rsidRPr="00571A51">
              <w:rPr>
                <w:rFonts w:cstheme="minorHAnsi"/>
                <w:color w:val="000000" w:themeColor="text1"/>
              </w:rPr>
              <w:t>5</w:t>
            </w:r>
          </w:p>
        </w:tc>
      </w:tr>
      <w:tr w:rsidR="00571A51" w:rsidRPr="00571A51" w14:paraId="4B56CCFD" w14:textId="77777777" w:rsidTr="00343B66">
        <w:trPr>
          <w:jc w:val="right"/>
        </w:trPr>
        <w:tc>
          <w:tcPr>
            <w:tcW w:w="8359" w:type="dxa"/>
          </w:tcPr>
          <w:p w14:paraId="5CC94E47" w14:textId="26CF70D9" w:rsidR="00906623" w:rsidRPr="009A6EE6" w:rsidRDefault="00906623" w:rsidP="006A2324">
            <w:pPr>
              <w:pStyle w:val="ListParagraph"/>
              <w:numPr>
                <w:ilvl w:val="1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  <w:r w:rsidRPr="009A6EE6">
              <w:rPr>
                <w:rFonts w:cstheme="minorHAnsi"/>
                <w:b/>
                <w:color w:val="000000" w:themeColor="text1"/>
              </w:rPr>
              <w:t>Capacity – Provide CV’s</w:t>
            </w:r>
          </w:p>
          <w:p w14:paraId="2F06A4B7" w14:textId="2F4D806F" w:rsidR="007F62D2" w:rsidRPr="009A6EE6" w:rsidRDefault="007F62D2" w:rsidP="009A6EE6">
            <w:pPr>
              <w:spacing w:line="252" w:lineRule="auto"/>
              <w:rPr>
                <w:rFonts w:eastAsia="Times New Roman" w:cstheme="minorHAnsi"/>
                <w:color w:val="000000" w:themeColor="text1"/>
                <w:shd w:val="clear" w:color="auto" w:fill="FFFFFF"/>
              </w:rPr>
            </w:pPr>
            <w:r w:rsidRPr="009A6EE6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Provide the HSRC with the capability to undertake</w:t>
            </w:r>
            <w:r w:rsidR="00921FCC" w:rsidRPr="009A6EE6"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 str</w:t>
            </w:r>
            <w:r w:rsidRPr="009A6EE6">
              <w:rPr>
                <w:rFonts w:eastAsia="Times New Roman" w:cstheme="minorHAnsi"/>
                <w:color w:val="000000" w:themeColor="text1"/>
                <w:shd w:val="clear" w:color="auto" w:fill="FFFFFF"/>
              </w:rPr>
              <w:t xml:space="preserve">ategy development, organizational transformation, </w:t>
            </w:r>
            <w:r w:rsidR="002F1BA8" w:rsidRPr="009A6EE6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BBBE</w:t>
            </w:r>
            <w:r w:rsidRPr="009A6EE6">
              <w:rPr>
                <w:rFonts w:eastAsia="Times New Roman" w:cstheme="minorHAnsi"/>
                <w:color w:val="000000" w:themeColor="text1"/>
                <w:shd w:val="clear" w:color="auto" w:fill="FFFFFF"/>
              </w:rPr>
              <w:t>E implementation, due diligence, and training skills.</w:t>
            </w:r>
          </w:p>
          <w:p w14:paraId="2B6DEE4F" w14:textId="77777777" w:rsidR="00921FCC" w:rsidRPr="00571A51" w:rsidRDefault="00921FCC" w:rsidP="00921FCC">
            <w:pPr>
              <w:pStyle w:val="ListParagraph"/>
              <w:spacing w:line="252" w:lineRule="auto"/>
              <w:rPr>
                <w:rFonts w:eastAsia="Times New Roman" w:cstheme="minorHAnsi"/>
                <w:color w:val="000000" w:themeColor="text1"/>
                <w:shd w:val="clear" w:color="auto" w:fill="FFFFFF"/>
              </w:rPr>
            </w:pPr>
          </w:p>
          <w:p w14:paraId="1E15AF07" w14:textId="33C12648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 xml:space="preserve">1.3.1 Indicate staff compliment relevant to the scope of service of your firm </w:t>
            </w:r>
          </w:p>
          <w:p w14:paraId="40E86E11" w14:textId="00BA58A1" w:rsidR="00906623" w:rsidRDefault="00FD0612" w:rsidP="00011822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Experience </w:t>
            </w:r>
            <w:r w:rsidR="00011822">
              <w:rPr>
                <w:rFonts w:cstheme="minorHAnsi"/>
                <w:color w:val="000000" w:themeColor="text1"/>
              </w:rPr>
              <w:t>5 years</w:t>
            </w:r>
            <w:r w:rsidR="0057625D">
              <w:rPr>
                <w:rFonts w:cstheme="minorHAnsi"/>
                <w:color w:val="000000" w:themeColor="text1"/>
              </w:rPr>
              <w:t xml:space="preserve"> and above</w:t>
            </w:r>
            <w:r w:rsidR="00011822">
              <w:rPr>
                <w:rFonts w:cstheme="minorHAnsi"/>
                <w:color w:val="000000" w:themeColor="text1"/>
              </w:rPr>
              <w:t xml:space="preserve"> (</w:t>
            </w:r>
            <w:r w:rsidR="0031243D">
              <w:rPr>
                <w:rFonts w:cstheme="minorHAnsi"/>
                <w:color w:val="000000" w:themeColor="text1"/>
              </w:rPr>
              <w:t>10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>
              <w:rPr>
                <w:rFonts w:cstheme="minorHAnsi"/>
                <w:color w:val="000000" w:themeColor="text1"/>
              </w:rPr>
              <w:t>)</w:t>
            </w:r>
          </w:p>
          <w:p w14:paraId="625E5216" w14:textId="77777777" w:rsidR="00011822" w:rsidRPr="00571A51" w:rsidRDefault="00011822" w:rsidP="00011822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</w:p>
          <w:p w14:paraId="2FD369CE" w14:textId="3627BE61" w:rsidR="00906623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>1.3.2 Provide the number of dedicated staff members to be assigned to the project relevant to the scope of service</w:t>
            </w:r>
            <w:r w:rsidR="006948C3">
              <w:rPr>
                <w:rFonts w:cstheme="minorHAnsi"/>
                <w:color w:val="000000" w:themeColor="text1"/>
              </w:rPr>
              <w:t xml:space="preserve">. Provision of </w:t>
            </w:r>
            <w:r w:rsidR="006948C3" w:rsidRPr="006948C3">
              <w:rPr>
                <w:rFonts w:cstheme="minorHAnsi"/>
                <w:color w:val="000000" w:themeColor="text1"/>
                <w:highlight w:val="yellow"/>
              </w:rPr>
              <w:t>resumes</w:t>
            </w:r>
            <w:r w:rsidR="006948C3">
              <w:rPr>
                <w:rFonts w:cstheme="minorHAnsi"/>
                <w:color w:val="000000" w:themeColor="text1"/>
              </w:rPr>
              <w:t>.</w:t>
            </w:r>
            <w:r w:rsidRPr="00571A51">
              <w:rPr>
                <w:rFonts w:cstheme="minorHAnsi"/>
                <w:color w:val="000000" w:themeColor="text1"/>
              </w:rPr>
              <w:t xml:space="preserve"> (5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 w:rsidRPr="00571A51">
              <w:rPr>
                <w:rFonts w:cstheme="minorHAnsi"/>
                <w:color w:val="000000" w:themeColor="text1"/>
              </w:rPr>
              <w:t>)</w:t>
            </w:r>
          </w:p>
          <w:p w14:paraId="2DBF6D5A" w14:textId="6A01B39D" w:rsidR="006A2324" w:rsidRPr="00571A51" w:rsidRDefault="006A2324" w:rsidP="00343B66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1.3.3 Provide approach and tools for the training. (10 points)</w:t>
            </w:r>
          </w:p>
          <w:p w14:paraId="5C8EBF54" w14:textId="77777777" w:rsidR="00906623" w:rsidRPr="00571A51" w:rsidRDefault="00906623" w:rsidP="00343B66">
            <w:pPr>
              <w:ind w:left="72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962" w:type="dxa"/>
          </w:tcPr>
          <w:p w14:paraId="6B4EDBE5" w14:textId="087205BD" w:rsidR="00906623" w:rsidRPr="00571A51" w:rsidRDefault="00397EC1" w:rsidP="00343B66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1243D">
              <w:rPr>
                <w:rFonts w:cstheme="minorHAnsi"/>
                <w:color w:val="000000" w:themeColor="text1"/>
              </w:rPr>
              <w:t>5</w:t>
            </w:r>
          </w:p>
        </w:tc>
      </w:tr>
      <w:tr w:rsidR="00571A51" w:rsidRPr="00571A51" w14:paraId="7D5618A0" w14:textId="77777777" w:rsidTr="00343B66">
        <w:trPr>
          <w:jc w:val="right"/>
        </w:trPr>
        <w:tc>
          <w:tcPr>
            <w:tcW w:w="8359" w:type="dxa"/>
          </w:tcPr>
          <w:p w14:paraId="49401DCF" w14:textId="2071C51D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b/>
                <w:color w:val="000000" w:themeColor="text1"/>
              </w:rPr>
              <w:t>1.</w:t>
            </w:r>
            <w:r w:rsidR="0031243D">
              <w:rPr>
                <w:rFonts w:cstheme="minorHAnsi"/>
                <w:b/>
                <w:color w:val="000000" w:themeColor="text1"/>
              </w:rPr>
              <w:t>4</w:t>
            </w:r>
            <w:r w:rsidRPr="00571A51">
              <w:rPr>
                <w:rFonts w:cstheme="minorHAnsi"/>
                <w:color w:val="000000" w:themeColor="text1"/>
              </w:rPr>
              <w:t xml:space="preserve"> </w:t>
            </w:r>
            <w:r w:rsidRPr="00571A51">
              <w:rPr>
                <w:rFonts w:cstheme="minorHAnsi"/>
                <w:b/>
                <w:color w:val="000000" w:themeColor="text1"/>
              </w:rPr>
              <w:t>Financial Stability</w:t>
            </w:r>
          </w:p>
          <w:p w14:paraId="3BC475AD" w14:textId="77777777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7AE341C4" w14:textId="77777777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>Provide audited Financial Statements for, 2020/21, 2021/22 &amp; 2022/23 (10)</w:t>
            </w:r>
          </w:p>
          <w:p w14:paraId="7B5EE6D3" w14:textId="414F03D4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 xml:space="preserve">The AFS will be subject to evaluation and the criteria </w:t>
            </w:r>
            <w:r w:rsidR="00BC218F">
              <w:rPr>
                <w:rFonts w:cstheme="minorHAnsi"/>
                <w:color w:val="000000" w:themeColor="text1"/>
              </w:rPr>
              <w:t>are</w:t>
            </w:r>
            <w:r w:rsidRPr="00571A51">
              <w:rPr>
                <w:rFonts w:cstheme="minorHAnsi"/>
                <w:color w:val="000000" w:themeColor="text1"/>
              </w:rPr>
              <w:t xml:space="preserve"> as follows:</w:t>
            </w:r>
          </w:p>
          <w:p w14:paraId="02CA18C7" w14:textId="6092628E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>1. Entity in good financial standing for all three years (10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 w:rsidRPr="00571A51">
              <w:rPr>
                <w:rFonts w:cstheme="minorHAnsi"/>
                <w:color w:val="000000" w:themeColor="text1"/>
              </w:rPr>
              <w:t>)</w:t>
            </w:r>
          </w:p>
          <w:p w14:paraId="1E2541F8" w14:textId="0F919E25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>2. Entity only one negative indicator for all three years (5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 w:rsidRPr="00571A51">
              <w:rPr>
                <w:rFonts w:cstheme="minorHAnsi"/>
                <w:color w:val="000000" w:themeColor="text1"/>
              </w:rPr>
              <w:t>)</w:t>
            </w:r>
          </w:p>
          <w:p w14:paraId="16607900" w14:textId="451C04BB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>3. Entity more than one negative indicator for all three years (0</w:t>
            </w:r>
            <w:r w:rsidR="0064525D">
              <w:rPr>
                <w:rFonts w:cstheme="minorHAnsi"/>
                <w:color w:val="000000" w:themeColor="text1"/>
              </w:rPr>
              <w:t xml:space="preserve"> points</w:t>
            </w:r>
            <w:r w:rsidRPr="00571A51">
              <w:rPr>
                <w:rFonts w:cstheme="minorHAnsi"/>
                <w:color w:val="000000" w:themeColor="text1"/>
              </w:rPr>
              <w:t>)</w:t>
            </w:r>
          </w:p>
          <w:p w14:paraId="0E0EBE6F" w14:textId="77777777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962" w:type="dxa"/>
          </w:tcPr>
          <w:p w14:paraId="66AC5C19" w14:textId="77777777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>10</w:t>
            </w:r>
          </w:p>
        </w:tc>
      </w:tr>
      <w:tr w:rsidR="00571A51" w:rsidRPr="00571A51" w14:paraId="28A549FA" w14:textId="77777777" w:rsidTr="00343B66">
        <w:trPr>
          <w:trHeight w:val="477"/>
          <w:jc w:val="right"/>
        </w:trPr>
        <w:tc>
          <w:tcPr>
            <w:tcW w:w="8359" w:type="dxa"/>
          </w:tcPr>
          <w:p w14:paraId="6AFBA164" w14:textId="77777777" w:rsidR="00906623" w:rsidRPr="00571A51" w:rsidRDefault="00906623" w:rsidP="00343B66">
            <w:pPr>
              <w:ind w:left="720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526B6F7D" w14:textId="77777777" w:rsidR="00906623" w:rsidRPr="00571A51" w:rsidRDefault="00906623" w:rsidP="00343B66">
            <w:pPr>
              <w:jc w:val="both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b/>
                <w:color w:val="000000" w:themeColor="text1"/>
              </w:rPr>
              <w:t>TOTAL   =</w:t>
            </w:r>
          </w:p>
        </w:tc>
        <w:tc>
          <w:tcPr>
            <w:tcW w:w="962" w:type="dxa"/>
          </w:tcPr>
          <w:p w14:paraId="7EA0F97B" w14:textId="77777777" w:rsidR="00906623" w:rsidRPr="00571A51" w:rsidRDefault="00906623" w:rsidP="00343B66">
            <w:pPr>
              <w:ind w:left="720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008FD32E" w14:textId="77777777" w:rsidR="00906623" w:rsidRPr="00571A51" w:rsidRDefault="00906623" w:rsidP="00343B66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571A51">
              <w:rPr>
                <w:rFonts w:cstheme="minorHAnsi"/>
                <w:b/>
                <w:color w:val="000000" w:themeColor="text1"/>
              </w:rPr>
              <w:t>100</w:t>
            </w:r>
          </w:p>
        </w:tc>
      </w:tr>
    </w:tbl>
    <w:p w14:paraId="5161D769" w14:textId="26650CBD" w:rsidR="006F54D4" w:rsidRPr="00571A51" w:rsidRDefault="00B2526F" w:rsidP="00B2526F">
      <w:p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 xml:space="preserve"> 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992"/>
      </w:tblGrid>
      <w:tr w:rsidR="00571A51" w:rsidRPr="00571A51" w14:paraId="664399E9" w14:textId="77777777" w:rsidTr="00343B66">
        <w:trPr>
          <w:trHeight w:val="465"/>
        </w:trPr>
        <w:tc>
          <w:tcPr>
            <w:tcW w:w="8364" w:type="dxa"/>
          </w:tcPr>
          <w:p w14:paraId="1023D850" w14:textId="77777777" w:rsidR="00203612" w:rsidRPr="00571A51" w:rsidRDefault="00203612" w:rsidP="00343B66">
            <w:pPr>
              <w:pStyle w:val="BodyText2"/>
              <w:ind w:left="11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71A5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B.</w:t>
            </w:r>
            <w:r w:rsidRPr="00571A5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  <w:t>PRICE</w:t>
            </w:r>
          </w:p>
        </w:tc>
        <w:tc>
          <w:tcPr>
            <w:tcW w:w="992" w:type="dxa"/>
          </w:tcPr>
          <w:p w14:paraId="4A2E1E0C" w14:textId="77777777" w:rsidR="00203612" w:rsidRPr="00571A51" w:rsidRDefault="00203612" w:rsidP="00343B66">
            <w:pPr>
              <w:pStyle w:val="BodyText2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71A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</w:t>
            </w:r>
          </w:p>
        </w:tc>
      </w:tr>
      <w:tr w:rsidR="00571A51" w:rsidRPr="00571A51" w14:paraId="6FBC3DEF" w14:textId="77777777" w:rsidTr="00343B66">
        <w:trPr>
          <w:trHeight w:val="510"/>
        </w:trPr>
        <w:tc>
          <w:tcPr>
            <w:tcW w:w="8364" w:type="dxa"/>
          </w:tcPr>
          <w:p w14:paraId="4A745A88" w14:textId="1E9D9558" w:rsidR="00203612" w:rsidRPr="00571A51" w:rsidRDefault="00203612" w:rsidP="00343B66">
            <w:pPr>
              <w:pStyle w:val="BodyText2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71A5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C.</w:t>
            </w:r>
            <w:r w:rsidRPr="00571A5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  <w:r w:rsidR="00E777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Specific  Goals</w:t>
            </w:r>
          </w:p>
          <w:p w14:paraId="6CC1F9E8" w14:textId="77777777" w:rsidR="00203612" w:rsidRPr="00571A51" w:rsidRDefault="00203612" w:rsidP="00343B66">
            <w:pPr>
              <w:tabs>
                <w:tab w:val="left" w:pos="1200"/>
              </w:tabs>
              <w:ind w:left="709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</w:tcPr>
          <w:p w14:paraId="689D25B3" w14:textId="77777777" w:rsidR="00203612" w:rsidRPr="00571A51" w:rsidRDefault="00203612" w:rsidP="00343B66">
            <w:pPr>
              <w:jc w:val="center"/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>20</w:t>
            </w:r>
          </w:p>
        </w:tc>
      </w:tr>
      <w:tr w:rsidR="00571A51" w:rsidRPr="00571A51" w14:paraId="30ECDFA2" w14:textId="77777777" w:rsidTr="00343B66">
        <w:trPr>
          <w:trHeight w:val="410"/>
        </w:trPr>
        <w:tc>
          <w:tcPr>
            <w:tcW w:w="8364" w:type="dxa"/>
          </w:tcPr>
          <w:p w14:paraId="23A0E7F9" w14:textId="77777777" w:rsidR="00203612" w:rsidRPr="00571A51" w:rsidRDefault="00203612" w:rsidP="00343B66">
            <w:pPr>
              <w:pStyle w:val="BodyText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EEFEF88" w14:textId="77777777" w:rsidR="00203612" w:rsidRPr="00571A51" w:rsidRDefault="00203612" w:rsidP="00343B66">
            <w:pPr>
              <w:pStyle w:val="BodyText2"/>
              <w:spacing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71A5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TOTAL   =</w:t>
            </w:r>
          </w:p>
        </w:tc>
        <w:tc>
          <w:tcPr>
            <w:tcW w:w="992" w:type="dxa"/>
          </w:tcPr>
          <w:p w14:paraId="05C51777" w14:textId="77777777" w:rsidR="00203612" w:rsidRPr="00571A51" w:rsidRDefault="00203612" w:rsidP="00343B66">
            <w:pPr>
              <w:pStyle w:val="BodyText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521E8CC" w14:textId="77777777" w:rsidR="00203612" w:rsidRPr="00571A51" w:rsidRDefault="00203612" w:rsidP="00343B66">
            <w:pPr>
              <w:pStyle w:val="BodyText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71A5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</w:tbl>
    <w:p w14:paraId="0A13B4FD" w14:textId="77777777" w:rsidR="00571A51" w:rsidRDefault="00571A51">
      <w:pPr>
        <w:rPr>
          <w:rFonts w:cstheme="minorHAnsi"/>
          <w:b/>
          <w:bCs/>
          <w:color w:val="000000" w:themeColor="text1"/>
        </w:rPr>
      </w:pPr>
    </w:p>
    <w:p w14:paraId="074E757E" w14:textId="6D3AF69C" w:rsidR="00FB38D6" w:rsidRPr="00571A51" w:rsidRDefault="00FB38D6">
      <w:pPr>
        <w:rPr>
          <w:rFonts w:cstheme="minorHAnsi"/>
          <w:b/>
          <w:bCs/>
          <w:color w:val="000000" w:themeColor="text1"/>
        </w:rPr>
      </w:pPr>
      <w:r w:rsidRPr="00571A51">
        <w:rPr>
          <w:rFonts w:cstheme="minorHAnsi"/>
          <w:b/>
          <w:bCs/>
          <w:color w:val="000000" w:themeColor="text1"/>
        </w:rPr>
        <w:t>Pricing schedule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543"/>
        <w:gridCol w:w="2254"/>
        <w:gridCol w:w="2254"/>
        <w:gridCol w:w="2254"/>
      </w:tblGrid>
      <w:tr w:rsidR="00571A51" w:rsidRPr="00571A51" w14:paraId="1F0280F7" w14:textId="77777777" w:rsidTr="000F1669">
        <w:tc>
          <w:tcPr>
            <w:tcW w:w="2543" w:type="dxa"/>
          </w:tcPr>
          <w:p w14:paraId="5742D975" w14:textId="39F94DAF" w:rsidR="008B4F21" w:rsidRPr="00571A51" w:rsidRDefault="002257D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71A51">
              <w:rPr>
                <w:rFonts w:cstheme="minorHAnsi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2254" w:type="dxa"/>
          </w:tcPr>
          <w:p w14:paraId="46C4264E" w14:textId="77777777" w:rsidR="002257D4" w:rsidRPr="00571A51" w:rsidRDefault="002257D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71A51">
              <w:rPr>
                <w:rFonts w:cstheme="minorHAnsi"/>
                <w:b/>
                <w:bCs/>
                <w:color w:val="000000" w:themeColor="text1"/>
              </w:rPr>
              <w:t>Year 1</w:t>
            </w:r>
          </w:p>
          <w:p w14:paraId="3A9D4368" w14:textId="78F41485" w:rsidR="008B4F21" w:rsidRPr="00571A51" w:rsidRDefault="002257D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71A51">
              <w:rPr>
                <w:rFonts w:cstheme="minorHAnsi"/>
                <w:b/>
                <w:bCs/>
                <w:color w:val="000000" w:themeColor="text1"/>
              </w:rPr>
              <w:t xml:space="preserve"> R</w:t>
            </w:r>
          </w:p>
        </w:tc>
        <w:tc>
          <w:tcPr>
            <w:tcW w:w="2254" w:type="dxa"/>
          </w:tcPr>
          <w:p w14:paraId="5F6F361D" w14:textId="77777777" w:rsidR="00FA7AD6" w:rsidRPr="00571A51" w:rsidRDefault="00FA7AD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71A51">
              <w:rPr>
                <w:rFonts w:cstheme="minorHAnsi"/>
                <w:b/>
                <w:bCs/>
                <w:color w:val="000000" w:themeColor="text1"/>
              </w:rPr>
              <w:t xml:space="preserve">Year 2 </w:t>
            </w:r>
          </w:p>
          <w:p w14:paraId="3E2FC7D2" w14:textId="32576FF7" w:rsidR="008B4F21" w:rsidRPr="00571A51" w:rsidRDefault="00FA7AD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71A51">
              <w:rPr>
                <w:rFonts w:cstheme="minorHAnsi"/>
                <w:b/>
                <w:bCs/>
                <w:color w:val="000000" w:themeColor="text1"/>
              </w:rPr>
              <w:t>R</w:t>
            </w:r>
          </w:p>
        </w:tc>
        <w:tc>
          <w:tcPr>
            <w:tcW w:w="2254" w:type="dxa"/>
          </w:tcPr>
          <w:p w14:paraId="5A4AA930" w14:textId="77777777" w:rsidR="00FA7AD6" w:rsidRPr="00571A51" w:rsidRDefault="00FA7AD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71A51">
              <w:rPr>
                <w:rFonts w:cstheme="minorHAnsi"/>
                <w:b/>
                <w:bCs/>
                <w:color w:val="000000" w:themeColor="text1"/>
              </w:rPr>
              <w:t xml:space="preserve">Year 3 </w:t>
            </w:r>
          </w:p>
          <w:p w14:paraId="4A11915D" w14:textId="2890E916" w:rsidR="008B4F21" w:rsidRPr="00571A51" w:rsidRDefault="00FA7AD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71A51">
              <w:rPr>
                <w:rFonts w:cstheme="minorHAnsi"/>
                <w:b/>
                <w:bCs/>
                <w:color w:val="000000" w:themeColor="text1"/>
              </w:rPr>
              <w:t>R</w:t>
            </w:r>
          </w:p>
        </w:tc>
      </w:tr>
      <w:tr w:rsidR="00571A51" w:rsidRPr="00571A51" w14:paraId="29A1584C" w14:textId="77777777" w:rsidTr="000F1669">
        <w:tc>
          <w:tcPr>
            <w:tcW w:w="2543" w:type="dxa"/>
          </w:tcPr>
          <w:p w14:paraId="3E1A57F3" w14:textId="14BB376F" w:rsidR="008B4F21" w:rsidRPr="00571A51" w:rsidRDefault="002E659C">
            <w:pPr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 xml:space="preserve">Provision of B-BBEE </w:t>
            </w:r>
            <w:r w:rsidR="00CB5C2B" w:rsidRPr="00571A51">
              <w:rPr>
                <w:rFonts w:cstheme="minorHAnsi"/>
                <w:color w:val="000000" w:themeColor="text1"/>
              </w:rPr>
              <w:t xml:space="preserve">transformation </w:t>
            </w:r>
            <w:r w:rsidRPr="00571A51">
              <w:rPr>
                <w:rFonts w:cstheme="minorHAnsi"/>
                <w:color w:val="000000" w:themeColor="text1"/>
              </w:rPr>
              <w:t>services</w:t>
            </w:r>
          </w:p>
        </w:tc>
        <w:tc>
          <w:tcPr>
            <w:tcW w:w="2254" w:type="dxa"/>
          </w:tcPr>
          <w:p w14:paraId="13ACE56A" w14:textId="77777777" w:rsidR="008B4F21" w:rsidRPr="00571A51" w:rsidRDefault="008B4F2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4" w:type="dxa"/>
          </w:tcPr>
          <w:p w14:paraId="6AE9C8B4" w14:textId="77777777" w:rsidR="008B4F21" w:rsidRPr="00571A51" w:rsidRDefault="008B4F2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4" w:type="dxa"/>
          </w:tcPr>
          <w:p w14:paraId="25C5A03F" w14:textId="77777777" w:rsidR="008B4F21" w:rsidRPr="00571A51" w:rsidRDefault="008B4F21">
            <w:pPr>
              <w:rPr>
                <w:rFonts w:cstheme="minorHAnsi"/>
                <w:color w:val="000000" w:themeColor="text1"/>
              </w:rPr>
            </w:pPr>
          </w:p>
        </w:tc>
      </w:tr>
      <w:tr w:rsidR="00571A51" w:rsidRPr="00571A51" w14:paraId="2459CFF5" w14:textId="77777777" w:rsidTr="000F1669">
        <w:tc>
          <w:tcPr>
            <w:tcW w:w="2543" w:type="dxa"/>
          </w:tcPr>
          <w:p w14:paraId="2DC5130F" w14:textId="44CAD41B" w:rsidR="008B4F21" w:rsidRPr="00571A51" w:rsidRDefault="003962D4">
            <w:pPr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t xml:space="preserve">VAT </w:t>
            </w:r>
          </w:p>
        </w:tc>
        <w:tc>
          <w:tcPr>
            <w:tcW w:w="2254" w:type="dxa"/>
          </w:tcPr>
          <w:p w14:paraId="7C78E9CE" w14:textId="77777777" w:rsidR="008B4F21" w:rsidRPr="00571A51" w:rsidRDefault="008B4F2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4" w:type="dxa"/>
          </w:tcPr>
          <w:p w14:paraId="45AE8F5A" w14:textId="77777777" w:rsidR="008B4F21" w:rsidRPr="00571A51" w:rsidRDefault="008B4F2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4" w:type="dxa"/>
          </w:tcPr>
          <w:p w14:paraId="54BE51ED" w14:textId="77777777" w:rsidR="008B4F21" w:rsidRPr="00571A51" w:rsidRDefault="008B4F21">
            <w:pPr>
              <w:rPr>
                <w:rFonts w:cstheme="minorHAnsi"/>
                <w:color w:val="000000" w:themeColor="text1"/>
              </w:rPr>
            </w:pPr>
          </w:p>
        </w:tc>
      </w:tr>
      <w:tr w:rsidR="00571A51" w:rsidRPr="00571A51" w14:paraId="476897EC" w14:textId="77777777" w:rsidTr="000F1669">
        <w:tc>
          <w:tcPr>
            <w:tcW w:w="2543" w:type="dxa"/>
          </w:tcPr>
          <w:p w14:paraId="248BC232" w14:textId="3437F76F" w:rsidR="008B4F21" w:rsidRPr="00571A51" w:rsidRDefault="003962D4">
            <w:pPr>
              <w:rPr>
                <w:rFonts w:cstheme="minorHAnsi"/>
                <w:color w:val="000000" w:themeColor="text1"/>
              </w:rPr>
            </w:pPr>
            <w:r w:rsidRPr="00571A51">
              <w:rPr>
                <w:rFonts w:cstheme="minorHAnsi"/>
                <w:color w:val="000000" w:themeColor="text1"/>
              </w:rPr>
              <w:lastRenderedPageBreak/>
              <w:t>Total amount inclusive of VAT</w:t>
            </w:r>
          </w:p>
        </w:tc>
        <w:tc>
          <w:tcPr>
            <w:tcW w:w="2254" w:type="dxa"/>
          </w:tcPr>
          <w:p w14:paraId="20A5C9FD" w14:textId="77777777" w:rsidR="008B4F21" w:rsidRPr="00571A51" w:rsidRDefault="008B4F2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4" w:type="dxa"/>
          </w:tcPr>
          <w:p w14:paraId="1342AFE0" w14:textId="77777777" w:rsidR="008B4F21" w:rsidRPr="00571A51" w:rsidRDefault="008B4F2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4" w:type="dxa"/>
          </w:tcPr>
          <w:p w14:paraId="0061EA5D" w14:textId="77777777" w:rsidR="008B4F21" w:rsidRPr="00571A51" w:rsidRDefault="008B4F2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FF70B8C" w14:textId="77777777" w:rsidR="00BC6326" w:rsidRPr="00571A51" w:rsidRDefault="00BC6326">
      <w:pPr>
        <w:rPr>
          <w:rFonts w:cstheme="minorHAnsi"/>
          <w:b/>
          <w:bCs/>
          <w:color w:val="000000" w:themeColor="text1"/>
        </w:rPr>
      </w:pPr>
      <w:r w:rsidRPr="00571A51">
        <w:rPr>
          <w:rFonts w:cstheme="minorHAnsi"/>
          <w:b/>
          <w:bCs/>
          <w:color w:val="000000" w:themeColor="text1"/>
        </w:rPr>
        <w:t>Important Notes:</w:t>
      </w:r>
    </w:p>
    <w:p w14:paraId="1DF3CFF0" w14:textId="017AC92A" w:rsidR="00BC6326" w:rsidRPr="00571A51" w:rsidRDefault="009C7847" w:rsidP="00BC6326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>The c</w:t>
      </w:r>
      <w:r w:rsidR="00BC6326" w:rsidRPr="00571A51">
        <w:rPr>
          <w:rFonts w:cstheme="minorHAnsi"/>
          <w:color w:val="000000" w:themeColor="text1"/>
        </w:rPr>
        <w:t xml:space="preserve">ontract will be for a period of 3 years. </w:t>
      </w:r>
    </w:p>
    <w:p w14:paraId="72CCAFFA" w14:textId="77777777" w:rsidR="00BC6326" w:rsidRPr="00571A51" w:rsidRDefault="00BC6326" w:rsidP="00BC6326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>Pricing must be inclusive of VAT.</w:t>
      </w:r>
    </w:p>
    <w:p w14:paraId="0C49B94C" w14:textId="4EF17450" w:rsidR="00FD75B8" w:rsidRPr="00571A51" w:rsidRDefault="00BC6326" w:rsidP="00BC6326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571A51">
        <w:rPr>
          <w:rFonts w:cstheme="minorHAnsi"/>
          <w:color w:val="000000" w:themeColor="text1"/>
        </w:rPr>
        <w:t xml:space="preserve">Proposals must be emailed to </w:t>
      </w:r>
      <w:hyperlink r:id="rId8" w:history="1">
        <w:r w:rsidR="00397EC1" w:rsidRPr="00441BDE">
          <w:rPr>
            <w:rStyle w:val="Hyperlink"/>
            <w:rFonts w:cstheme="minorHAnsi"/>
          </w:rPr>
          <w:t>mmonareng@hsrc.ac.za</w:t>
        </w:r>
      </w:hyperlink>
    </w:p>
    <w:p w14:paraId="1A0EAB0E" w14:textId="27FF3DAC" w:rsidR="00FB38D6" w:rsidRPr="00E17CD9" w:rsidRDefault="00FB38D6" w:rsidP="000F1669">
      <w:pPr>
        <w:pStyle w:val="ListParagraph"/>
        <w:ind w:left="408"/>
        <w:rPr>
          <w:rFonts w:cstheme="minorHAnsi"/>
        </w:rPr>
      </w:pPr>
    </w:p>
    <w:sectPr w:rsidR="00FB38D6" w:rsidRPr="00E1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88F8" w14:textId="77777777" w:rsidR="00C66516" w:rsidRDefault="00C66516" w:rsidP="00A84B09">
      <w:pPr>
        <w:spacing w:after="0" w:line="240" w:lineRule="auto"/>
      </w:pPr>
      <w:r>
        <w:separator/>
      </w:r>
    </w:p>
  </w:endnote>
  <w:endnote w:type="continuationSeparator" w:id="0">
    <w:p w14:paraId="79266054" w14:textId="77777777" w:rsidR="00C66516" w:rsidRDefault="00C66516" w:rsidP="00A8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3DF8" w14:textId="77777777" w:rsidR="00C66516" w:rsidRDefault="00C66516" w:rsidP="00A84B09">
      <w:pPr>
        <w:spacing w:after="0" w:line="240" w:lineRule="auto"/>
      </w:pPr>
      <w:r>
        <w:separator/>
      </w:r>
    </w:p>
  </w:footnote>
  <w:footnote w:type="continuationSeparator" w:id="0">
    <w:p w14:paraId="6112E716" w14:textId="77777777" w:rsidR="00C66516" w:rsidRDefault="00C66516" w:rsidP="00A8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D21"/>
    <w:multiLevelType w:val="hybridMultilevel"/>
    <w:tmpl w:val="790651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34FA"/>
    <w:multiLevelType w:val="multilevel"/>
    <w:tmpl w:val="36DC07F6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5409C6"/>
    <w:multiLevelType w:val="hybridMultilevel"/>
    <w:tmpl w:val="500C61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42B6"/>
    <w:multiLevelType w:val="hybridMultilevel"/>
    <w:tmpl w:val="E79CFC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80287"/>
    <w:multiLevelType w:val="hybridMultilevel"/>
    <w:tmpl w:val="262EF90C"/>
    <w:lvl w:ilvl="0" w:tplc="02DAB6D4">
      <w:start w:val="1"/>
      <w:numFmt w:val="upperLetter"/>
      <w:lvlText w:val="%1."/>
      <w:lvlJc w:val="left"/>
      <w:pPr>
        <w:ind w:left="11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731" w:hanging="360"/>
      </w:pPr>
    </w:lvl>
    <w:lvl w:ilvl="2" w:tplc="1C09001B" w:tentative="1">
      <w:start w:val="1"/>
      <w:numFmt w:val="lowerRoman"/>
      <w:lvlText w:val="%3."/>
      <w:lvlJc w:val="right"/>
      <w:pPr>
        <w:ind w:left="1451" w:hanging="180"/>
      </w:pPr>
    </w:lvl>
    <w:lvl w:ilvl="3" w:tplc="1C09000F" w:tentative="1">
      <w:start w:val="1"/>
      <w:numFmt w:val="decimal"/>
      <w:lvlText w:val="%4."/>
      <w:lvlJc w:val="left"/>
      <w:pPr>
        <w:ind w:left="2171" w:hanging="360"/>
      </w:pPr>
    </w:lvl>
    <w:lvl w:ilvl="4" w:tplc="1C090019" w:tentative="1">
      <w:start w:val="1"/>
      <w:numFmt w:val="lowerLetter"/>
      <w:lvlText w:val="%5."/>
      <w:lvlJc w:val="left"/>
      <w:pPr>
        <w:ind w:left="2891" w:hanging="360"/>
      </w:pPr>
    </w:lvl>
    <w:lvl w:ilvl="5" w:tplc="1C09001B" w:tentative="1">
      <w:start w:val="1"/>
      <w:numFmt w:val="lowerRoman"/>
      <w:lvlText w:val="%6."/>
      <w:lvlJc w:val="right"/>
      <w:pPr>
        <w:ind w:left="3611" w:hanging="180"/>
      </w:pPr>
    </w:lvl>
    <w:lvl w:ilvl="6" w:tplc="1C09000F" w:tentative="1">
      <w:start w:val="1"/>
      <w:numFmt w:val="decimal"/>
      <w:lvlText w:val="%7."/>
      <w:lvlJc w:val="left"/>
      <w:pPr>
        <w:ind w:left="4331" w:hanging="360"/>
      </w:pPr>
    </w:lvl>
    <w:lvl w:ilvl="7" w:tplc="1C090019" w:tentative="1">
      <w:start w:val="1"/>
      <w:numFmt w:val="lowerLetter"/>
      <w:lvlText w:val="%8."/>
      <w:lvlJc w:val="left"/>
      <w:pPr>
        <w:ind w:left="5051" w:hanging="360"/>
      </w:pPr>
    </w:lvl>
    <w:lvl w:ilvl="8" w:tplc="1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70F003FA"/>
    <w:multiLevelType w:val="hybridMultilevel"/>
    <w:tmpl w:val="08CE02A6"/>
    <w:lvl w:ilvl="0" w:tplc="14541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8" w:hanging="360"/>
      </w:pPr>
    </w:lvl>
    <w:lvl w:ilvl="2" w:tplc="1C09001B" w:tentative="1">
      <w:start w:val="1"/>
      <w:numFmt w:val="lowerRoman"/>
      <w:lvlText w:val="%3."/>
      <w:lvlJc w:val="right"/>
      <w:pPr>
        <w:ind w:left="1848" w:hanging="180"/>
      </w:pPr>
    </w:lvl>
    <w:lvl w:ilvl="3" w:tplc="1C09000F" w:tentative="1">
      <w:start w:val="1"/>
      <w:numFmt w:val="decimal"/>
      <w:lvlText w:val="%4."/>
      <w:lvlJc w:val="left"/>
      <w:pPr>
        <w:ind w:left="2568" w:hanging="360"/>
      </w:pPr>
    </w:lvl>
    <w:lvl w:ilvl="4" w:tplc="1C090019" w:tentative="1">
      <w:start w:val="1"/>
      <w:numFmt w:val="lowerLetter"/>
      <w:lvlText w:val="%5."/>
      <w:lvlJc w:val="left"/>
      <w:pPr>
        <w:ind w:left="3288" w:hanging="360"/>
      </w:pPr>
    </w:lvl>
    <w:lvl w:ilvl="5" w:tplc="1C09001B" w:tentative="1">
      <w:start w:val="1"/>
      <w:numFmt w:val="lowerRoman"/>
      <w:lvlText w:val="%6."/>
      <w:lvlJc w:val="right"/>
      <w:pPr>
        <w:ind w:left="4008" w:hanging="180"/>
      </w:pPr>
    </w:lvl>
    <w:lvl w:ilvl="6" w:tplc="1C09000F" w:tentative="1">
      <w:start w:val="1"/>
      <w:numFmt w:val="decimal"/>
      <w:lvlText w:val="%7."/>
      <w:lvlJc w:val="left"/>
      <w:pPr>
        <w:ind w:left="4728" w:hanging="360"/>
      </w:pPr>
    </w:lvl>
    <w:lvl w:ilvl="7" w:tplc="1C090019" w:tentative="1">
      <w:start w:val="1"/>
      <w:numFmt w:val="lowerLetter"/>
      <w:lvlText w:val="%8."/>
      <w:lvlJc w:val="left"/>
      <w:pPr>
        <w:ind w:left="5448" w:hanging="360"/>
      </w:pPr>
    </w:lvl>
    <w:lvl w:ilvl="8" w:tplc="1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79783F1C"/>
    <w:multiLevelType w:val="hybridMultilevel"/>
    <w:tmpl w:val="B83ECD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86526"/>
    <w:multiLevelType w:val="multilevel"/>
    <w:tmpl w:val="730021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8" w:hanging="1440"/>
      </w:pPr>
      <w:rPr>
        <w:rFonts w:hint="default"/>
        <w:b/>
      </w:rPr>
    </w:lvl>
  </w:abstractNum>
  <w:num w:numId="1" w16cid:durableId="104616577">
    <w:abstractNumId w:val="6"/>
  </w:num>
  <w:num w:numId="2" w16cid:durableId="964120694">
    <w:abstractNumId w:val="5"/>
  </w:num>
  <w:num w:numId="3" w16cid:durableId="1540555843">
    <w:abstractNumId w:val="4"/>
  </w:num>
  <w:num w:numId="4" w16cid:durableId="1843741711">
    <w:abstractNumId w:val="1"/>
  </w:num>
  <w:num w:numId="5" w16cid:durableId="2069454425">
    <w:abstractNumId w:val="2"/>
  </w:num>
  <w:num w:numId="6" w16cid:durableId="996418024">
    <w:abstractNumId w:val="0"/>
  </w:num>
  <w:num w:numId="7" w16cid:durableId="915551103">
    <w:abstractNumId w:val="3"/>
  </w:num>
  <w:num w:numId="8" w16cid:durableId="164631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wNDU3Njc1MjIzMTZQ0lEKTi0uzszPAykwNKwFABBe/sEtAAAA"/>
  </w:docVars>
  <w:rsids>
    <w:rsidRoot w:val="00047959"/>
    <w:rsid w:val="00011822"/>
    <w:rsid w:val="00043BCB"/>
    <w:rsid w:val="00047959"/>
    <w:rsid w:val="00056C6B"/>
    <w:rsid w:val="00072A54"/>
    <w:rsid w:val="00076D7E"/>
    <w:rsid w:val="000946D7"/>
    <w:rsid w:val="0009617F"/>
    <w:rsid w:val="000A1E7D"/>
    <w:rsid w:val="000C5223"/>
    <w:rsid w:val="000D3A02"/>
    <w:rsid w:val="000D60A3"/>
    <w:rsid w:val="000F1669"/>
    <w:rsid w:val="001353A1"/>
    <w:rsid w:val="0014259E"/>
    <w:rsid w:val="00145BE4"/>
    <w:rsid w:val="001551D9"/>
    <w:rsid w:val="001B5915"/>
    <w:rsid w:val="001B59BC"/>
    <w:rsid w:val="00203612"/>
    <w:rsid w:val="00213561"/>
    <w:rsid w:val="002257D4"/>
    <w:rsid w:val="002313FF"/>
    <w:rsid w:val="002551E6"/>
    <w:rsid w:val="002859BA"/>
    <w:rsid w:val="00287CB6"/>
    <w:rsid w:val="00294CAD"/>
    <w:rsid w:val="00296DEF"/>
    <w:rsid w:val="002A701D"/>
    <w:rsid w:val="002C73BD"/>
    <w:rsid w:val="002D7301"/>
    <w:rsid w:val="002E659C"/>
    <w:rsid w:val="002F1BA8"/>
    <w:rsid w:val="002F582E"/>
    <w:rsid w:val="0031243D"/>
    <w:rsid w:val="00316698"/>
    <w:rsid w:val="003568F4"/>
    <w:rsid w:val="00361F5B"/>
    <w:rsid w:val="0037487D"/>
    <w:rsid w:val="003962D4"/>
    <w:rsid w:val="00397EC1"/>
    <w:rsid w:val="003A6505"/>
    <w:rsid w:val="003B3928"/>
    <w:rsid w:val="003B3F0D"/>
    <w:rsid w:val="003B5833"/>
    <w:rsid w:val="003C09C4"/>
    <w:rsid w:val="00417FBB"/>
    <w:rsid w:val="00423EB2"/>
    <w:rsid w:val="00427376"/>
    <w:rsid w:val="00457311"/>
    <w:rsid w:val="004613BA"/>
    <w:rsid w:val="00465BA1"/>
    <w:rsid w:val="004939BF"/>
    <w:rsid w:val="004960FE"/>
    <w:rsid w:val="004B5203"/>
    <w:rsid w:val="004E23B5"/>
    <w:rsid w:val="004F6185"/>
    <w:rsid w:val="0050161A"/>
    <w:rsid w:val="005032CA"/>
    <w:rsid w:val="00507EFB"/>
    <w:rsid w:val="005421AE"/>
    <w:rsid w:val="00545B61"/>
    <w:rsid w:val="005531AC"/>
    <w:rsid w:val="0056600B"/>
    <w:rsid w:val="00571A51"/>
    <w:rsid w:val="00575A2A"/>
    <w:rsid w:val="0057625D"/>
    <w:rsid w:val="00581F71"/>
    <w:rsid w:val="00585D72"/>
    <w:rsid w:val="0058716B"/>
    <w:rsid w:val="005A309B"/>
    <w:rsid w:val="005A55FE"/>
    <w:rsid w:val="005B13FE"/>
    <w:rsid w:val="005B3E0E"/>
    <w:rsid w:val="005C2BA3"/>
    <w:rsid w:val="005D07ED"/>
    <w:rsid w:val="005D528A"/>
    <w:rsid w:val="005D7885"/>
    <w:rsid w:val="005E0CB8"/>
    <w:rsid w:val="005E7817"/>
    <w:rsid w:val="005F2B9C"/>
    <w:rsid w:val="006165E4"/>
    <w:rsid w:val="0064319C"/>
    <w:rsid w:val="0064525D"/>
    <w:rsid w:val="0066032E"/>
    <w:rsid w:val="00681010"/>
    <w:rsid w:val="0068129A"/>
    <w:rsid w:val="006833B4"/>
    <w:rsid w:val="006948C3"/>
    <w:rsid w:val="006A2324"/>
    <w:rsid w:val="006A3699"/>
    <w:rsid w:val="006A63E9"/>
    <w:rsid w:val="006B507F"/>
    <w:rsid w:val="006B7761"/>
    <w:rsid w:val="006C44C7"/>
    <w:rsid w:val="006D68BE"/>
    <w:rsid w:val="006E014A"/>
    <w:rsid w:val="006E0EC5"/>
    <w:rsid w:val="006E11B4"/>
    <w:rsid w:val="006F54D4"/>
    <w:rsid w:val="00705FED"/>
    <w:rsid w:val="00763EBD"/>
    <w:rsid w:val="00784C30"/>
    <w:rsid w:val="00786E80"/>
    <w:rsid w:val="00790813"/>
    <w:rsid w:val="00797C90"/>
    <w:rsid w:val="007A184E"/>
    <w:rsid w:val="007B5D23"/>
    <w:rsid w:val="007B5F3A"/>
    <w:rsid w:val="007C491E"/>
    <w:rsid w:val="007C72E0"/>
    <w:rsid w:val="007D2B57"/>
    <w:rsid w:val="007E3719"/>
    <w:rsid w:val="007F54E3"/>
    <w:rsid w:val="007F62D2"/>
    <w:rsid w:val="00801DA7"/>
    <w:rsid w:val="00846006"/>
    <w:rsid w:val="0085036F"/>
    <w:rsid w:val="00855E24"/>
    <w:rsid w:val="00867786"/>
    <w:rsid w:val="008A25CB"/>
    <w:rsid w:val="008A5C68"/>
    <w:rsid w:val="008B4F21"/>
    <w:rsid w:val="008B71C5"/>
    <w:rsid w:val="008D51C8"/>
    <w:rsid w:val="008D7BB8"/>
    <w:rsid w:val="00906623"/>
    <w:rsid w:val="0090745C"/>
    <w:rsid w:val="00921FCC"/>
    <w:rsid w:val="00937BA4"/>
    <w:rsid w:val="00951CE0"/>
    <w:rsid w:val="009734C3"/>
    <w:rsid w:val="0097381D"/>
    <w:rsid w:val="00976450"/>
    <w:rsid w:val="00995D38"/>
    <w:rsid w:val="00997409"/>
    <w:rsid w:val="009A099E"/>
    <w:rsid w:val="009A6640"/>
    <w:rsid w:val="009A6EE6"/>
    <w:rsid w:val="009C7847"/>
    <w:rsid w:val="009C79A4"/>
    <w:rsid w:val="00A377C5"/>
    <w:rsid w:val="00A430B9"/>
    <w:rsid w:val="00A54A8E"/>
    <w:rsid w:val="00A54C65"/>
    <w:rsid w:val="00A629FC"/>
    <w:rsid w:val="00A73279"/>
    <w:rsid w:val="00A84B09"/>
    <w:rsid w:val="00AB5D03"/>
    <w:rsid w:val="00AC199F"/>
    <w:rsid w:val="00AF62C4"/>
    <w:rsid w:val="00B24A9B"/>
    <w:rsid w:val="00B2526F"/>
    <w:rsid w:val="00B27FAC"/>
    <w:rsid w:val="00B314A3"/>
    <w:rsid w:val="00B340E2"/>
    <w:rsid w:val="00B63000"/>
    <w:rsid w:val="00B70B41"/>
    <w:rsid w:val="00B72A04"/>
    <w:rsid w:val="00B75CA5"/>
    <w:rsid w:val="00B97757"/>
    <w:rsid w:val="00BA0D00"/>
    <w:rsid w:val="00BA258D"/>
    <w:rsid w:val="00BA53B2"/>
    <w:rsid w:val="00BC218F"/>
    <w:rsid w:val="00BC2F31"/>
    <w:rsid w:val="00BC6326"/>
    <w:rsid w:val="00BF0468"/>
    <w:rsid w:val="00C1022C"/>
    <w:rsid w:val="00C14235"/>
    <w:rsid w:val="00C654F7"/>
    <w:rsid w:val="00C66516"/>
    <w:rsid w:val="00C710D2"/>
    <w:rsid w:val="00CB5C2B"/>
    <w:rsid w:val="00CB7E38"/>
    <w:rsid w:val="00CC3500"/>
    <w:rsid w:val="00CD0E0F"/>
    <w:rsid w:val="00CD425C"/>
    <w:rsid w:val="00CD6A3D"/>
    <w:rsid w:val="00D03866"/>
    <w:rsid w:val="00D16680"/>
    <w:rsid w:val="00D20C7A"/>
    <w:rsid w:val="00D414CB"/>
    <w:rsid w:val="00D65EB5"/>
    <w:rsid w:val="00D7399E"/>
    <w:rsid w:val="00DB7308"/>
    <w:rsid w:val="00DD4F3E"/>
    <w:rsid w:val="00DE04FE"/>
    <w:rsid w:val="00DE2159"/>
    <w:rsid w:val="00DF01AF"/>
    <w:rsid w:val="00E04392"/>
    <w:rsid w:val="00E1389E"/>
    <w:rsid w:val="00E17CD9"/>
    <w:rsid w:val="00E22C55"/>
    <w:rsid w:val="00E34CCB"/>
    <w:rsid w:val="00E35BDB"/>
    <w:rsid w:val="00E35E1A"/>
    <w:rsid w:val="00E77746"/>
    <w:rsid w:val="00E92D65"/>
    <w:rsid w:val="00E9415D"/>
    <w:rsid w:val="00E967A6"/>
    <w:rsid w:val="00E97A68"/>
    <w:rsid w:val="00EA05C8"/>
    <w:rsid w:val="00EA4D68"/>
    <w:rsid w:val="00EB24DA"/>
    <w:rsid w:val="00ED2442"/>
    <w:rsid w:val="00ED6C41"/>
    <w:rsid w:val="00ED6EA1"/>
    <w:rsid w:val="00EF42DB"/>
    <w:rsid w:val="00EF6CF0"/>
    <w:rsid w:val="00F027FE"/>
    <w:rsid w:val="00F04658"/>
    <w:rsid w:val="00F05618"/>
    <w:rsid w:val="00F25B4E"/>
    <w:rsid w:val="00F27E68"/>
    <w:rsid w:val="00F467E1"/>
    <w:rsid w:val="00F53EAD"/>
    <w:rsid w:val="00FA7AD6"/>
    <w:rsid w:val="00FB38D6"/>
    <w:rsid w:val="00FD0612"/>
    <w:rsid w:val="00FD1EE1"/>
    <w:rsid w:val="00FD75B8"/>
    <w:rsid w:val="00FE3DD1"/>
    <w:rsid w:val="00FE6933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81B27"/>
  <w15:chartTrackingRefBased/>
  <w15:docId w15:val="{7D702CD7-15B1-4C63-955E-F3F7EFB5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09"/>
  </w:style>
  <w:style w:type="paragraph" w:styleId="Footer">
    <w:name w:val="footer"/>
    <w:basedOn w:val="Normal"/>
    <w:link w:val="FooterChar"/>
    <w:uiPriority w:val="99"/>
    <w:unhideWhenUsed/>
    <w:rsid w:val="00A84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09"/>
  </w:style>
  <w:style w:type="paragraph" w:styleId="ListParagraph">
    <w:name w:val="List Paragraph"/>
    <w:basedOn w:val="Normal"/>
    <w:uiPriority w:val="34"/>
    <w:qFormat/>
    <w:rsid w:val="005E78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5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5B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203612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203612"/>
    <w:rPr>
      <w:rFonts w:ascii="Arial" w:eastAsia="Times New Roman" w:hAnsi="Arial" w:cs="Arial"/>
      <w:kern w:val="0"/>
      <w:sz w:val="24"/>
      <w:szCs w:val="24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6A63E9"/>
    <w:rPr>
      <w:b/>
      <w:bCs/>
    </w:rPr>
  </w:style>
  <w:style w:type="paragraph" w:styleId="Revision">
    <w:name w:val="Revision"/>
    <w:hidden/>
    <w:uiPriority w:val="99"/>
    <w:semiHidden/>
    <w:rsid w:val="004F6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nareng@hsrc.ac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cend.co.za/advisory/our-services/validating-b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Pillay</dc:creator>
  <cp:keywords/>
  <dc:description/>
  <cp:lastModifiedBy>Meshack M. Monareng</cp:lastModifiedBy>
  <cp:revision>2</cp:revision>
  <dcterms:created xsi:type="dcterms:W3CDTF">2023-12-06T08:35:00Z</dcterms:created>
  <dcterms:modified xsi:type="dcterms:W3CDTF">2023-12-06T08:35:00Z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cbf6e6e7-ad56-4c0a-bed6-e362b266b3ea</vt:lpwstr>
  </property>
</Properties>
</file>