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3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328"/>
        <w:gridCol w:w="6996"/>
        <w:gridCol w:w="3119"/>
      </w:tblGrid>
      <w:tr w:rsidR="00513E7A" w14:paraId="3FE22FEB" w14:textId="77777777" w:rsidTr="00604040">
        <w:tc>
          <w:tcPr>
            <w:tcW w:w="328" w:type="dxa"/>
            <w:shd w:val="clear" w:color="auto" w:fill="A6A6A6" w:themeFill="background1" w:themeFillShade="A6"/>
          </w:tcPr>
          <w:p w14:paraId="02F4C1CD" w14:textId="4AE1C9B7" w:rsidR="00513E7A" w:rsidRDefault="00513E7A">
            <w:r>
              <w:t>#</w:t>
            </w:r>
          </w:p>
        </w:tc>
        <w:tc>
          <w:tcPr>
            <w:tcW w:w="6996" w:type="dxa"/>
            <w:shd w:val="clear" w:color="auto" w:fill="A6A6A6" w:themeFill="background1" w:themeFillShade="A6"/>
          </w:tcPr>
          <w:p w14:paraId="02BB8A27" w14:textId="06CC5B98" w:rsidR="00513E7A" w:rsidRDefault="00513E7A">
            <w:r>
              <w:t>Question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6FAFA1E1" w14:textId="660A0D92" w:rsidR="00513E7A" w:rsidRDefault="00513E7A">
            <w:r>
              <w:t>Answer</w:t>
            </w:r>
          </w:p>
        </w:tc>
      </w:tr>
      <w:tr w:rsidR="00513E7A" w14:paraId="5B6664A2" w14:textId="77777777" w:rsidTr="00604040">
        <w:tc>
          <w:tcPr>
            <w:tcW w:w="328" w:type="dxa"/>
          </w:tcPr>
          <w:p w14:paraId="63550E08" w14:textId="65BEA560" w:rsidR="00513E7A" w:rsidRDefault="00513E7A">
            <w:r>
              <w:t>1</w:t>
            </w:r>
          </w:p>
        </w:tc>
        <w:tc>
          <w:tcPr>
            <w:tcW w:w="6996" w:type="dxa"/>
          </w:tcPr>
          <w:p w14:paraId="6EA04641" w14:textId="77777777" w:rsidR="00513E7A" w:rsidRPr="00513E7A" w:rsidRDefault="00513E7A" w:rsidP="00513E7A">
            <w:pPr>
              <w:rPr>
                <w:lang w:val="en-US"/>
              </w:rPr>
            </w:pPr>
            <w:r w:rsidRPr="00513E7A">
              <w:rPr>
                <w:lang w:val="en-US"/>
              </w:rPr>
              <w:t>What is the split between IT and OT.</w:t>
            </w:r>
          </w:p>
          <w:p w14:paraId="51082392" w14:textId="77777777" w:rsidR="00513E7A" w:rsidRDefault="00513E7A"/>
        </w:tc>
        <w:tc>
          <w:tcPr>
            <w:tcW w:w="3119" w:type="dxa"/>
          </w:tcPr>
          <w:p w14:paraId="404969A3" w14:textId="3305BD80" w:rsidR="00513E7A" w:rsidRDefault="0084098D">
            <w:r>
              <w:t>The current scope caters for IT Assets however, the solution should be able to</w:t>
            </w:r>
            <w:r w:rsidR="00045986">
              <w:t xml:space="preserve"> cater for OT assets</w:t>
            </w:r>
          </w:p>
        </w:tc>
      </w:tr>
      <w:tr w:rsidR="00513E7A" w14:paraId="3CF8F59A" w14:textId="77777777" w:rsidTr="00604040">
        <w:tc>
          <w:tcPr>
            <w:tcW w:w="328" w:type="dxa"/>
          </w:tcPr>
          <w:p w14:paraId="022F9391" w14:textId="2A825E18" w:rsidR="00513E7A" w:rsidRDefault="00513E7A">
            <w:r>
              <w:t>2</w:t>
            </w:r>
          </w:p>
        </w:tc>
        <w:tc>
          <w:tcPr>
            <w:tcW w:w="6996" w:type="dxa"/>
          </w:tcPr>
          <w:p w14:paraId="50944235" w14:textId="77777777" w:rsidR="00513E7A" w:rsidRPr="00513E7A" w:rsidRDefault="00513E7A" w:rsidP="00513E7A">
            <w:pPr>
              <w:rPr>
                <w:rFonts w:ascii="Aptos" w:eastAsia="Times New Roman" w:hAnsi="Aptos" w:cs="Aptos"/>
                <w14:ligatures w14:val="standardContextual"/>
              </w:rPr>
            </w:pPr>
            <w:r w:rsidRPr="00513E7A">
              <w:rPr>
                <w:rFonts w:ascii="Aptos" w:eastAsia="Times New Roman" w:hAnsi="Aptos" w:cs="Aptos"/>
                <w14:ligatures w14:val="standardContextual"/>
              </w:rPr>
              <w:t>Regarding the SDLI Template for Bidders - CTEM - Annexure R (</w:t>
            </w:r>
            <w:proofErr w:type="gramStart"/>
            <w:r w:rsidRPr="00513E7A">
              <w:rPr>
                <w:rFonts w:ascii="Aptos" w:eastAsia="Times New Roman" w:hAnsi="Aptos" w:cs="Aptos"/>
                <w14:ligatures w14:val="standardContextual"/>
              </w:rPr>
              <w:t>AMENDED)  -</w:t>
            </w:r>
            <w:proofErr w:type="gramEnd"/>
            <w:r w:rsidRPr="00513E7A">
              <w:rPr>
                <w:rFonts w:ascii="Aptos" w:eastAsia="Times New Roman" w:hAnsi="Aptos" w:cs="Aptos"/>
                <w14:ligatures w14:val="standardContextual"/>
              </w:rPr>
              <w:t xml:space="preserve"> kindly also advise on the activities for subcontracting in the local scope of work.  Please also confirm if sub-contracting is mandatory as the 1</w:t>
            </w:r>
            <w:r w:rsidRPr="00513E7A">
              <w:rPr>
                <w:rFonts w:ascii="Aptos" w:eastAsia="Times New Roman" w:hAnsi="Aptos" w:cs="Aptos"/>
                <w:vertAlign w:val="superscript"/>
                <w14:ligatures w14:val="standardContextual"/>
              </w:rPr>
              <w:t>st</w:t>
            </w:r>
            <w:r w:rsidRPr="00513E7A">
              <w:rPr>
                <w:rFonts w:ascii="Aptos" w:eastAsia="Times New Roman" w:hAnsi="Aptos" w:cs="Aptos"/>
                <w14:ligatures w14:val="standardContextual"/>
              </w:rPr>
              <w:t xml:space="preserve"> statement in the below state “Subcontracting is not mandatory at tender closing for contracts above R30 mil but is a condition for contract award, where </w:t>
            </w:r>
            <w:proofErr w:type="gramStart"/>
            <w:r w:rsidRPr="00513E7A">
              <w:rPr>
                <w:rFonts w:ascii="Aptos" w:eastAsia="Times New Roman" w:hAnsi="Aptos" w:cs="Aptos"/>
                <w14:ligatures w14:val="standardContextual"/>
              </w:rPr>
              <w:t>feasible”  and</w:t>
            </w:r>
            <w:proofErr w:type="gramEnd"/>
            <w:r w:rsidRPr="00513E7A">
              <w:rPr>
                <w:rFonts w:ascii="Aptos" w:eastAsia="Times New Roman" w:hAnsi="Aptos" w:cs="Aptos"/>
                <w14:ligatures w14:val="standardContextual"/>
              </w:rPr>
              <w:t xml:space="preserve"> in the last paragraph it state “Subcontracting, in this instance, will be treated as a condition for contract award.” </w:t>
            </w:r>
          </w:p>
          <w:p w14:paraId="62BCD533" w14:textId="77777777" w:rsidR="00513E7A" w:rsidRPr="00513E7A" w:rsidRDefault="00513E7A" w:rsidP="00513E7A">
            <w:pPr>
              <w:rPr>
                <w:rFonts w:ascii="Aptos" w:eastAsia="Aptos" w:hAnsi="Aptos" w:cs="Aptos"/>
                <w14:ligatures w14:val="standardContextual"/>
              </w:rPr>
            </w:pPr>
          </w:p>
          <w:p w14:paraId="014BFF97" w14:textId="77777777" w:rsidR="00513E7A" w:rsidRPr="00513E7A" w:rsidRDefault="00513E7A" w:rsidP="00513E7A">
            <w:pPr>
              <w:ind w:left="720"/>
              <w:rPr>
                <w:rFonts w:ascii="Aptos" w:eastAsia="Aptos" w:hAnsi="Aptos" w:cs="Aptos"/>
                <w14:ligatures w14:val="standardContextual"/>
              </w:rPr>
            </w:pPr>
            <w:r w:rsidRPr="00513E7A">
              <w:rPr>
                <w:rFonts w:ascii="Aptos" w:eastAsia="Aptos" w:hAnsi="Aptos" w:cs="Aptos"/>
                <w:noProof/>
                <w14:ligatures w14:val="standardContextual"/>
              </w:rPr>
              <w:drawing>
                <wp:inline distT="0" distB="0" distL="0" distR="0" wp14:anchorId="5B98F335" wp14:editId="15B730AB">
                  <wp:extent cx="4362450" cy="39052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CC6B0" w14:textId="77777777" w:rsidR="00513E7A" w:rsidRDefault="00513E7A"/>
        </w:tc>
        <w:tc>
          <w:tcPr>
            <w:tcW w:w="3119" w:type="dxa"/>
          </w:tcPr>
          <w:p w14:paraId="498442D5" w14:textId="77777777" w:rsidR="00604040" w:rsidRPr="00604040" w:rsidRDefault="00604040" w:rsidP="00604040">
            <w:pPr>
              <w:numPr>
                <w:ilvl w:val="0"/>
                <w:numId w:val="6"/>
              </w:numPr>
              <w:rPr>
                <w:rFonts w:ascii="Aptos" w:eastAsia="Times New Roman" w:hAnsi="Aptos" w:cs="Aptos"/>
              </w:rPr>
            </w:pPr>
            <w:r w:rsidRPr="00604040">
              <w:rPr>
                <w:rFonts w:ascii="Aptos" w:eastAsia="Times New Roman" w:hAnsi="Aptos" w:cs="Aptos"/>
              </w:rPr>
              <w:t>All subcontracting in this RFP is not mandatory at tender closing, this means that if you did not respond to subcontracting attender closing, you will not be eliminated</w:t>
            </w:r>
          </w:p>
          <w:p w14:paraId="7204B0AE" w14:textId="77777777" w:rsidR="00604040" w:rsidRPr="00604040" w:rsidRDefault="00604040" w:rsidP="00604040">
            <w:pPr>
              <w:numPr>
                <w:ilvl w:val="0"/>
                <w:numId w:val="6"/>
              </w:numPr>
              <w:rPr>
                <w:rFonts w:ascii="Aptos" w:eastAsia="Times New Roman" w:hAnsi="Aptos" w:cs="Aptos"/>
              </w:rPr>
            </w:pPr>
            <w:r w:rsidRPr="00604040">
              <w:rPr>
                <w:rFonts w:ascii="Aptos" w:eastAsia="Times New Roman" w:hAnsi="Aptos" w:cs="Aptos"/>
              </w:rPr>
              <w:t xml:space="preserve">Subcontracting is a condition for contract award, which means that we must negotiate </w:t>
            </w:r>
            <w:proofErr w:type="spellStart"/>
            <w:proofErr w:type="gramStart"/>
            <w:r w:rsidRPr="00604040">
              <w:rPr>
                <w:rFonts w:ascii="Aptos" w:eastAsia="Times New Roman" w:hAnsi="Aptos" w:cs="Aptos"/>
              </w:rPr>
              <w:t>sub contracting</w:t>
            </w:r>
            <w:proofErr w:type="spellEnd"/>
            <w:proofErr w:type="gramEnd"/>
            <w:r w:rsidRPr="00604040">
              <w:rPr>
                <w:rFonts w:ascii="Aptos" w:eastAsia="Times New Roman" w:hAnsi="Aptos" w:cs="Aptos"/>
              </w:rPr>
              <w:t xml:space="preserve"> with you to commit something (% sub </w:t>
            </w:r>
            <w:proofErr w:type="gramStart"/>
            <w:r w:rsidRPr="00604040">
              <w:rPr>
                <w:rFonts w:ascii="Aptos" w:eastAsia="Times New Roman" w:hAnsi="Aptos" w:cs="Aptos"/>
              </w:rPr>
              <w:t>contracting)  before</w:t>
            </w:r>
            <w:proofErr w:type="gramEnd"/>
            <w:r w:rsidRPr="00604040">
              <w:rPr>
                <w:rFonts w:ascii="Aptos" w:eastAsia="Times New Roman" w:hAnsi="Aptos" w:cs="Aptos"/>
              </w:rPr>
              <w:t xml:space="preserve"> we can award a tender, </w:t>
            </w:r>
          </w:p>
          <w:p w14:paraId="38FB091C" w14:textId="77777777" w:rsidR="00604040" w:rsidRPr="00604040" w:rsidRDefault="00604040" w:rsidP="00604040">
            <w:pPr>
              <w:numPr>
                <w:ilvl w:val="0"/>
                <w:numId w:val="6"/>
              </w:numPr>
              <w:rPr>
                <w:rFonts w:ascii="Aptos" w:eastAsia="Times New Roman" w:hAnsi="Aptos" w:cs="Aptos"/>
              </w:rPr>
            </w:pPr>
            <w:r w:rsidRPr="00604040">
              <w:rPr>
                <w:rFonts w:ascii="Aptos" w:eastAsia="Times New Roman" w:hAnsi="Aptos" w:cs="Aptos"/>
              </w:rPr>
              <w:t xml:space="preserve">Where feasible means that we identify scope of work that is possible/feasible for </w:t>
            </w:r>
            <w:proofErr w:type="spellStart"/>
            <w:proofErr w:type="gramStart"/>
            <w:r w:rsidRPr="00604040">
              <w:rPr>
                <w:rFonts w:ascii="Aptos" w:eastAsia="Times New Roman" w:hAnsi="Aptos" w:cs="Aptos"/>
              </w:rPr>
              <w:t>sub contracting</w:t>
            </w:r>
            <w:proofErr w:type="spellEnd"/>
            <w:proofErr w:type="gramEnd"/>
          </w:p>
          <w:p w14:paraId="1199416E" w14:textId="77777777" w:rsidR="00604040" w:rsidRPr="00604040" w:rsidRDefault="00604040" w:rsidP="00604040">
            <w:pPr>
              <w:numPr>
                <w:ilvl w:val="0"/>
                <w:numId w:val="6"/>
              </w:numPr>
              <w:rPr>
                <w:rFonts w:ascii="Aptos" w:eastAsia="Times New Roman" w:hAnsi="Aptos" w:cs="Aptos"/>
              </w:rPr>
            </w:pPr>
            <w:r w:rsidRPr="00604040">
              <w:rPr>
                <w:rFonts w:ascii="Aptos" w:eastAsia="Times New Roman" w:hAnsi="Aptos" w:cs="Aptos"/>
              </w:rPr>
              <w:t xml:space="preserve">Activities for </w:t>
            </w:r>
            <w:proofErr w:type="spellStart"/>
            <w:proofErr w:type="gramStart"/>
            <w:r w:rsidRPr="00604040">
              <w:rPr>
                <w:rFonts w:ascii="Aptos" w:eastAsia="Times New Roman" w:hAnsi="Aptos" w:cs="Aptos"/>
              </w:rPr>
              <w:t>sub contracting</w:t>
            </w:r>
            <w:proofErr w:type="spellEnd"/>
            <w:proofErr w:type="gramEnd"/>
            <w:r w:rsidRPr="00604040">
              <w:rPr>
                <w:rFonts w:ascii="Aptos" w:eastAsia="Times New Roman" w:hAnsi="Aptos" w:cs="Aptos"/>
              </w:rPr>
              <w:t xml:space="preserve"> – We have not prescribed/ or dictated any potential </w:t>
            </w:r>
            <w:proofErr w:type="spellStart"/>
            <w:proofErr w:type="gramStart"/>
            <w:r w:rsidRPr="00604040">
              <w:rPr>
                <w:rFonts w:ascii="Aptos" w:eastAsia="Times New Roman" w:hAnsi="Aptos" w:cs="Aptos"/>
              </w:rPr>
              <w:t>sub contracting</w:t>
            </w:r>
            <w:proofErr w:type="spellEnd"/>
            <w:proofErr w:type="gramEnd"/>
            <w:r w:rsidRPr="00604040">
              <w:rPr>
                <w:rFonts w:ascii="Aptos" w:eastAsia="Times New Roman" w:hAnsi="Aptos" w:cs="Aptos"/>
              </w:rPr>
              <w:t xml:space="preserve"> activities. You can identify, within </w:t>
            </w:r>
            <w:proofErr w:type="gramStart"/>
            <w:r w:rsidRPr="00604040">
              <w:rPr>
                <w:rFonts w:ascii="Aptos" w:eastAsia="Times New Roman" w:hAnsi="Aptos" w:cs="Aptos"/>
              </w:rPr>
              <w:t>your  value</w:t>
            </w:r>
            <w:proofErr w:type="gramEnd"/>
            <w:r w:rsidRPr="00604040">
              <w:rPr>
                <w:rFonts w:ascii="Aptos" w:eastAsia="Times New Roman" w:hAnsi="Aptos" w:cs="Aptos"/>
              </w:rPr>
              <w:t xml:space="preserve"> chain, any elements of the scope of work that will not create a risk in the process, and identify for </w:t>
            </w:r>
            <w:proofErr w:type="spellStart"/>
            <w:r w:rsidRPr="00604040">
              <w:rPr>
                <w:rFonts w:ascii="Aptos" w:eastAsia="Times New Roman" w:hAnsi="Aptos" w:cs="Aptos"/>
              </w:rPr>
              <w:t xml:space="preserve">sub </w:t>
            </w:r>
            <w:proofErr w:type="gramStart"/>
            <w:r w:rsidRPr="00604040">
              <w:rPr>
                <w:rFonts w:ascii="Aptos" w:eastAsia="Times New Roman" w:hAnsi="Aptos" w:cs="Aptos"/>
              </w:rPr>
              <w:t>contracting</w:t>
            </w:r>
            <w:proofErr w:type="spellEnd"/>
            <w:r w:rsidRPr="00604040">
              <w:rPr>
                <w:rFonts w:ascii="Aptos" w:eastAsia="Times New Roman" w:hAnsi="Aptos" w:cs="Aptos"/>
              </w:rPr>
              <w:t xml:space="preserve"> .</w:t>
            </w:r>
            <w:proofErr w:type="gramEnd"/>
          </w:p>
          <w:p w14:paraId="149F43CE" w14:textId="77777777" w:rsidR="00513E7A" w:rsidRDefault="00513E7A"/>
        </w:tc>
      </w:tr>
      <w:tr w:rsidR="00513E7A" w14:paraId="1E73F187" w14:textId="77777777" w:rsidTr="00604040">
        <w:tc>
          <w:tcPr>
            <w:tcW w:w="328" w:type="dxa"/>
          </w:tcPr>
          <w:p w14:paraId="35F2DE87" w14:textId="77777777" w:rsidR="00513E7A" w:rsidRDefault="00513E7A"/>
        </w:tc>
        <w:tc>
          <w:tcPr>
            <w:tcW w:w="6996" w:type="dxa"/>
          </w:tcPr>
          <w:p w14:paraId="414FA2C1" w14:textId="26EC802C" w:rsidR="00513E7A" w:rsidRDefault="005F4940">
            <w:r>
              <w:rPr>
                <w:rFonts w:ascii="Calibri" w:hAnsi="Calibri" w:cs="Calibri"/>
                <w:noProof/>
                <w:lang w:val="en-IN"/>
              </w:rPr>
              <w:drawing>
                <wp:inline distT="0" distB="0" distL="0" distR="0" wp14:anchorId="03D004B1" wp14:editId="40841A29">
                  <wp:extent cx="5731510" cy="561975"/>
                  <wp:effectExtent l="0" t="0" r="2540" b="9525"/>
                  <wp:docPr id="16644676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26126BBE" w14:textId="77777777" w:rsidR="00513E7A" w:rsidRDefault="00964112" w:rsidP="00964112">
            <w:pPr>
              <w:pStyle w:val="ListParagraph"/>
              <w:numPr>
                <w:ilvl w:val="0"/>
                <w:numId w:val="5"/>
              </w:numPr>
            </w:pPr>
            <w:r>
              <w:t>One cloud instance</w:t>
            </w:r>
          </w:p>
          <w:p w14:paraId="75767B1E" w14:textId="77777777" w:rsidR="00964112" w:rsidRDefault="00AC10A8" w:rsidP="00964112">
            <w:pPr>
              <w:pStyle w:val="ListParagraph"/>
              <w:numPr>
                <w:ilvl w:val="0"/>
                <w:numId w:val="5"/>
              </w:numPr>
            </w:pPr>
            <w:r>
              <w:t>A minimum of twenty (20)</w:t>
            </w:r>
          </w:p>
          <w:p w14:paraId="2723AB6B" w14:textId="0931CDEF" w:rsidR="00AC10A8" w:rsidRDefault="0084098D" w:rsidP="00964112">
            <w:pPr>
              <w:pStyle w:val="ListParagraph"/>
              <w:numPr>
                <w:ilvl w:val="0"/>
                <w:numId w:val="5"/>
              </w:numPr>
            </w:pPr>
            <w:r>
              <w:t>Unknown at this stage</w:t>
            </w:r>
          </w:p>
        </w:tc>
      </w:tr>
    </w:tbl>
    <w:p w14:paraId="7E02E522" w14:textId="77777777" w:rsidR="00FA23FB" w:rsidRDefault="00FA23FB"/>
    <w:p w14:paraId="1587C3CB" w14:textId="7E43A8DE" w:rsidR="00956141" w:rsidRPr="00956141" w:rsidRDefault="00956141" w:rsidP="00045986">
      <w:pPr>
        <w:spacing w:after="0"/>
      </w:pPr>
    </w:p>
    <w:sectPr w:rsidR="00956141" w:rsidRPr="00956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2090"/>
    <w:multiLevelType w:val="hybridMultilevel"/>
    <w:tmpl w:val="89BA1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9BC"/>
    <w:multiLevelType w:val="hybridMultilevel"/>
    <w:tmpl w:val="D7045D6E"/>
    <w:lvl w:ilvl="0" w:tplc="729AE7E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05702"/>
    <w:multiLevelType w:val="hybridMultilevel"/>
    <w:tmpl w:val="D7045D6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D6D99"/>
    <w:multiLevelType w:val="hybridMultilevel"/>
    <w:tmpl w:val="CF322D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2165"/>
    <w:multiLevelType w:val="hybridMultilevel"/>
    <w:tmpl w:val="5A8ABD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98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782143">
    <w:abstractNumId w:val="3"/>
  </w:num>
  <w:num w:numId="3" w16cid:durableId="465124516">
    <w:abstractNumId w:val="1"/>
  </w:num>
  <w:num w:numId="4" w16cid:durableId="637883066">
    <w:abstractNumId w:val="2"/>
  </w:num>
  <w:num w:numId="5" w16cid:durableId="1080756879">
    <w:abstractNumId w:val="0"/>
  </w:num>
  <w:num w:numId="6" w16cid:durableId="15939337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7A"/>
    <w:rsid w:val="00045986"/>
    <w:rsid w:val="001847EE"/>
    <w:rsid w:val="00513E7A"/>
    <w:rsid w:val="005905A2"/>
    <w:rsid w:val="005F4940"/>
    <w:rsid w:val="00604040"/>
    <w:rsid w:val="00745308"/>
    <w:rsid w:val="0084098D"/>
    <w:rsid w:val="00956141"/>
    <w:rsid w:val="00964112"/>
    <w:rsid w:val="00AC10A8"/>
    <w:rsid w:val="00D55D74"/>
    <w:rsid w:val="00E7345B"/>
    <w:rsid w:val="00E85503"/>
    <w:rsid w:val="00F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395D"/>
  <w15:chartTrackingRefBased/>
  <w15:docId w15:val="{BFA446D0-77E7-4C9A-8EC2-B29BC581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E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E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E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E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E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1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C12C1.EC6E93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C11AF.D2EC42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Mbulelo Mncengani</dc:creator>
  <cp:keywords/>
  <dc:description/>
  <cp:lastModifiedBy>Mbulelo Mncengani</cp:lastModifiedBy>
  <cp:revision>2</cp:revision>
  <dcterms:created xsi:type="dcterms:W3CDTF">2025-08-26T09:11:00Z</dcterms:created>
  <dcterms:modified xsi:type="dcterms:W3CDTF">2025-08-26T09:11:00Z</dcterms:modified>
</cp:coreProperties>
</file>