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58062A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6FF7E037" w14:textId="77777777" w:rsidR="0058062A" w:rsidRDefault="0058062A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Pure </w:t>
            </w:r>
            <w:proofErr w:type="spellStart"/>
            <w:r>
              <w:rPr>
                <w:sz w:val="22"/>
                <w:szCs w:val="22"/>
              </w:rPr>
              <w:t>portland</w:t>
            </w:r>
            <w:proofErr w:type="spellEnd"/>
            <w:r>
              <w:rPr>
                <w:sz w:val="22"/>
                <w:szCs w:val="22"/>
              </w:rPr>
              <w:t xml:space="preserve"> cement with a 95-100% clinker. </w:t>
            </w:r>
          </w:p>
          <w:p w14:paraId="57983044" w14:textId="77777777" w:rsidR="0058062A" w:rsidRDefault="0058062A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</w:p>
        </w:tc>
        <w:tc>
          <w:tcPr>
            <w:tcW w:w="2126" w:type="dxa"/>
          </w:tcPr>
          <w:p w14:paraId="04807C0B" w14:textId="0B167742" w:rsidR="0058062A" w:rsidRPr="00BA614F" w:rsidRDefault="008B0F7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3093" w:type="dxa"/>
          </w:tcPr>
          <w:p w14:paraId="50237595" w14:textId="116BD9A4" w:rsidR="0058062A" w:rsidRDefault="0058062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547FB" w:rsidRPr="00A90FFA" w14:paraId="75B03AA6" w14:textId="77777777" w:rsidTr="00BA614F">
        <w:trPr>
          <w:trHeight w:val="741"/>
          <w:jc w:val="center"/>
        </w:trPr>
        <w:tc>
          <w:tcPr>
            <w:tcW w:w="3813" w:type="dxa"/>
          </w:tcPr>
          <w:p w14:paraId="081259B9" w14:textId="77777777" w:rsidR="00006145" w:rsidRPr="00006145" w:rsidRDefault="00006145" w:rsidP="00006145">
            <w:pPr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</w:pPr>
            <w:r w:rsidRPr="00006145">
              <w:rPr>
                <w:rFonts w:ascii="Arial" w:hAnsi="Arial" w:cs="Arial"/>
                <w:color w:val="000000"/>
                <w:sz w:val="22"/>
                <w:szCs w:val="22"/>
              </w:rPr>
              <w:t>Polyvinyl chloride (PVC) pipes</w:t>
            </w:r>
          </w:p>
          <w:p w14:paraId="6BCDC833" w14:textId="77777777" w:rsidR="00D547FB" w:rsidRDefault="00D547FB" w:rsidP="0058062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63401" w14:textId="3C3E9623" w:rsidR="00D547FB" w:rsidRDefault="007359BC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85</w:t>
            </w:r>
          </w:p>
        </w:tc>
        <w:tc>
          <w:tcPr>
            <w:tcW w:w="3093" w:type="dxa"/>
          </w:tcPr>
          <w:p w14:paraId="4785DE5C" w14:textId="39F9E77C" w:rsidR="00D547FB" w:rsidRDefault="0000614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F6FBC" w:rsidRPr="00A90FFA" w14:paraId="29016FEE" w14:textId="77777777" w:rsidTr="00BA614F">
        <w:trPr>
          <w:trHeight w:val="741"/>
          <w:jc w:val="center"/>
        </w:trPr>
        <w:tc>
          <w:tcPr>
            <w:tcW w:w="3813" w:type="dxa"/>
          </w:tcPr>
          <w:p w14:paraId="624C6AE2" w14:textId="3188DE52" w:rsidR="005F6FBC" w:rsidRPr="005F6FBC" w:rsidRDefault="005F6FBC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PVC gutter end cap (D-shape/ </w:t>
            </w:r>
            <w:proofErr w:type="spellStart"/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Vynadeep</w:t>
            </w:r>
            <w:proofErr w:type="spellEnd"/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126" w:type="dxa"/>
          </w:tcPr>
          <w:p w14:paraId="28AD40E9" w14:textId="78F1484B" w:rsidR="005F6FBC" w:rsidRDefault="005F6FBC" w:rsidP="005F6F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2429">
              <w:t>30</w:t>
            </w:r>
          </w:p>
        </w:tc>
        <w:tc>
          <w:tcPr>
            <w:tcW w:w="3093" w:type="dxa"/>
          </w:tcPr>
          <w:p w14:paraId="199FF833" w14:textId="4ACB1D4F" w:rsidR="005F6FBC" w:rsidRDefault="005F6FBC" w:rsidP="005F6F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F6FBC" w:rsidRPr="00A90FFA" w14:paraId="070EFF92" w14:textId="77777777" w:rsidTr="00BA614F">
        <w:trPr>
          <w:trHeight w:val="741"/>
          <w:jc w:val="center"/>
        </w:trPr>
        <w:tc>
          <w:tcPr>
            <w:tcW w:w="3813" w:type="dxa"/>
          </w:tcPr>
          <w:p w14:paraId="40904F25" w14:textId="279A739F" w:rsidR="005F6FBC" w:rsidRPr="005F6FBC" w:rsidRDefault="005F6FBC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Gutter bracket with </w:t>
            </w:r>
            <w:proofErr w:type="gramStart"/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screws  D</w:t>
            </w:r>
            <w:proofErr w:type="gramEnd"/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-shape/</w:t>
            </w:r>
            <w:proofErr w:type="spellStart"/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Vynadeep</w:t>
            </w:r>
            <w:proofErr w:type="spellEnd"/>
          </w:p>
        </w:tc>
        <w:tc>
          <w:tcPr>
            <w:tcW w:w="2126" w:type="dxa"/>
          </w:tcPr>
          <w:p w14:paraId="7B391F05" w14:textId="5B6F67C5" w:rsidR="005F6FBC" w:rsidRDefault="005F6FBC" w:rsidP="005F6F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2429">
              <w:t>30</w:t>
            </w:r>
          </w:p>
        </w:tc>
        <w:tc>
          <w:tcPr>
            <w:tcW w:w="3093" w:type="dxa"/>
          </w:tcPr>
          <w:p w14:paraId="59680830" w14:textId="6D302B13" w:rsidR="005F6FBC" w:rsidRDefault="005F6FBC" w:rsidP="005F6F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F6FBC" w:rsidRPr="00A90FFA" w14:paraId="23C7D29F" w14:textId="77777777" w:rsidTr="00BA614F">
        <w:trPr>
          <w:trHeight w:val="741"/>
          <w:jc w:val="center"/>
        </w:trPr>
        <w:tc>
          <w:tcPr>
            <w:tcW w:w="3813" w:type="dxa"/>
          </w:tcPr>
          <w:p w14:paraId="5AD4752D" w14:textId="41934168" w:rsidR="005F6FBC" w:rsidRPr="005F6FBC" w:rsidRDefault="005F6FBC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Gutter connectors (UPVC gutter union clip) D-shape/</w:t>
            </w:r>
            <w:proofErr w:type="spellStart"/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Vynadeep</w:t>
            </w:r>
            <w:proofErr w:type="spellEnd"/>
          </w:p>
        </w:tc>
        <w:tc>
          <w:tcPr>
            <w:tcW w:w="2126" w:type="dxa"/>
          </w:tcPr>
          <w:p w14:paraId="23A02E65" w14:textId="5BECDA97" w:rsidR="005F6FBC" w:rsidRDefault="005F6FBC" w:rsidP="005F6F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2429">
              <w:t>180</w:t>
            </w:r>
          </w:p>
        </w:tc>
        <w:tc>
          <w:tcPr>
            <w:tcW w:w="3093" w:type="dxa"/>
          </w:tcPr>
          <w:p w14:paraId="53209382" w14:textId="6BF16DC3" w:rsidR="005F6FBC" w:rsidRDefault="005F6FBC" w:rsidP="005F6F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F6FBC" w:rsidRPr="00A90FFA" w14:paraId="6F4A2BCD" w14:textId="77777777" w:rsidTr="00BA614F">
        <w:trPr>
          <w:trHeight w:val="741"/>
          <w:jc w:val="center"/>
        </w:trPr>
        <w:tc>
          <w:tcPr>
            <w:tcW w:w="3813" w:type="dxa"/>
          </w:tcPr>
          <w:p w14:paraId="20CCE9A6" w14:textId="20BB473C" w:rsidR="005F6FBC" w:rsidRPr="005F6FBC" w:rsidRDefault="005F6FBC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90 </w:t>
            </w:r>
            <w:r w:rsidRPr="005F6FBC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 w:eastAsia="en-GB"/>
              </w:rPr>
              <w:t>0</w:t>
            </w:r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internal gutter angle</w:t>
            </w:r>
          </w:p>
        </w:tc>
        <w:tc>
          <w:tcPr>
            <w:tcW w:w="2126" w:type="dxa"/>
          </w:tcPr>
          <w:p w14:paraId="702C3794" w14:textId="288AAD85" w:rsidR="005F6FBC" w:rsidRDefault="005F6FBC" w:rsidP="005F6F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2429">
              <w:t>40</w:t>
            </w:r>
          </w:p>
        </w:tc>
        <w:tc>
          <w:tcPr>
            <w:tcW w:w="3093" w:type="dxa"/>
          </w:tcPr>
          <w:p w14:paraId="6B5D2465" w14:textId="280CC767" w:rsidR="005F6FBC" w:rsidRDefault="005F6FBC" w:rsidP="005F6F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F6FBC" w:rsidRPr="00A90FFA" w14:paraId="4E28CD86" w14:textId="77777777" w:rsidTr="00BA614F">
        <w:trPr>
          <w:trHeight w:val="741"/>
          <w:jc w:val="center"/>
        </w:trPr>
        <w:tc>
          <w:tcPr>
            <w:tcW w:w="3813" w:type="dxa"/>
          </w:tcPr>
          <w:p w14:paraId="3BB77A23" w14:textId="18DCD962" w:rsidR="005F6FBC" w:rsidRPr="005F6FBC" w:rsidRDefault="005F6FBC" w:rsidP="005F6F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90 </w:t>
            </w:r>
            <w:r w:rsidRPr="005F6FBC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 w:eastAsia="en-GB"/>
              </w:rPr>
              <w:t>0</w:t>
            </w:r>
            <w:r w:rsidRPr="005F6FB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external gutter angle   </w:t>
            </w:r>
          </w:p>
        </w:tc>
        <w:tc>
          <w:tcPr>
            <w:tcW w:w="2126" w:type="dxa"/>
          </w:tcPr>
          <w:p w14:paraId="08D56C81" w14:textId="6B2F98E9" w:rsidR="005F6FBC" w:rsidRDefault="005F6FBC" w:rsidP="005F6F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2429">
              <w:t>40</w:t>
            </w:r>
          </w:p>
        </w:tc>
        <w:tc>
          <w:tcPr>
            <w:tcW w:w="3093" w:type="dxa"/>
          </w:tcPr>
          <w:p w14:paraId="7EB057E4" w14:textId="0D4A941C" w:rsidR="005F6FBC" w:rsidRDefault="005F6FBC" w:rsidP="005F6F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04E579E" w14:textId="1DFE1C25" w:rsidR="001F78A9" w:rsidRPr="00006145" w:rsidRDefault="00193CFF" w:rsidP="00006145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006145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B03FC0A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01538A" w:rsidRPr="0001538A">
              <w:t>RFQ-01533</w:t>
            </w:r>
            <w:r w:rsidR="001359B4">
              <w:t>9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72F1CBF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  <w:r w:rsidR="005F6FBC">
              <w:t xml:space="preserve"> 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C224926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</w:t>
            </w:r>
            <w:r w:rsidR="005F6FBC">
              <w:rPr>
                <w:rFonts w:ascii="Arial" w:hAnsi="Arial" w:cs="Arial"/>
                <w:sz w:val="22"/>
                <w:szCs w:val="22"/>
              </w:rPr>
              <w:t>,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and submit this declaration cannot be transferred to an external authorized representative, auditor</w:t>
            </w:r>
            <w:r w:rsidR="005F6FBC">
              <w:rPr>
                <w:rFonts w:ascii="Arial" w:hAnsi="Arial" w:cs="Arial"/>
                <w:sz w:val="22"/>
                <w:szCs w:val="22"/>
              </w:rPr>
              <w:t>,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or any other third party acting on behalf of the bidder.</w:t>
            </w:r>
          </w:p>
          <w:p w14:paraId="41BFD4C5" w14:textId="4A5D4492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Guidance on the Calculation of Local Content together with Local Content Declaration Templates (Annex C, D</w:t>
            </w:r>
            <w:r w:rsidR="005F6FBC">
              <w:rPr>
                <w:rFonts w:ascii="Arial" w:hAnsi="Arial" w:cs="Arial"/>
                <w:sz w:val="22"/>
                <w:szCs w:val="22"/>
              </w:rPr>
              <w:t>,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06145"/>
    <w:rsid w:val="0001538A"/>
    <w:rsid w:val="00032EC1"/>
    <w:rsid w:val="00046944"/>
    <w:rsid w:val="00083D66"/>
    <w:rsid w:val="000C498B"/>
    <w:rsid w:val="000D6909"/>
    <w:rsid w:val="001359B4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6416A"/>
    <w:rsid w:val="00475901"/>
    <w:rsid w:val="0058062A"/>
    <w:rsid w:val="00592E3B"/>
    <w:rsid w:val="005F6FBC"/>
    <w:rsid w:val="00602817"/>
    <w:rsid w:val="00670CC1"/>
    <w:rsid w:val="00696671"/>
    <w:rsid w:val="006E33BE"/>
    <w:rsid w:val="0071383A"/>
    <w:rsid w:val="007359BC"/>
    <w:rsid w:val="007E4B7E"/>
    <w:rsid w:val="007F24F4"/>
    <w:rsid w:val="0089429D"/>
    <w:rsid w:val="008A35F6"/>
    <w:rsid w:val="008B0F7A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547FB"/>
    <w:rsid w:val="00D73B5B"/>
    <w:rsid w:val="00DC3976"/>
    <w:rsid w:val="00DC5917"/>
    <w:rsid w:val="00DE5AE8"/>
    <w:rsid w:val="00DF1062"/>
    <w:rsid w:val="00E36314"/>
    <w:rsid w:val="00E52F26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1445</Words>
  <Characters>6956</Characters>
  <Application>Microsoft Office Word</Application>
  <DocSecurity>0</DocSecurity>
  <Lines>1391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7841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2023-03-01T11:16:00Z</dcterms:created>
  <dcterms:modified xsi:type="dcterms:W3CDTF">2023-03-01T11:16:00Z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