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Content>
        <w:sdt>
          <w:sdtPr>
            <w:id w:val="-1462265599"/>
            <w:lock w:val="sdtContentLocked"/>
            <w:placeholder>
              <w:docPart w:val="50FD1F13D00F4F75AC9F86E83A7A0C7D"/>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B4857"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995CFE"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rsidR="00B6276C" w:rsidRPr="00995CFE" w:rsidRDefault="004B3731" w:rsidP="005A2156">
            <w:pPr>
              <w:jc w:val="left"/>
              <w:rPr>
                <w:rFonts w:asciiTheme="majorHAnsi" w:hAnsiTheme="majorHAnsi"/>
                <w:b/>
                <w:color w:val="0E1B8D"/>
              </w:rPr>
            </w:pPr>
            <w:r w:rsidRPr="004B3731">
              <w:rPr>
                <w:rFonts w:asciiTheme="majorHAnsi" w:hAnsiTheme="majorHAnsi"/>
                <w:b/>
                <w:color w:val="0E1B8D"/>
              </w:rPr>
              <w:t>RFB 2617-2022</w:t>
            </w:r>
          </w:p>
        </w:tc>
      </w:tr>
      <w:tr w:rsidR="00B6276C" w:rsidRPr="00B6276C" w:rsidTr="005A2156">
        <w:trPr>
          <w:trHeight w:val="567"/>
        </w:trPr>
        <w:tc>
          <w:tcPr>
            <w:tcW w:w="3539" w:type="dxa"/>
            <w:shd w:val="clear" w:color="auto" w:fill="DBE5F1" w:themeFill="accent1" w:themeFillTint="33"/>
            <w:vAlign w:val="center"/>
          </w:tcPr>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B6276C" w:rsidRDefault="004B3731" w:rsidP="005A2156">
            <w:pPr>
              <w:jc w:val="left"/>
              <w:rPr>
                <w:rFonts w:asciiTheme="majorHAnsi" w:hAnsiTheme="majorHAnsi"/>
                <w:b/>
                <w:color w:val="0E1B8D"/>
              </w:rPr>
            </w:pPr>
            <w:r w:rsidRPr="004B3731">
              <w:rPr>
                <w:rFonts w:asciiTheme="majorHAnsi" w:hAnsiTheme="majorHAnsi"/>
                <w:b/>
                <w:color w:val="0E1B8D"/>
              </w:rPr>
              <w:t>RENEWAL OF LICENSE, MAINTENANCE AND SUPPORT FOR 51 SANGFOR NGAF FIREWALLS FOR 12 MONTHS FOR LIMPOPO DEPARTMENT OF HEALTH</w:t>
            </w:r>
            <w:r w:rsidR="00995CFE">
              <w:rPr>
                <w:rFonts w:asciiTheme="majorHAnsi" w:hAnsiTheme="majorHAnsi"/>
                <w:b/>
                <w:color w:val="0E1B8D"/>
              </w:rPr>
              <w:t>.</w:t>
            </w:r>
          </w:p>
        </w:tc>
      </w:tr>
      <w:tr w:rsidR="00B6276C" w:rsidRPr="00B6276C" w:rsidTr="005A2156">
        <w:trPr>
          <w:trHeight w:val="567"/>
        </w:trPr>
        <w:tc>
          <w:tcPr>
            <w:tcW w:w="3539" w:type="dxa"/>
            <w:shd w:val="clear" w:color="auto" w:fill="DBE5F1" w:themeFill="accent1" w:themeFillTint="33"/>
            <w:vAlign w:val="center"/>
          </w:tcPr>
          <w:p w:rsidR="00B6276C" w:rsidRPr="00B6276C" w:rsidRDefault="007E4AB0" w:rsidP="005A2156">
            <w:pPr>
              <w:jc w:val="left"/>
              <w:rPr>
                <w:rFonts w:asciiTheme="majorHAnsi" w:hAnsiTheme="majorHAnsi"/>
                <w:b/>
                <w:color w:val="0E1B8D"/>
              </w:rPr>
            </w:pPr>
            <w:r w:rsidRPr="007E4AB0">
              <w:rPr>
                <w:rFonts w:asciiTheme="majorHAnsi" w:hAnsiTheme="majorHAnsi"/>
                <w:b/>
                <w:color w:val="0E1B8D"/>
              </w:rPr>
              <w:t xml:space="preserve">Compulsory Site Visit </w:t>
            </w:r>
            <w:r w:rsidR="00B6276C" w:rsidRPr="00B6276C">
              <w:rPr>
                <w:rFonts w:asciiTheme="majorHAnsi" w:hAnsiTheme="majorHAnsi"/>
                <w:b/>
                <w:color w:val="0E1B8D"/>
              </w:rPr>
              <w:t xml:space="preserve"> </w:t>
            </w:r>
          </w:p>
        </w:tc>
        <w:tc>
          <w:tcPr>
            <w:tcW w:w="6089" w:type="dxa"/>
            <w:vAlign w:val="center"/>
          </w:tcPr>
          <w:p w:rsidR="00B6276C" w:rsidRPr="00995CFE" w:rsidRDefault="004B3731" w:rsidP="005A2156">
            <w:pPr>
              <w:jc w:val="left"/>
              <w:rPr>
                <w:rFonts w:asciiTheme="majorHAnsi" w:hAnsiTheme="majorHAnsi"/>
                <w:b/>
                <w:color w:val="0E1B8D"/>
              </w:rPr>
            </w:pPr>
            <w:r>
              <w:rPr>
                <w:rFonts w:asciiTheme="majorHAnsi" w:hAnsiTheme="majorHAnsi"/>
                <w:b/>
                <w:color w:val="0E1B8D"/>
              </w:rPr>
              <w:t>N/A</w:t>
            </w:r>
          </w:p>
        </w:tc>
      </w:tr>
      <w:tr w:rsidR="00B6276C" w:rsidRPr="00B6276C" w:rsidTr="005A2156">
        <w:trPr>
          <w:trHeight w:val="567"/>
        </w:trPr>
        <w:tc>
          <w:tcPr>
            <w:tcW w:w="3539" w:type="dxa"/>
            <w:shd w:val="clear" w:color="auto" w:fill="DBE5F1" w:themeFill="accent1" w:themeFillTint="33"/>
            <w:vAlign w:val="center"/>
          </w:tcPr>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995CFE" w:rsidRDefault="004B3731" w:rsidP="005A2156">
            <w:pPr>
              <w:jc w:val="left"/>
              <w:rPr>
                <w:rFonts w:asciiTheme="majorHAnsi" w:hAnsiTheme="majorHAnsi"/>
                <w:b/>
                <w:color w:val="0E1B8D"/>
              </w:rPr>
            </w:pPr>
            <w:r>
              <w:rPr>
                <w:rFonts w:asciiTheme="majorHAnsi" w:hAnsiTheme="majorHAnsi"/>
                <w:b/>
                <w:color w:val="0E1B8D"/>
              </w:rPr>
              <w:t>02</w:t>
            </w:r>
            <w:r w:rsidR="00995CFE" w:rsidRPr="00995CFE">
              <w:rPr>
                <w:rFonts w:asciiTheme="majorHAnsi" w:hAnsiTheme="majorHAnsi"/>
                <w:b/>
                <w:color w:val="0E1B8D"/>
              </w:rPr>
              <w:t xml:space="preserve"> </w:t>
            </w:r>
            <w:r>
              <w:rPr>
                <w:rFonts w:asciiTheme="majorHAnsi" w:hAnsiTheme="majorHAnsi"/>
                <w:b/>
                <w:color w:val="0E1B8D"/>
              </w:rPr>
              <w:t>September</w:t>
            </w:r>
            <w:r w:rsidR="00995CFE" w:rsidRPr="00995CFE">
              <w:rPr>
                <w:rFonts w:asciiTheme="majorHAnsi" w:hAnsiTheme="majorHAnsi"/>
                <w:b/>
                <w:color w:val="0E1B8D"/>
              </w:rPr>
              <w:t xml:space="preserve"> 2022</w:t>
            </w:r>
          </w:p>
        </w:tc>
      </w:tr>
      <w:tr w:rsidR="00B6276C" w:rsidRPr="00B6276C" w:rsidTr="005A2156">
        <w:trPr>
          <w:trHeight w:val="567"/>
        </w:trPr>
        <w:tc>
          <w:tcPr>
            <w:tcW w:w="3539" w:type="dxa"/>
            <w:shd w:val="clear" w:color="auto" w:fill="DBE5F1" w:themeFill="accent1" w:themeFillTint="33"/>
            <w:vAlign w:val="center"/>
          </w:tcPr>
          <w:p w:rsidR="00B6276C" w:rsidRPr="00B6276C" w:rsidRDefault="00154098" w:rsidP="005A2156">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Pr="00995CFE">
              <w:rPr>
                <w:rFonts w:asciiTheme="majorHAnsi" w:hAnsiTheme="majorHAnsi"/>
                <w:b/>
                <w:color w:val="0E1B8D"/>
              </w:rPr>
              <w:t>Tender Offic</w:t>
            </w:r>
            <w:r w:rsidR="004E3E3D" w:rsidRPr="00995CFE">
              <w:rPr>
                <w:rFonts w:asciiTheme="majorHAnsi" w:hAnsiTheme="majorHAnsi"/>
                <w:b/>
                <w:color w:val="0E1B8D"/>
              </w:rPr>
              <w:t>e</w:t>
            </w:r>
          </w:p>
          <w:p w:rsidR="004E3E3D" w:rsidRPr="00B6276C" w:rsidRDefault="00B6276C" w:rsidP="005A2156">
            <w:pPr>
              <w:jc w:val="left"/>
              <w:rPr>
                <w:rFonts w:asciiTheme="majorHAnsi" w:hAnsiTheme="majorHAnsi"/>
                <w:b/>
                <w:color w:val="0E1B8D"/>
              </w:rPr>
            </w:pPr>
            <w:r w:rsidRPr="00995CFE">
              <w:rPr>
                <w:rFonts w:asciiTheme="majorHAnsi" w:hAnsiTheme="majorHAnsi"/>
                <w:b/>
                <w:color w:val="0E1B8D"/>
              </w:rPr>
              <w:t>459</w:t>
            </w:r>
            <w:r w:rsidRPr="00995CFE">
              <w:rPr>
                <w:rFonts w:asciiTheme="majorHAnsi" w:hAnsiTheme="majorHAnsi"/>
                <w:b/>
                <w:color w:val="0E1B8D"/>
              </w:rPr>
              <w:fldChar w:fldCharType="end"/>
            </w:r>
            <w:r w:rsidRPr="00995CFE">
              <w:rPr>
                <w:rFonts w:asciiTheme="majorHAnsi" w:hAnsiTheme="majorHAnsi"/>
                <w:b/>
                <w:color w:val="0E1B8D"/>
              </w:rPr>
              <w:t xml:space="preserve"> </w:t>
            </w:r>
            <w:proofErr w:type="spellStart"/>
            <w:r w:rsidRPr="00995CFE">
              <w:rPr>
                <w:rFonts w:asciiTheme="majorHAnsi" w:hAnsiTheme="majorHAnsi"/>
                <w:b/>
                <w:color w:val="0E1B8D"/>
              </w:rPr>
              <w:t>Tsitsa</w:t>
            </w:r>
            <w:proofErr w:type="spellEnd"/>
            <w:r w:rsidRPr="00995CFE">
              <w:rPr>
                <w:rFonts w:asciiTheme="majorHAnsi" w:hAnsiTheme="majorHAnsi"/>
                <w:b/>
                <w:color w:val="0E1B8D"/>
              </w:rPr>
              <w:t xml:space="preserve"> Street, </w:t>
            </w:r>
            <w:proofErr w:type="spellStart"/>
            <w:r w:rsidRPr="00995CFE">
              <w:rPr>
                <w:rFonts w:asciiTheme="majorHAnsi" w:hAnsiTheme="majorHAnsi"/>
                <w:b/>
                <w:color w:val="0E1B8D"/>
              </w:rPr>
              <w:t>Erasmuskloof</w:t>
            </w:r>
            <w:proofErr w:type="spellEnd"/>
            <w:r w:rsidRPr="00995CFE">
              <w:rPr>
                <w:rFonts w:asciiTheme="majorHAnsi" w:hAnsiTheme="majorHAnsi"/>
                <w:b/>
                <w:color w:val="0E1B8D"/>
              </w:rPr>
              <w:t>, Pretoria, 0105</w:t>
            </w:r>
          </w:p>
        </w:tc>
      </w:tr>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5A2156">
            <w:pPr>
              <w:jc w:val="left"/>
              <w:rPr>
                <w:rFonts w:asciiTheme="majorHAnsi" w:hAnsiTheme="majorHAnsi"/>
                <w:b/>
                <w:color w:val="0E1B8D"/>
              </w:rPr>
            </w:pPr>
          </w:p>
          <w:p w:rsidR="00B6276C" w:rsidRPr="00B6276C" w:rsidRDefault="00B6276C" w:rsidP="005A2156">
            <w:pPr>
              <w:jc w:val="left"/>
              <w:rPr>
                <w:rFonts w:asciiTheme="majorHAnsi" w:hAnsiTheme="majorHAnsi"/>
                <w:b/>
                <w:color w:val="0E1B8D"/>
              </w:rPr>
            </w:pPr>
            <w:r w:rsidRPr="00B6276C">
              <w:rPr>
                <w:rFonts w:asciiTheme="majorHAnsi" w:hAnsiTheme="majorHAnsi"/>
                <w:b/>
                <w:color w:val="0E1B8D"/>
              </w:rPr>
              <w:t xml:space="preserve">Date: </w:t>
            </w:r>
            <w:r w:rsidR="00124A5C">
              <w:rPr>
                <w:rFonts w:asciiTheme="majorHAnsi" w:hAnsiTheme="majorHAnsi"/>
                <w:b/>
                <w:color w:val="0E1B8D"/>
              </w:rPr>
              <w:t>0</w:t>
            </w:r>
            <w:r w:rsidR="004B3731">
              <w:rPr>
                <w:rFonts w:asciiTheme="majorHAnsi" w:hAnsiTheme="majorHAnsi"/>
                <w:b/>
                <w:color w:val="0E1B8D"/>
              </w:rPr>
              <w:t>9</w:t>
            </w:r>
            <w:r w:rsidR="00995CFE">
              <w:rPr>
                <w:rFonts w:asciiTheme="majorHAnsi" w:hAnsiTheme="majorHAnsi"/>
                <w:b/>
                <w:color w:val="0E1B8D"/>
              </w:rPr>
              <w:t xml:space="preserve"> </w:t>
            </w:r>
            <w:r w:rsidR="004B3731">
              <w:rPr>
                <w:rFonts w:asciiTheme="majorHAnsi" w:hAnsiTheme="majorHAnsi"/>
                <w:b/>
                <w:color w:val="0E1B8D"/>
              </w:rPr>
              <w:t xml:space="preserve">September </w:t>
            </w:r>
            <w:r w:rsidR="00995CFE">
              <w:rPr>
                <w:rFonts w:asciiTheme="majorHAnsi" w:hAnsiTheme="majorHAnsi"/>
                <w:b/>
                <w:color w:val="0E1B8D"/>
              </w:rPr>
              <w:t>2022</w:t>
            </w:r>
          </w:p>
          <w:p w:rsidR="00B6276C" w:rsidRDefault="00B6276C" w:rsidP="005A2156">
            <w:pPr>
              <w:jc w:val="left"/>
              <w:rPr>
                <w:rFonts w:asciiTheme="majorHAnsi" w:hAnsiTheme="majorHAnsi"/>
                <w:b/>
                <w:color w:val="0E1B8D"/>
              </w:rPr>
            </w:pPr>
            <w:r w:rsidRPr="00B6276C">
              <w:rPr>
                <w:rFonts w:asciiTheme="majorHAnsi" w:hAnsiTheme="majorHAnsi"/>
                <w:b/>
                <w:color w:val="0E1B8D"/>
              </w:rPr>
              <w:t xml:space="preserve">Time: </w:t>
            </w:r>
            <w:r w:rsidRPr="00995CFE">
              <w:rPr>
                <w:rFonts w:asciiTheme="majorHAnsi" w:hAnsiTheme="majorHAnsi"/>
                <w:b/>
                <w:color w:val="0E1B8D"/>
              </w:rPr>
              <w:t>11:00 (South African Time)</w:t>
            </w:r>
          </w:p>
          <w:p w:rsidR="004E3E3D" w:rsidRPr="00B6276C" w:rsidRDefault="004E3E3D" w:rsidP="005A2156">
            <w:pPr>
              <w:jc w:val="left"/>
              <w:rPr>
                <w:rFonts w:asciiTheme="majorHAnsi" w:hAnsiTheme="majorHAnsi"/>
                <w:b/>
                <w:color w:val="0E1B8D"/>
              </w:rPr>
            </w:pPr>
          </w:p>
        </w:tc>
      </w:tr>
      <w:tr w:rsidR="00B6276C" w:rsidRPr="00B6276C" w:rsidTr="005A2156">
        <w:trPr>
          <w:trHeight w:val="567"/>
        </w:trPr>
        <w:tc>
          <w:tcPr>
            <w:tcW w:w="3539" w:type="dxa"/>
            <w:shd w:val="clear" w:color="auto" w:fill="DBE5F1" w:themeFill="accent1" w:themeFillTint="33"/>
            <w:vAlign w:val="center"/>
          </w:tcPr>
          <w:p w:rsidR="00B6276C" w:rsidRPr="00B6276C" w:rsidRDefault="004B3731" w:rsidP="005A2156">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995CFE" w:rsidRDefault="00995CFE" w:rsidP="005A2156">
            <w:pPr>
              <w:jc w:val="left"/>
              <w:rPr>
                <w:rFonts w:asciiTheme="majorHAnsi" w:hAnsiTheme="majorHAnsi"/>
                <w:b/>
                <w:color w:val="0E1B8D"/>
              </w:rPr>
            </w:pPr>
            <w:r w:rsidRPr="00995CFE">
              <w:rPr>
                <w:rFonts w:asciiTheme="majorHAnsi" w:hAnsiTheme="majorHAnsi"/>
                <w:b/>
                <w:color w:val="0E1B8D"/>
              </w:rPr>
              <w:t>120</w:t>
            </w:r>
            <w:r w:rsidR="00B6276C" w:rsidRPr="00995CFE">
              <w:rPr>
                <w:rFonts w:asciiTheme="majorHAnsi" w:hAnsiTheme="majorHAnsi"/>
                <w:b/>
                <w:color w:val="0E1B8D"/>
              </w:rPr>
              <w:t xml:space="preserve"> Days from the Closing Date </w:t>
            </w:r>
          </w:p>
        </w:tc>
      </w:tr>
    </w:tbl>
    <w:p w:rsidR="00184812" w:rsidRDefault="00184812" w:rsidP="00184812">
      <w:pPr>
        <w:spacing w:after="0" w:line="240" w:lineRule="auto"/>
      </w:pPr>
      <w:bookmarkStart w:id="0" w:name="_Hlk106283265"/>
    </w:p>
    <w:p w:rsidR="00184812" w:rsidRDefault="00184812" w:rsidP="00184812">
      <w:pPr>
        <w:tabs>
          <w:tab w:val="left" w:pos="0"/>
          <w:tab w:val="left" w:pos="1944"/>
          <w:tab w:val="left" w:pos="3384"/>
          <w:tab w:val="left" w:pos="3744"/>
          <w:tab w:val="left" w:pos="4644"/>
          <w:tab w:val="left" w:pos="5760"/>
          <w:tab w:val="left" w:pos="7920"/>
        </w:tabs>
        <w:spacing w:after="240"/>
        <w:rPr>
          <w:rFonts w:ascii="Arial" w:eastAsia="Calibri" w:hAnsi="Arial" w:cs="Arial"/>
          <w:b/>
          <w:color w:val="FF0000"/>
        </w:rPr>
      </w:pPr>
      <w:r>
        <w:rPr>
          <w:rFonts w:ascii="Arial" w:eastAsia="Calibri" w:hAnsi="Arial" w:cs="Arial"/>
          <w:b/>
          <w:color w:val="FF0000"/>
        </w:rPr>
        <w:t>NOTE:</w:t>
      </w:r>
    </w:p>
    <w:p w:rsidR="002948C2" w:rsidRDefault="00184812" w:rsidP="00184812">
      <w:pPr>
        <w:pStyle w:val="Title"/>
      </w:pPr>
      <w:r>
        <w:rPr>
          <w:rFonts w:ascii="Verdana" w:hAnsi="Verdana"/>
          <w:b/>
          <w:bCs/>
          <w:color w:val="FF0000"/>
          <w:sz w:val="18"/>
        </w:rPr>
        <w:t>PROSPECTIVE BIDDERS MUST BE REGISTERED ON NATIONAL TREASURY’S CENTRAL SUPPLIER DATABASE (CSD) PRIOR TO SUBMITTING BIDS.</w:t>
      </w:r>
      <w:bookmarkEnd w:id="0"/>
    </w:p>
    <w:p w:rsidR="00124A5C" w:rsidRDefault="00124A5C" w:rsidP="00C2646C">
      <w:pPr>
        <w:pStyle w:val="Title"/>
      </w:pPr>
    </w:p>
    <w:p w:rsidR="004B3731" w:rsidRDefault="004B3731" w:rsidP="004B3731"/>
    <w:p w:rsidR="004B3731" w:rsidRDefault="004B3731" w:rsidP="004B3731"/>
    <w:p w:rsidR="004B3731" w:rsidRDefault="004B3731" w:rsidP="004B3731"/>
    <w:p w:rsidR="004B3731" w:rsidRDefault="004B3731" w:rsidP="004B3731"/>
    <w:p w:rsidR="004B3731" w:rsidRPr="004B3731" w:rsidRDefault="004B3731" w:rsidP="004B3731"/>
    <w:p w:rsidR="00916598" w:rsidRPr="00916598" w:rsidRDefault="00916598" w:rsidP="00916598"/>
    <w:p w:rsidR="00A44D99" w:rsidRPr="006C0A8D" w:rsidRDefault="00A44D99" w:rsidP="00C2646C">
      <w:pPr>
        <w:pStyle w:val="Title"/>
      </w:pPr>
      <w:r w:rsidRPr="006C0A8D">
        <w:lastRenderedPageBreak/>
        <w:t>Contents</w:t>
      </w:r>
    </w:p>
    <w:p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rsidR="006024DD" w:rsidRDefault="00DB4857">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rsidR="006024DD" w:rsidRDefault="00DB4857">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rsidR="006024DD" w:rsidRDefault="00DB4857">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rsidR="006024DD" w:rsidRDefault="00DB4857">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rsidR="006024DD" w:rsidRDefault="00DB4857">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rsidR="006024DD" w:rsidRDefault="00DB4857">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rsidR="006024DD" w:rsidRDefault="00DB4857">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DD4367" w:rsidP="006C0A8D">
      <w:pPr>
        <w:pStyle w:val="TableofFigures"/>
      </w:pPr>
      <w:fldSimple w:instr=" TOC \f F \c &quot;Figure&quot; ">
        <w:r w:rsidR="0060074E">
          <w:rPr>
            <w:b/>
            <w:bCs/>
            <w:noProof/>
            <w:lang w:val="en-US"/>
          </w:rPr>
          <w:t>No table of figures entries found.</w:t>
        </w:r>
      </w:fldSimple>
    </w:p>
    <w:p w:rsidR="00995CFE" w:rsidRDefault="00995CFE" w:rsidP="00C2646C">
      <w:pPr>
        <w:pStyle w:val="Title"/>
      </w:pPr>
    </w:p>
    <w:p w:rsidR="00995CFE" w:rsidRDefault="00995CFE" w:rsidP="00C2646C">
      <w:pPr>
        <w:pStyle w:val="Title"/>
      </w:pPr>
    </w:p>
    <w:p w:rsidR="006024DD" w:rsidRDefault="006024DD" w:rsidP="006024DD">
      <w:pPr>
        <w:rPr>
          <w:rFonts w:asciiTheme="majorHAnsi" w:eastAsiaTheme="majorEastAsia" w:hAnsiTheme="majorHAnsi"/>
          <w:color w:val="0E1B8D"/>
          <w:sz w:val="36"/>
          <w:szCs w:val="56"/>
        </w:rPr>
      </w:pPr>
    </w:p>
    <w:p w:rsidR="00124A5C" w:rsidRDefault="00124A5C" w:rsidP="006024DD"/>
    <w:p w:rsidR="006024DD" w:rsidRDefault="006024DD" w:rsidP="006024DD"/>
    <w:p w:rsidR="00124A5C" w:rsidRDefault="00124A5C" w:rsidP="006024DD"/>
    <w:p w:rsidR="00124A5C" w:rsidRDefault="00124A5C" w:rsidP="006024DD"/>
    <w:p w:rsidR="00124A5C" w:rsidRDefault="00124A5C" w:rsidP="006024DD"/>
    <w:p w:rsidR="00124A5C" w:rsidRDefault="00124A5C" w:rsidP="006024DD"/>
    <w:p w:rsidR="00124A5C" w:rsidRPr="006024DD" w:rsidRDefault="00124A5C" w:rsidP="006024DD"/>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8131F" w:rsidRDefault="00DB4857">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08450615"/>
      <w:r w:rsidRPr="0056332A">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Pr="004B3731">
        <w:rPr>
          <w:b/>
          <w:lang w:val="en-GB"/>
        </w:rPr>
        <w:t>RFB 2617-2022</w:t>
      </w:r>
    </w:p>
    <w:p w:rsidR="00AA33FF" w:rsidRDefault="00AA33FF" w:rsidP="005048EE">
      <w:pPr>
        <w:rPr>
          <w:lang w:val="en-GB"/>
        </w:rPr>
      </w:pPr>
      <w:r>
        <w:rPr>
          <w:lang w:val="en-GB"/>
        </w:rPr>
        <w:t>Description</w:t>
      </w:r>
      <w:r w:rsidR="00B0495E">
        <w:rPr>
          <w:lang w:val="en-GB"/>
        </w:rPr>
        <w:t xml:space="preserve">: </w:t>
      </w:r>
      <w:r w:rsidR="004B3731" w:rsidRPr="004B3731">
        <w:rPr>
          <w:b/>
          <w:lang w:val="en-GB"/>
        </w:rPr>
        <w:t>RENEWAL OF LICENSE, MAINTENANCE AND SUPPORT FOR 51 SANGFOR NGAF FIREWALLS FOR 12 MONTHS FOR LIMPOPO DEPARTMENT OF HEALTH</w:t>
      </w:r>
      <w:r w:rsidR="00B0495E">
        <w:rPr>
          <w:b/>
          <w:lang w:val="en-GB"/>
        </w:rPr>
        <w:t>.</w:t>
      </w:r>
    </w:p>
    <w:p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124A5C">
        <w:rPr>
          <w:b/>
          <w:lang w:val="en-GB"/>
        </w:rPr>
        <w:t>0</w:t>
      </w:r>
      <w:r w:rsidR="004B3731">
        <w:rPr>
          <w:b/>
          <w:lang w:val="en-GB"/>
        </w:rPr>
        <w:t>9</w:t>
      </w:r>
      <w:r w:rsidR="00124A5C">
        <w:rPr>
          <w:b/>
          <w:lang w:val="en-GB"/>
        </w:rPr>
        <w:t xml:space="preserve"> </w:t>
      </w:r>
      <w:r w:rsidR="004B3731">
        <w:rPr>
          <w:b/>
          <w:lang w:val="en-GB"/>
        </w:rPr>
        <w:t>September</w:t>
      </w:r>
      <w:r w:rsidR="006E38B0" w:rsidRPr="00124A5C">
        <w:rPr>
          <w:b/>
          <w:lang w:val="en-GB"/>
        </w:rPr>
        <w:t xml:space="preserve"> 2022</w:t>
      </w:r>
      <w:r w:rsidR="006E38B0" w:rsidRPr="00692EE0">
        <w:rPr>
          <w:b/>
          <w:lang w:val="en-GB"/>
        </w:rPr>
        <w:t xml:space="preserve"> and 1</w:t>
      </w:r>
      <w:r w:rsidR="00A0268B">
        <w:rPr>
          <w:b/>
          <w:lang w:val="en-GB"/>
        </w:rPr>
        <w:t>1</w:t>
      </w:r>
      <w:r w:rsidR="006E38B0" w:rsidRPr="00692EE0">
        <w:rPr>
          <w:b/>
          <w:lang w:val="en-GB"/>
        </w:rPr>
        <w:t>H00</w:t>
      </w:r>
    </w:p>
    <w:p w:rsidR="00AA33FF" w:rsidRDefault="00AA33FF" w:rsidP="005048EE">
      <w:pPr>
        <w:rPr>
          <w:lang w:val="en-GB"/>
        </w:rPr>
      </w:pPr>
      <w:r>
        <w:rPr>
          <w:lang w:val="en-GB"/>
        </w:rPr>
        <w:t>Bidding procedure Enquiries may be directed to:</w:t>
      </w:r>
    </w:p>
    <w:p w:rsidR="00AA33FF" w:rsidRPr="00692EE0" w:rsidRDefault="00995CFE" w:rsidP="005048EE">
      <w:pPr>
        <w:rPr>
          <w:b/>
          <w:color w:val="FF0000"/>
          <w:lang w:val="en-GB"/>
        </w:rPr>
      </w:pPr>
      <w:r w:rsidRPr="00692EE0">
        <w:rPr>
          <w:b/>
          <w:lang w:val="en-GB"/>
        </w:rPr>
        <w:t>Mafiwa Malebatja</w:t>
      </w:r>
      <w:r w:rsidR="00AA33FF" w:rsidRPr="00692EE0">
        <w:rPr>
          <w:b/>
          <w:lang w:val="en-GB"/>
        </w:rPr>
        <w:t xml:space="preserve">, </w:t>
      </w:r>
      <w:r w:rsidRPr="00692EE0">
        <w:rPr>
          <w:b/>
          <w:lang w:val="en-GB"/>
        </w:rPr>
        <w:t>015-291-8133</w:t>
      </w:r>
      <w:r w:rsidR="00AA33FF" w:rsidRPr="00692EE0">
        <w:rPr>
          <w:b/>
          <w:lang w:val="en-GB"/>
        </w:rPr>
        <w:t xml:space="preserve"> and </w:t>
      </w:r>
      <w:r w:rsidRPr="00692EE0">
        <w:rPr>
          <w:b/>
          <w:lang w:val="en-GB"/>
        </w:rPr>
        <w:t>mafiwa.malebatja@gmail.com</w:t>
      </w:r>
    </w:p>
    <w:p w:rsidR="00AA33FF" w:rsidRDefault="00AA33FF" w:rsidP="005048EE">
      <w:pPr>
        <w:rPr>
          <w:lang w:val="en-GB"/>
        </w:rPr>
      </w:pPr>
      <w:r>
        <w:rPr>
          <w:lang w:val="en-GB"/>
        </w:rPr>
        <w:t>Technical enquiries may be directed to:</w:t>
      </w:r>
    </w:p>
    <w:p w:rsidR="00AA33FF" w:rsidRPr="00692EE0" w:rsidRDefault="00692EE0" w:rsidP="00AA33FF">
      <w:pPr>
        <w:rPr>
          <w:b/>
          <w:color w:val="FF0000"/>
          <w:lang w:val="en-GB"/>
        </w:rPr>
      </w:pPr>
      <w:r w:rsidRPr="00692EE0">
        <w:rPr>
          <w:b/>
          <w:lang w:val="en-GB"/>
        </w:rPr>
        <w:t>Mafiwa Malebatja, 015-291-8133 and mafiwa.malebatja@gmail.com</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B4857">
              <w:rPr>
                <w:rFonts w:ascii="Arial" w:hAnsi="Arial" w:cs="Arial"/>
                <w:sz w:val="20"/>
                <w:lang w:val="en-GB"/>
              </w:rPr>
            </w:r>
            <w:r w:rsidR="00DB485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B4857">
              <w:rPr>
                <w:rFonts w:ascii="Arial" w:hAnsi="Arial" w:cs="Arial"/>
                <w:sz w:val="20"/>
                <w:lang w:val="en-GB"/>
              </w:rPr>
            </w:r>
            <w:r w:rsidR="00DB4857">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Pr="00692EE0" w:rsidRDefault="00E14656" w:rsidP="00E14656">
            <w:pPr>
              <w:tabs>
                <w:tab w:val="left" w:pos="0"/>
                <w:tab w:val="left" w:pos="426"/>
              </w:tabs>
              <w:autoSpaceDE w:val="0"/>
              <w:autoSpaceDN w:val="0"/>
              <w:adjustRightInd w:val="0"/>
              <w:spacing w:before="120"/>
              <w:rPr>
                <w:rFonts w:ascii="Arial" w:hAnsi="Arial" w:cs="Arial"/>
                <w:sz w:val="20"/>
              </w:rPr>
            </w:pPr>
          </w:p>
          <w:p w:rsidR="00F951FD" w:rsidRPr="00692EE0" w:rsidRDefault="00F951FD" w:rsidP="00184812">
            <w:pPr>
              <w:pStyle w:val="Heading2"/>
              <w:numPr>
                <w:ilvl w:val="1"/>
                <w:numId w:val="31"/>
              </w:numPr>
            </w:pPr>
            <w:bookmarkStart w:id="13" w:name="_Toc108450616"/>
            <w:r w:rsidRPr="00692EE0">
              <w:t>Bid Submission Requirements</w:t>
            </w:r>
            <w:bookmarkEnd w:id="13"/>
          </w:p>
          <w:p w:rsidR="00F951FD" w:rsidRPr="00692EE0" w:rsidRDefault="00F951FD" w:rsidP="00184812">
            <w:pPr>
              <w:pStyle w:val="ListParagraph"/>
              <w:numPr>
                <w:ilvl w:val="0"/>
                <w:numId w:val="31"/>
              </w:numPr>
            </w:pPr>
            <w:r w:rsidRPr="00692EE0">
              <w:t>Bids must be delivered by the stipulated closing date and time to the correct address</w:t>
            </w:r>
          </w:p>
          <w:p w:rsidR="00F951FD" w:rsidRPr="00692EE0" w:rsidRDefault="00F951FD" w:rsidP="00184812">
            <w:pPr>
              <w:pStyle w:val="ListParagraph"/>
              <w:numPr>
                <w:ilvl w:val="0"/>
                <w:numId w:val="31"/>
              </w:numPr>
            </w:pPr>
            <w:r w:rsidRPr="00692EE0">
              <w:rPr>
                <w:b/>
                <w:bCs/>
              </w:rPr>
              <w:t>NO</w:t>
            </w:r>
            <w:r w:rsidRPr="00692EE0">
              <w:t xml:space="preserve"> late bids will be accepted</w:t>
            </w:r>
          </w:p>
          <w:p w:rsidR="00F951FD" w:rsidRPr="00692EE0" w:rsidRDefault="00F951FD" w:rsidP="00184812">
            <w:pPr>
              <w:pStyle w:val="ListParagraph"/>
              <w:numPr>
                <w:ilvl w:val="0"/>
                <w:numId w:val="31"/>
              </w:numPr>
            </w:pPr>
            <w:r w:rsidRPr="00692EE0">
              <w:t>All bids must be submitted on the official forms provided (no forms may be re-typed) or in the manner as prescribed in the bid document</w:t>
            </w:r>
          </w:p>
          <w:p w:rsidR="00F77F1B" w:rsidRPr="00692EE0" w:rsidRDefault="00F77F1B" w:rsidP="00F77F1B">
            <w:pPr>
              <w:ind w:firstLine="567"/>
            </w:pPr>
          </w:p>
          <w:p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rsidR="00960F83" w:rsidRPr="00692EE0" w:rsidRDefault="00960F83" w:rsidP="00960F83">
            <w:pPr>
              <w:pStyle w:val="ListParagraph"/>
              <w:ind w:left="1134"/>
            </w:pPr>
          </w:p>
          <w:p w:rsidR="00960F83" w:rsidRPr="00692EE0" w:rsidRDefault="00960F83" w:rsidP="00184812">
            <w:pPr>
              <w:pStyle w:val="Heading2"/>
              <w:numPr>
                <w:ilvl w:val="1"/>
                <w:numId w:val="31"/>
              </w:numPr>
            </w:pPr>
            <w:bookmarkStart w:id="14" w:name="_Toc108450617"/>
            <w:r w:rsidRPr="00692EE0">
              <w:t>Bid Submission Instructions</w:t>
            </w:r>
            <w:bookmarkEnd w:id="14"/>
          </w:p>
          <w:p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5"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5"/>
            <w:r w:rsidR="009D7991" w:rsidRPr="00692EE0">
              <w:t>.</w:t>
            </w:r>
          </w:p>
          <w:p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rsidR="00184812" w:rsidRPr="00184812" w:rsidRDefault="00184812" w:rsidP="00184812">
            <w:pPr>
              <w:pStyle w:val="ListParagraph"/>
              <w:numPr>
                <w:ilvl w:val="0"/>
                <w:numId w:val="31"/>
              </w:numPr>
              <w:spacing w:line="360" w:lineRule="auto"/>
              <w:outlineLvl w:val="9"/>
            </w:pPr>
            <w:r w:rsidRPr="00184812">
              <w:t>The proposals must be submitted as follows:</w:t>
            </w:r>
          </w:p>
          <w:p w:rsidR="00184812" w:rsidRPr="00184812" w:rsidRDefault="00184812" w:rsidP="00184812">
            <w:pPr>
              <w:spacing w:after="0" w:line="240" w:lineRule="auto"/>
            </w:pPr>
            <w:r w:rsidRPr="00184812">
              <w:t xml:space="preserve"> </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124A5C">
              <w:rPr>
                <w:rFonts w:asciiTheme="minorHAnsi" w:hAnsiTheme="minorHAnsi"/>
                <w:b/>
              </w:rPr>
              <w:t>0</w:t>
            </w:r>
            <w:r w:rsidR="004B3731">
              <w:rPr>
                <w:rFonts w:asciiTheme="minorHAnsi" w:hAnsiTheme="minorHAnsi"/>
                <w:b/>
              </w:rPr>
              <w:t>9</w:t>
            </w:r>
            <w:r w:rsidR="00124A5C">
              <w:rPr>
                <w:rFonts w:asciiTheme="minorHAnsi" w:hAnsiTheme="minorHAnsi"/>
                <w:b/>
              </w:rPr>
              <w:t xml:space="preserve"> </w:t>
            </w:r>
            <w:r w:rsidR="004B3731">
              <w:rPr>
                <w:rFonts w:asciiTheme="minorHAnsi" w:hAnsiTheme="minorHAnsi"/>
                <w:b/>
              </w:rPr>
              <w:t>September</w:t>
            </w:r>
            <w:r w:rsidRPr="00124A5C">
              <w:rPr>
                <w:rFonts w:asciiTheme="minorHAnsi" w:hAnsiTheme="minorHAnsi"/>
                <w:b/>
              </w:rPr>
              <w:t xml:space="preserve"> 2022</w:t>
            </w:r>
          </w:p>
          <w:p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11:00 (South African Time)</w:t>
            </w:r>
          </w:p>
          <w:p w:rsidR="00184812" w:rsidRDefault="00184812" w:rsidP="00184812">
            <w:pPr>
              <w:pStyle w:val="ListParagraph"/>
              <w:ind w:left="1134"/>
              <w:rPr>
                <w:b/>
              </w:rPr>
            </w:pPr>
            <w:r w:rsidRPr="00184812">
              <w:rPr>
                <w:b/>
              </w:rPr>
              <w:t xml:space="preserve">Address : </w:t>
            </w:r>
            <w:hyperlink r:id="rId13"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rsidR="005A2156" w:rsidRPr="00692EE0" w:rsidRDefault="005A2156" w:rsidP="00184812">
            <w:pPr>
              <w:pStyle w:val="ListParagraph"/>
              <w:ind w:left="1134"/>
            </w:pPr>
          </w:p>
          <w:p w:rsidR="00960F83" w:rsidRPr="00692EE0" w:rsidRDefault="0090233F" w:rsidP="00184812">
            <w:pPr>
              <w:pStyle w:val="ListParagraph"/>
              <w:numPr>
                <w:ilvl w:val="0"/>
                <w:numId w:val="31"/>
              </w:numPr>
            </w:pPr>
            <w:r w:rsidRPr="00692EE0">
              <w:t>Faxed or e-mailed bids will not be accepted.</w:t>
            </w:r>
          </w:p>
          <w:p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rsidR="00960F83" w:rsidRPr="00692EE0" w:rsidRDefault="00960F83" w:rsidP="00960F83"/>
          <w:p w:rsidR="00960F83" w:rsidRPr="00692EE0" w:rsidRDefault="00960F83" w:rsidP="00184812">
            <w:pPr>
              <w:pStyle w:val="Heading2"/>
              <w:numPr>
                <w:ilvl w:val="1"/>
                <w:numId w:val="31"/>
              </w:numPr>
            </w:pPr>
            <w:bookmarkStart w:id="16" w:name="_Toc108450618"/>
            <w:r w:rsidRPr="00692EE0">
              <w:t xml:space="preserve">Bid </w:t>
            </w:r>
            <w:r w:rsidR="00820BBC" w:rsidRPr="00692EE0">
              <w:t xml:space="preserve">Submission </w:t>
            </w:r>
            <w:r w:rsidRPr="00692EE0">
              <w:t>Conditions</w:t>
            </w:r>
            <w:bookmarkEnd w:id="16"/>
          </w:p>
          <w:p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rsidR="0090233F" w:rsidRPr="00692EE0" w:rsidRDefault="0090233F" w:rsidP="0090233F">
            <w:pPr>
              <w:pStyle w:val="ListParagraph"/>
              <w:ind w:left="1134"/>
              <w:outlineLvl w:val="9"/>
              <w:rPr>
                <w:rFonts w:cstheme="minorHAnsi"/>
              </w:rPr>
            </w:pPr>
          </w:p>
          <w:p w:rsidR="00123562" w:rsidRPr="00692EE0" w:rsidRDefault="00123562" w:rsidP="00184812">
            <w:pPr>
              <w:pStyle w:val="Heading2"/>
              <w:numPr>
                <w:ilvl w:val="1"/>
                <w:numId w:val="31"/>
              </w:numPr>
            </w:pPr>
            <w:bookmarkStart w:id="17" w:name="_Toc108450619"/>
            <w:r w:rsidRPr="00692EE0">
              <w:t>Tax Compliance Requirements</w:t>
            </w:r>
            <w:bookmarkEnd w:id="17"/>
          </w:p>
          <w:p w:rsidR="00F951FD" w:rsidRPr="00692EE0" w:rsidRDefault="00123562" w:rsidP="00184812">
            <w:pPr>
              <w:pStyle w:val="ListParagraph"/>
              <w:numPr>
                <w:ilvl w:val="0"/>
                <w:numId w:val="31"/>
              </w:numPr>
            </w:pPr>
            <w:r w:rsidRPr="00692EE0">
              <w:t>Bidders must ensure compliance with their tax obligations</w:t>
            </w:r>
          </w:p>
          <w:p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4" w:history="1">
              <w:r w:rsidRPr="00692EE0">
                <w:rPr>
                  <w:rStyle w:val="Hyperlink"/>
                </w:rPr>
                <w:t>www.sars.gov.xza</w:t>
              </w:r>
            </w:hyperlink>
          </w:p>
          <w:p w:rsidR="004F260E" w:rsidRPr="00692EE0" w:rsidRDefault="004F260E" w:rsidP="00184812">
            <w:pPr>
              <w:pStyle w:val="ListParagraph"/>
              <w:numPr>
                <w:ilvl w:val="0"/>
                <w:numId w:val="31"/>
              </w:numPr>
            </w:pPr>
            <w:r w:rsidRPr="00692EE0">
              <w:t>Bidders may also submit a hard copy TCS certificate with their bid</w:t>
            </w:r>
          </w:p>
          <w:p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rsidR="003E54A0" w:rsidRPr="00692EE0" w:rsidRDefault="003E54A0" w:rsidP="003E54A0">
            <w:pPr>
              <w:pStyle w:val="ListParagraph"/>
              <w:ind w:left="1134"/>
            </w:pPr>
          </w:p>
          <w:p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8450620"/>
      <w:r w:rsidRPr="00B3466C">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8450621"/>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8450622"/>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8450623"/>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8450624"/>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0" w:name="_Toc108450625"/>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08450626"/>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08450627"/>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08450628"/>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08450629"/>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08450630"/>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08450631"/>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08450632"/>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08450633"/>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08450634"/>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08450635"/>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08450636"/>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08450637"/>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4B3731" w:rsidP="0090233F">
      <w:pPr>
        <w:pStyle w:val="Heading2"/>
        <w:rPr>
          <w:rFonts w:cs="Arial"/>
          <w:iCs/>
          <w:color w:val="000080"/>
          <w:szCs w:val="28"/>
          <w:lang w:val="en-GB"/>
        </w:rPr>
      </w:pPr>
      <w:bookmarkStart w:id="51"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rsidR="00E14656" w:rsidRDefault="0090233F" w:rsidP="0090233F">
      <w:pPr>
        <w:pStyle w:val="Heading3"/>
      </w:pPr>
      <w:bookmarkStart w:id="52" w:name="_Toc108450639"/>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2948C2" w:rsidRDefault="002948C2" w:rsidP="002948C2">
      <w:pPr>
        <w:pStyle w:val="ListParagraph"/>
        <w:numPr>
          <w:ilvl w:val="0"/>
          <w:numId w:val="35"/>
        </w:numPr>
        <w:rPr>
          <w:rStyle w:val="Hyperlink"/>
          <w:color w:val="auto"/>
          <w:u w:val="none"/>
        </w:rPr>
      </w:pPr>
      <w:r>
        <w:rPr>
          <w:rStyle w:val="Hyperlink"/>
          <w:color w:val="auto"/>
          <w:u w:val="none"/>
        </w:rPr>
        <w:t>Central Supplier Database (CSD)</w:t>
      </w:r>
    </w:p>
    <w:p w:rsidR="004E1D55" w:rsidRDefault="004E1D55" w:rsidP="004E1D55">
      <w:pPr>
        <w:pStyle w:val="Heading3"/>
      </w:pPr>
      <w:bookmarkStart w:id="56" w:name="_Toc108450640"/>
      <w:r w:rsidRPr="004E1D55">
        <w:t>Mandatory</w:t>
      </w:r>
      <w:r w:rsidR="00D70B84">
        <w:t>/Evaluation</w:t>
      </w:r>
      <w:r w:rsidRPr="004E1D55">
        <w:t xml:space="preserve"> Returnable Documents</w:t>
      </w:r>
      <w:bookmarkEnd w:id="56"/>
    </w:p>
    <w:p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5A2156" w:rsidRPr="005A2156">
        <w:rPr>
          <w:rStyle w:val="Hyperlink"/>
          <w:color w:val="auto"/>
          <w:u w:val="none"/>
        </w:rPr>
        <w:t>Bidder</w:t>
      </w:r>
      <w:r w:rsidR="00DB4857">
        <w:rPr>
          <w:rStyle w:val="Hyperlink"/>
          <w:color w:val="auto"/>
          <w:u w:val="none"/>
        </w:rPr>
        <w:t xml:space="preserve"> </w:t>
      </w:r>
      <w:r w:rsidR="005A2156" w:rsidRPr="005A2156">
        <w:rPr>
          <w:rStyle w:val="Hyperlink"/>
          <w:color w:val="auto"/>
          <w:u w:val="none"/>
        </w:rPr>
        <w:t>Certification/Affiliation</w:t>
      </w:r>
      <w:r w:rsidR="00DB4857">
        <w:rPr>
          <w:rStyle w:val="Hyperlink"/>
          <w:color w:val="auto"/>
          <w:u w:val="none"/>
        </w:rPr>
        <w:t xml:space="preserve"> </w:t>
      </w:r>
      <w:r w:rsidR="005A2156" w:rsidRPr="005A2156">
        <w:rPr>
          <w:rStyle w:val="Hyperlink"/>
          <w:color w:val="auto"/>
          <w:u w:val="none"/>
        </w:rPr>
        <w:t>Requirements</w:t>
      </w:r>
      <w:r w:rsidR="005A2156">
        <w:rPr>
          <w:rStyle w:val="Hyperlink"/>
          <w:color w:val="auto"/>
          <w:u w:val="none"/>
        </w:rPr>
        <w:t>,</w:t>
      </w:r>
      <w:r w:rsidR="005A2156" w:rsidRPr="005A2156">
        <w:rPr>
          <w:rStyle w:val="Hyperlink"/>
          <w:color w:val="auto"/>
          <w:u w:val="none"/>
        </w:rPr>
        <w:tab/>
        <w:t xml:space="preserve">Bidder Experience </w:t>
      </w:r>
      <w:r w:rsidR="005A2156">
        <w:rPr>
          <w:rStyle w:val="Hyperlink"/>
          <w:color w:val="auto"/>
          <w:u w:val="none"/>
        </w:rPr>
        <w:t>a</w:t>
      </w:r>
      <w:r w:rsidR="005A2156" w:rsidRPr="005A2156">
        <w:rPr>
          <w:rStyle w:val="Hyperlink"/>
          <w:color w:val="auto"/>
          <w:u w:val="none"/>
        </w:rPr>
        <w:t>nd Capability Requirements</w:t>
      </w:r>
      <w:r w:rsidR="005A2156">
        <w:rPr>
          <w:rStyle w:val="Hyperlink"/>
          <w:color w:val="auto"/>
          <w:u w:val="none"/>
        </w:rPr>
        <w:t xml:space="preserve">, and </w:t>
      </w:r>
      <w:r w:rsidR="005A2156" w:rsidRPr="005A2156">
        <w:rPr>
          <w:rStyle w:val="Hyperlink"/>
          <w:color w:val="auto"/>
          <w:u w:val="none"/>
        </w:rPr>
        <w:t>Product/Service Functi</w:t>
      </w:r>
      <w:bookmarkStart w:id="57" w:name="_GoBack"/>
      <w:bookmarkEnd w:id="57"/>
      <w:r w:rsidR="005A2156" w:rsidRPr="005A2156">
        <w:rPr>
          <w:rStyle w:val="Hyperlink"/>
          <w:color w:val="auto"/>
          <w:u w:val="none"/>
        </w:rPr>
        <w:t>onal Requirement</w:t>
      </w:r>
      <w:r w:rsidR="005A2156">
        <w:rPr>
          <w:rStyle w:val="Hyperlink"/>
          <w:color w:val="auto"/>
          <w:u w:val="none"/>
        </w:rPr>
        <w:t>)</w:t>
      </w:r>
    </w:p>
    <w:p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p>
    <w:p w:rsidR="002948C2" w:rsidRPr="00D70B84" w:rsidRDefault="002948C2" w:rsidP="00D70B84">
      <w:pPr>
        <w:pStyle w:val="ListParagraph"/>
        <w:numPr>
          <w:ilvl w:val="0"/>
          <w:numId w:val="36"/>
        </w:numPr>
        <w:rPr>
          <w:rStyle w:val="Hyperlink"/>
          <w:color w:val="auto"/>
          <w:u w:val="none"/>
        </w:rPr>
      </w:pPr>
      <w:r>
        <w:rPr>
          <w:rStyle w:val="Hyperlink"/>
          <w:color w:val="auto"/>
          <w:u w:val="none"/>
        </w:rPr>
        <w:t>BBBEE</w:t>
      </w:r>
    </w:p>
    <w:p w:rsidR="004E1D55" w:rsidRPr="00D70B84" w:rsidRDefault="004E1D55" w:rsidP="009A6CDE">
      <w:pPr>
        <w:pStyle w:val="ListParagraph"/>
        <w:numPr>
          <w:ilvl w:val="0"/>
          <w:numId w:val="36"/>
        </w:numPr>
        <w:rPr>
          <w:rStyle w:val="Hyperlink"/>
          <w:color w:val="auto"/>
          <w:u w:val="none"/>
        </w:rPr>
      </w:pPr>
      <w:r w:rsidRPr="00D70B84">
        <w:rPr>
          <w:rStyle w:val="Hyperlink"/>
          <w:color w:val="auto"/>
          <w:u w:val="none"/>
        </w:rPr>
        <w:t>Pricing / Costing</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08450642"/>
      <w:r>
        <w:t>Bidder’s disclosure (SBD 4)</w:t>
      </w:r>
      <w:bookmarkEnd w:id="58"/>
    </w:p>
    <w:p w:rsidR="001E3F54" w:rsidRPr="001E3F54" w:rsidRDefault="001E3F54" w:rsidP="001E3F54">
      <w:pPr>
        <w:pStyle w:val="Heading2"/>
        <w:rPr>
          <w:lang w:val="en-GB"/>
        </w:rPr>
      </w:pPr>
      <w:bookmarkStart w:id="59" w:name="_Toc108450643"/>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6"/>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08450645"/>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08450646"/>
      <w:r w:rsidRPr="007531A4">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15pt;height:36pt" o:ole="" fillcolor="window">
            <v:imagedata r:id="rId15" o:title=""/>
          </v:shape>
          <o:OLEObject Type="Embed" ProgID="Equation.3" ShapeID="_x0000_i1025" DrawAspect="Content" ObjectID="_1722185569" r:id="rId16"/>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15pt;height:36pt" o:ole="" fillcolor="window">
            <v:imagedata r:id="rId17" o:title=""/>
          </v:shape>
          <o:OLEObject Type="Embed" ProgID="Equation.3" ShapeID="_x0000_i1026" DrawAspect="Content" ObjectID="_1722185570" r:id="rId18"/>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08450649"/>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08450650"/>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08450652"/>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08450653"/>
      <w:r w:rsidRPr="007531A4">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08450654"/>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08450655"/>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08450656"/>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08450657"/>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08450659"/>
      <w:r w:rsidRPr="0056332A">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08450660"/>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08450661"/>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08450662"/>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08450663"/>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08450664"/>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08450665"/>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08450666"/>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08450667"/>
      <w:r w:rsidRPr="000A01AD">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08450668"/>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08450669"/>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08450670"/>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08450671"/>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08450672"/>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08450673"/>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08450674"/>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08450675"/>
      <w:r w:rsidRPr="005721E2">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08450676"/>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08450678"/>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08450679"/>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08450680"/>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08450681"/>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08450682"/>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08450683"/>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08450684"/>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08450685"/>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08450687"/>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36296B" w:rsidRPr="006024DD" w:rsidRDefault="0036296B" w:rsidP="0036296B">
      <w:pPr>
        <w:pStyle w:val="Heading1"/>
        <w:rPr>
          <w:b w:val="0"/>
          <w:iCs w:val="0"/>
        </w:rPr>
      </w:pPr>
      <w:bookmarkStart w:id="115" w:name="_Toc108450688"/>
      <w:r w:rsidRPr="006024DD">
        <w:t>Local Content Requirements (SBD 6.2)</w:t>
      </w:r>
      <w:bookmarkEnd w:id="115"/>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16" w:name="_Toc108450689"/>
      <w:r>
        <w:t>General Conditions</w:t>
      </w:r>
      <w:r w:rsidR="00C32641">
        <w:t xml:space="preserve"> for Local Content Requirements</w:t>
      </w:r>
      <w:bookmarkEnd w:id="116"/>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t>The stipulated minimum threshold(s) for local production and content (refer to Annex A of SATS 1286:2011) for this bid is/are as follows:</w:t>
      </w:r>
    </w:p>
    <w:p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19"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Default="00E547B2"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Default="005A2156" w:rsidP="006024DD"/>
    <w:p w:rsidR="005A2156" w:rsidRPr="00E547B2" w:rsidRDefault="005A2156" w:rsidP="006024DD"/>
    <w:p w:rsidR="00E547B2" w:rsidRDefault="00E547B2" w:rsidP="00E547B2">
      <w:pPr>
        <w:pStyle w:val="Heading2"/>
      </w:pPr>
      <w:bookmarkStart w:id="121" w:name="_Toc108450690"/>
      <w:r w:rsidRPr="00E547B2">
        <w:t>Local Content Declaration</w:t>
      </w:r>
      <w:bookmarkEnd w:id="121"/>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23" w:name="_Toc488498846"/>
      <w:bookmarkStart w:id="124" w:name="_Toc108450691"/>
      <w:bookmarkEnd w:id="1"/>
      <w:bookmarkEnd w:id="2"/>
      <w:bookmarkEnd w:id="3"/>
      <w:bookmarkEnd w:id="4"/>
      <w:bookmarkEnd w:id="5"/>
      <w:r w:rsidRPr="00B7255B">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6"/>
      <w:bookmarkEnd w:id="7"/>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08450693"/>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566" w:rsidRDefault="00D62566" w:rsidP="000C56A7">
      <w:pPr>
        <w:spacing w:after="0" w:line="240" w:lineRule="auto"/>
      </w:pPr>
      <w:r>
        <w:separator/>
      </w:r>
    </w:p>
  </w:endnote>
  <w:endnote w:type="continuationSeparator" w:id="0">
    <w:p w:rsidR="00D62566" w:rsidRDefault="00D6256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57" w:rsidRDefault="00DB4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57" w:rsidRDefault="00DB4857"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DB4857" w:rsidRPr="00CB4B80" w:rsidRDefault="00DB4857">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57" w:rsidRDefault="00DB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566" w:rsidRDefault="00D62566" w:rsidP="000C56A7">
      <w:pPr>
        <w:spacing w:after="0" w:line="240" w:lineRule="auto"/>
      </w:pPr>
      <w:r>
        <w:separator/>
      </w:r>
    </w:p>
  </w:footnote>
  <w:footnote w:type="continuationSeparator" w:id="0">
    <w:p w:rsidR="00D62566" w:rsidRDefault="00D62566" w:rsidP="000C56A7">
      <w:pPr>
        <w:spacing w:after="0" w:line="240" w:lineRule="auto"/>
      </w:pPr>
      <w:r>
        <w:continuationSeparator/>
      </w:r>
    </w:p>
  </w:footnote>
  <w:footnote w:id="1">
    <w:p w:rsidR="00DB4857" w:rsidRPr="00A21FCD" w:rsidRDefault="00DB485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DB4857" w:rsidRDefault="00DB4857" w:rsidP="009F515B">
      <w:pPr>
        <w:pStyle w:val="FootnoteText"/>
      </w:pPr>
    </w:p>
    <w:p w:rsidR="00DB4857" w:rsidRDefault="00DB485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57" w:rsidRDefault="00DB4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57" w:rsidRPr="00F37BD6" w:rsidRDefault="00DB4857">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57" w:rsidRDefault="00DB4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1"/>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7"/>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73"/>
  </w:num>
  <w:num w:numId="110">
    <w:abstractNumId w:val="2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762D"/>
    <w:rsid w:val="00051E74"/>
    <w:rsid w:val="000875DD"/>
    <w:rsid w:val="00087CD2"/>
    <w:rsid w:val="000A01AD"/>
    <w:rsid w:val="000A4D76"/>
    <w:rsid w:val="000B3D25"/>
    <w:rsid w:val="000B3DAD"/>
    <w:rsid w:val="000C56A7"/>
    <w:rsid w:val="000C68A6"/>
    <w:rsid w:val="000D0338"/>
    <w:rsid w:val="000D133B"/>
    <w:rsid w:val="000E6F8E"/>
    <w:rsid w:val="000F2B2F"/>
    <w:rsid w:val="00103520"/>
    <w:rsid w:val="00103EF0"/>
    <w:rsid w:val="0010735E"/>
    <w:rsid w:val="00110984"/>
    <w:rsid w:val="0011532B"/>
    <w:rsid w:val="001203AD"/>
    <w:rsid w:val="00122972"/>
    <w:rsid w:val="00123562"/>
    <w:rsid w:val="00124A5C"/>
    <w:rsid w:val="0013132F"/>
    <w:rsid w:val="001313AD"/>
    <w:rsid w:val="00154098"/>
    <w:rsid w:val="00161B69"/>
    <w:rsid w:val="00180F03"/>
    <w:rsid w:val="00184812"/>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5F4C"/>
    <w:rsid w:val="00223B97"/>
    <w:rsid w:val="00227CFB"/>
    <w:rsid w:val="00260F2A"/>
    <w:rsid w:val="0026470C"/>
    <w:rsid w:val="00287890"/>
    <w:rsid w:val="002911F2"/>
    <w:rsid w:val="002948C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B3731"/>
    <w:rsid w:val="004C3A3C"/>
    <w:rsid w:val="004C5620"/>
    <w:rsid w:val="004E1D55"/>
    <w:rsid w:val="004E3E3D"/>
    <w:rsid w:val="004E6F0A"/>
    <w:rsid w:val="004F260E"/>
    <w:rsid w:val="005048EE"/>
    <w:rsid w:val="00513DED"/>
    <w:rsid w:val="0051571F"/>
    <w:rsid w:val="00520716"/>
    <w:rsid w:val="00525C33"/>
    <w:rsid w:val="00532084"/>
    <w:rsid w:val="00534B6F"/>
    <w:rsid w:val="0055137F"/>
    <w:rsid w:val="00564988"/>
    <w:rsid w:val="005650AA"/>
    <w:rsid w:val="005721E2"/>
    <w:rsid w:val="005A2156"/>
    <w:rsid w:val="005B4A13"/>
    <w:rsid w:val="005B6F06"/>
    <w:rsid w:val="005E3296"/>
    <w:rsid w:val="005E4CC1"/>
    <w:rsid w:val="005E7FD6"/>
    <w:rsid w:val="005F493D"/>
    <w:rsid w:val="0060074E"/>
    <w:rsid w:val="006024DD"/>
    <w:rsid w:val="00603845"/>
    <w:rsid w:val="00612C00"/>
    <w:rsid w:val="00622921"/>
    <w:rsid w:val="00625CDD"/>
    <w:rsid w:val="00634C43"/>
    <w:rsid w:val="006374D3"/>
    <w:rsid w:val="00655805"/>
    <w:rsid w:val="0068658C"/>
    <w:rsid w:val="00692EE0"/>
    <w:rsid w:val="006B23DE"/>
    <w:rsid w:val="006C0A8D"/>
    <w:rsid w:val="006C6EC8"/>
    <w:rsid w:val="006D1D90"/>
    <w:rsid w:val="006E38B0"/>
    <w:rsid w:val="006F011E"/>
    <w:rsid w:val="006F6614"/>
    <w:rsid w:val="00710F8D"/>
    <w:rsid w:val="00716354"/>
    <w:rsid w:val="0072505B"/>
    <w:rsid w:val="00733FB4"/>
    <w:rsid w:val="00742328"/>
    <w:rsid w:val="00751665"/>
    <w:rsid w:val="0075293C"/>
    <w:rsid w:val="007531A4"/>
    <w:rsid w:val="007750E3"/>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86179"/>
    <w:rsid w:val="00887169"/>
    <w:rsid w:val="00891392"/>
    <w:rsid w:val="0089296C"/>
    <w:rsid w:val="008A128C"/>
    <w:rsid w:val="008A2B1A"/>
    <w:rsid w:val="008A3D63"/>
    <w:rsid w:val="008B1067"/>
    <w:rsid w:val="008C208C"/>
    <w:rsid w:val="008C2D3B"/>
    <w:rsid w:val="008D0EA5"/>
    <w:rsid w:val="008F2913"/>
    <w:rsid w:val="008F6DB7"/>
    <w:rsid w:val="0090233F"/>
    <w:rsid w:val="009056E8"/>
    <w:rsid w:val="00911873"/>
    <w:rsid w:val="00916598"/>
    <w:rsid w:val="00922BAF"/>
    <w:rsid w:val="009256E7"/>
    <w:rsid w:val="00941064"/>
    <w:rsid w:val="00960F83"/>
    <w:rsid w:val="00961F82"/>
    <w:rsid w:val="00983428"/>
    <w:rsid w:val="00995CFE"/>
    <w:rsid w:val="009A6CDE"/>
    <w:rsid w:val="009B7620"/>
    <w:rsid w:val="009C21F4"/>
    <w:rsid w:val="009D4A00"/>
    <w:rsid w:val="009D54A0"/>
    <w:rsid w:val="009D7991"/>
    <w:rsid w:val="009F4D84"/>
    <w:rsid w:val="009F515B"/>
    <w:rsid w:val="00A0268B"/>
    <w:rsid w:val="00A058DB"/>
    <w:rsid w:val="00A06C58"/>
    <w:rsid w:val="00A1058C"/>
    <w:rsid w:val="00A1486E"/>
    <w:rsid w:val="00A21293"/>
    <w:rsid w:val="00A21FCD"/>
    <w:rsid w:val="00A232F5"/>
    <w:rsid w:val="00A31D01"/>
    <w:rsid w:val="00A44D99"/>
    <w:rsid w:val="00A56683"/>
    <w:rsid w:val="00A60E58"/>
    <w:rsid w:val="00A651AE"/>
    <w:rsid w:val="00A7704A"/>
    <w:rsid w:val="00A87B4D"/>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7255B"/>
    <w:rsid w:val="00B80FF6"/>
    <w:rsid w:val="00B9152C"/>
    <w:rsid w:val="00BA256A"/>
    <w:rsid w:val="00BA33F1"/>
    <w:rsid w:val="00BB365B"/>
    <w:rsid w:val="00BC35B1"/>
    <w:rsid w:val="00BD6091"/>
    <w:rsid w:val="00BE50C6"/>
    <w:rsid w:val="00BF6901"/>
    <w:rsid w:val="00BF6DEC"/>
    <w:rsid w:val="00C026C6"/>
    <w:rsid w:val="00C0619F"/>
    <w:rsid w:val="00C063C5"/>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5D88"/>
    <w:rsid w:val="00D41F1F"/>
    <w:rsid w:val="00D42328"/>
    <w:rsid w:val="00D44BDF"/>
    <w:rsid w:val="00D61DC6"/>
    <w:rsid w:val="00D62077"/>
    <w:rsid w:val="00D62566"/>
    <w:rsid w:val="00D64DC3"/>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B718D"/>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2616"/>
    <w:rsid w:val="00FC5021"/>
    <w:rsid w:val="00FF2C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1D25D"/>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w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eservebank.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26EE"/>
    <w:rsid w:val="000D4718"/>
    <w:rsid w:val="000E1FA4"/>
    <w:rsid w:val="005E5619"/>
    <w:rsid w:val="006A1ADB"/>
    <w:rsid w:val="006F4F86"/>
    <w:rsid w:val="00753E8D"/>
    <w:rsid w:val="00970750"/>
    <w:rsid w:val="00C20408"/>
    <w:rsid w:val="00C86EB0"/>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4B15D-40C1-46DB-B8E6-05BAA9DF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35</TotalTime>
  <Pages>1</Pages>
  <Words>13368</Words>
  <Characters>76199</Characters>
  <Application>Microsoft Office Word</Application>
  <DocSecurity>0</DocSecurity>
  <Lines>634</Lines>
  <Paragraphs>178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vt:lpstr>
      <vt:lpstr>Bid Terms and Conditions</vt:lpstr>
      <vt:lpstr>    General rules and instructions</vt:lpstr>
      <vt:lpstr>        News and press releases</vt:lpstr>
      <vt:lpstr>Bidders or their agents shall not make any news releases concerning this RFB or </vt:lpstr>
      <vt:lpstr>        Precedence of documents</vt:lpstr>
      <vt:lpstr>This RFB also incorporates Annexures/Schedules. Where there is a contradiction i</vt:lpstr>
      <vt:lpstr>Where this RFB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RFB, the Bidder hereby accepts all </vt:lpstr>
      <vt:lpstr>This RFB is subject to the General Conditions of Contract referred to in this RF</vt:lpstr>
      <vt:lpstr>        Preferential procurement reform</vt:lpstr>
      <vt:lpstr>SITA supports B-BBEE as an essential ingredient of its business. In accordance w</vt:lpstr>
      <vt:lpstr>        Language</vt:lpstr>
      <vt:lpstr>Bids shall be prepared in English.</vt:lpstr>
      <vt:lpstr>        Gender</vt:lpstr>
      <vt:lpstr>Any word implying any gender shall be interpreted to imply all other genders.</vt:lpstr>
      <vt:lpstr>        Headings</vt:lpstr>
      <vt:lpstr>Headings are incorporated into this RFB document for ease of reference only and </vt:lpstr>
      <vt:lpstr>        Bid Clarification</vt:lpstr>
      <vt:lpstr>SITA SCM may request written clarification regarding any aspect of this RFB and </vt:lpstr>
      <vt:lpstr>        Cancellation of Bid</vt:lpstr>
      <vt:lpstr>SITA reserves the right to cancel this RFB, reject any proposal and to not award</vt:lpstr>
      <vt:lpstr>        Bid Validity period</vt:lpstr>
      <vt:lpstr>        Occupational Injuries and Diseases Act 13 of 1993</vt:lpstr>
      <vt:lpstr>The Bidder warrants that all its employees (including the employees of any sub-c</vt:lpstr>
      <vt:lpstr>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Formal contract</vt:lpstr>
      <vt:lpstr>This RFB, all the appended documentation and the proposal in response thereto re</vt:lpstr>
      <vt:lpstr>Any offer and/or acceptance entered into verbally between SITA and any Bidder wi</vt:lpstr>
      <vt:lpstr>This RFB is subject to Government Procurement: General Contract Conditions, Spec</vt:lpstr>
      <vt:lpstr>The laws of the RSA shall govern this RFB and the bidders hereby accept that the</vt:lpstr>
      <vt:lpstr>The bid will be awarded to the Prime Contractor and/or Bidder who shall be respo</vt:lpstr>
      <vt:lpstr>The Bidders’ response to this RFB or parts of the response, shall be included as</vt:lpstr>
      <vt:lpstr>        Failure to agree before contract conclusion </vt:lpstr>
      <vt:lpstr>Should the parties at any time before and/or after the communication of the awar</vt:lpstr>
      <vt:lpstr>Such cancellation shall mean that SITA reserves the right to award the same prop</vt:lpstr>
      <vt:lpstr>        Withdrawal of proposal after award</vt:lpstr>
      <vt:lpstr>Should a Bidder withdraw its proposal after accepting the award, SITA reserves t</vt:lpstr>
      <vt:lpstr>        Oral presentations </vt:lpstr>
      <vt:lpstr>Bidders who submit Bids in response to this RFB may be required to give an oral </vt:lpstr>
      <vt:lpstr>        Objection to brand specific requirements</vt:lpstr>
      <vt:lpstr>Any bidder who has reasons to believe that the RFB specification is based on a s</vt:lpstr>
      <vt:lpstr>    RFB Returnables</vt:lpstr>
      <vt:lpstr>        Administrative Returnable Documents</vt:lpstr>
      <vt:lpstr>SBD 4 – Bidder’s Disclosure</vt:lpstr>
      <vt:lpstr>SBD 6.1- Preferential Procurement Claim form and copy of the B-BBEE Verification</vt:lpstr>
      <vt:lpstr>Government Procurement General Conditions of Contract</vt:lpstr>
      <vt:lpstr>Central Supplier Database (CSD)</vt:lpstr>
      <vt:lpstr>        Mandatory/Evaluation Returnable Documents</vt:lpstr>
      <vt:lpstr>Technical Mandatory Requirement Evaluation (Bidder Certification/Affiliation Req</vt:lpstr>
      <vt:lpstr>Special Conditions of Contract</vt:lpstr>
      <vt:lpstr>BBBEE</vt:lpstr>
      <vt:lpstr>Pricing / Costing</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
      <vt:lpstr/>
      <vt:lpstr>I certify that the information furnished in paragraph 3 of this document is corr</vt:lpstr>
      <vt:lpstr/>
      <vt:lpstr/>
      <vt:lpstr>Preferential Procurement Claim Form (SBD 6.1)</vt:lpstr>
      <vt:lpstr>    General Conditions for the preference point systems</vt:lpstr>
      <vt:lpstr>the 80/20 system for requirements with a Rand value of up to R50 000 000 (all ap</vt:lpstr>
      <vt:lpstr>the 90/10 system for requirements with a Rand value above R50 000 000 (all appli</vt:lpstr>
      <vt:lpstr>If the lowest acceptable bid price is up to and including R50 000 000 (all appli</vt:lpstr>
      <vt:lpstr>if it is unclear which preference point system will be applicable, that either t</vt:lpstr>
      <vt:lpstr>Price; and</vt:lpstr>
      <vt:lpstr>B-BBEE Status Level of Contributor.</vt:lpstr>
      <vt:lpstr/>
      <vt:lpstr>    Points awarded for price</vt:lpstr>
      <vt:lpstr>    Points awarded for B-BBEE status level of contributor</vt:lpstr>
      <vt:lpstr>    Bid Declaration</vt:lpstr>
      <vt:lpstr>    Sub-Contracting</vt:lpstr>
      <vt:lpstr>    Declaration with regard to Company / Firm</vt:lpstr>
      <vt:lpstr>The information furnished is true and correct;</vt:lpstr>
      <vt:lpstr>The preference points claimed are in accordance with the General Conditions as i</vt:lpstr>
    </vt:vector>
  </TitlesOfParts>
  <Company>SITA</Company>
  <LinksUpToDate>false</LinksUpToDate>
  <CharactersWithSpaces>89389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Mafiwa Malebatja</cp:lastModifiedBy>
  <cp:revision>5</cp:revision>
  <cp:lastPrinted>2017-11-22T15:08:00Z</cp:lastPrinted>
  <dcterms:created xsi:type="dcterms:W3CDTF">2022-08-16T12:07:00Z</dcterms:created>
  <dcterms:modified xsi:type="dcterms:W3CDTF">2022-08-16T18:06:00Z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