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754A" w14:textId="1C087847" w:rsidR="00C02133" w:rsidRDefault="00C02133">
      <w:pPr>
        <w:pStyle w:val="Footer"/>
        <w:tabs>
          <w:tab w:val="clear" w:pos="4153"/>
          <w:tab w:val="clear" w:pos="8306"/>
        </w:tabs>
        <w:rPr>
          <w:rFonts w:cs="Arial"/>
          <w:b/>
          <w:szCs w:val="20"/>
          <w:lang w:val="en-ZA"/>
        </w:rPr>
      </w:pPr>
      <w:bookmarkStart w:id="0" w:name="OLE_LINK1"/>
    </w:p>
    <w:p w14:paraId="0BFAF604" w14:textId="35BCB01A" w:rsidR="001222C4" w:rsidRDefault="001222C4">
      <w:pPr>
        <w:pStyle w:val="Footer"/>
        <w:tabs>
          <w:tab w:val="clear" w:pos="4153"/>
          <w:tab w:val="clear" w:pos="8306"/>
        </w:tabs>
        <w:rPr>
          <w:rFonts w:cs="Arial"/>
          <w:b/>
          <w:szCs w:val="20"/>
          <w:lang w:val="en-ZA"/>
        </w:rPr>
      </w:pPr>
    </w:p>
    <w:p w14:paraId="56B80AD0" w14:textId="565ECD29" w:rsidR="001222C4" w:rsidRDefault="005113E1">
      <w:pPr>
        <w:pStyle w:val="Footer"/>
        <w:tabs>
          <w:tab w:val="clear" w:pos="4153"/>
          <w:tab w:val="clear" w:pos="8306"/>
        </w:tabs>
        <w:rPr>
          <w:rFonts w:cs="Arial"/>
          <w:b/>
          <w:sz w:val="24"/>
          <w:lang w:val="en-ZA"/>
        </w:rPr>
      </w:pPr>
      <w:r w:rsidRPr="005113E1">
        <w:rPr>
          <w:rFonts w:cs="Arial"/>
          <w:b/>
          <w:sz w:val="24"/>
          <w:lang w:val="en-ZA"/>
        </w:rPr>
        <w:t xml:space="preserve">APPOINTMENT OF </w:t>
      </w:r>
      <w:r w:rsidR="00CE17B7">
        <w:rPr>
          <w:rFonts w:cs="Arial"/>
          <w:b/>
          <w:sz w:val="24"/>
          <w:lang w:val="en-ZA"/>
        </w:rPr>
        <w:t xml:space="preserve">A SERVICE PROVIDER </w:t>
      </w:r>
      <w:r w:rsidR="006C084A">
        <w:rPr>
          <w:rFonts w:cs="Arial"/>
          <w:b/>
          <w:sz w:val="24"/>
          <w:lang w:val="en-ZA"/>
        </w:rPr>
        <w:t xml:space="preserve">FOR THE PROVISION </w:t>
      </w:r>
      <w:r w:rsidR="003D435C">
        <w:rPr>
          <w:rFonts w:cs="Arial"/>
          <w:b/>
          <w:sz w:val="24"/>
          <w:lang w:val="en-ZA"/>
        </w:rPr>
        <w:t xml:space="preserve">OF </w:t>
      </w:r>
      <w:r w:rsidR="00B24B05">
        <w:rPr>
          <w:rFonts w:cs="Arial"/>
          <w:b/>
          <w:sz w:val="24"/>
          <w:lang w:val="en-ZA"/>
        </w:rPr>
        <w:t>FINANCIAL AND MANAGEMENT ACCOUNTING CONSULTING SERVICES</w:t>
      </w:r>
    </w:p>
    <w:p w14:paraId="060E9F80" w14:textId="77777777" w:rsidR="00A133C9" w:rsidRPr="00A133C9" w:rsidRDefault="00A133C9">
      <w:pPr>
        <w:pStyle w:val="Footer"/>
        <w:tabs>
          <w:tab w:val="clear" w:pos="4153"/>
          <w:tab w:val="clear" w:pos="8306"/>
        </w:tabs>
        <w:rPr>
          <w:rFonts w:cs="Arial"/>
          <w:b/>
          <w:sz w:val="24"/>
          <w:lang w:val="en-ZA"/>
        </w:rPr>
      </w:pPr>
    </w:p>
    <w:p w14:paraId="22BC9536" w14:textId="5587D30A" w:rsidR="001222C4" w:rsidRDefault="001222C4">
      <w:pPr>
        <w:pStyle w:val="Footer"/>
        <w:tabs>
          <w:tab w:val="clear" w:pos="4153"/>
          <w:tab w:val="clear" w:pos="8306"/>
        </w:tabs>
        <w:rPr>
          <w:rFonts w:cs="Arial"/>
          <w:b/>
          <w:szCs w:val="20"/>
          <w:lang w:val="en-ZA"/>
        </w:rPr>
      </w:pPr>
      <w:r>
        <w:rPr>
          <w:rFonts w:cs="Arial"/>
          <w:b/>
          <w:szCs w:val="20"/>
          <w:lang w:val="en-ZA"/>
        </w:rPr>
        <w:t xml:space="preserve"> </w:t>
      </w:r>
    </w:p>
    <w:p w14:paraId="560BF7D2" w14:textId="152EAD5E" w:rsidR="001222C4" w:rsidRPr="00D15534" w:rsidRDefault="001222C4" w:rsidP="007634BE">
      <w:pPr>
        <w:pStyle w:val="Footer"/>
        <w:numPr>
          <w:ilvl w:val="1"/>
          <w:numId w:val="1"/>
        </w:numPr>
        <w:ind w:hanging="792"/>
        <w:rPr>
          <w:rFonts w:cs="Arial"/>
          <w:b/>
          <w:bCs/>
          <w:sz w:val="22"/>
          <w:szCs w:val="22"/>
        </w:rPr>
      </w:pPr>
      <w:r w:rsidRPr="001222C4">
        <w:rPr>
          <w:rFonts w:cs="Arial"/>
          <w:b/>
          <w:bCs/>
          <w:sz w:val="22"/>
          <w:szCs w:val="22"/>
        </w:rPr>
        <w:t>BACKGROUND</w:t>
      </w:r>
    </w:p>
    <w:p w14:paraId="3ABDBD00" w14:textId="77777777" w:rsidR="001222C4" w:rsidRPr="001222C4" w:rsidRDefault="001222C4" w:rsidP="001222C4">
      <w:pPr>
        <w:pStyle w:val="Footer"/>
        <w:ind w:left="792"/>
        <w:rPr>
          <w:rFonts w:cs="Arial"/>
          <w:b/>
          <w:bCs/>
          <w:szCs w:val="20"/>
        </w:rPr>
      </w:pPr>
    </w:p>
    <w:p w14:paraId="242F1D04" w14:textId="3A309AB2" w:rsidR="001222C4" w:rsidRDefault="004644DA" w:rsidP="007C6E91">
      <w:pPr>
        <w:pStyle w:val="Footer"/>
        <w:rPr>
          <w:rFonts w:asciiTheme="minorHAnsi" w:hAnsiTheme="minorHAnsi" w:cstheme="minorHAnsi"/>
          <w:bCs/>
          <w:sz w:val="22"/>
          <w:szCs w:val="22"/>
        </w:rPr>
      </w:pPr>
      <w:r w:rsidRPr="00941D5A">
        <w:rPr>
          <w:rFonts w:asciiTheme="minorHAnsi" w:hAnsiTheme="minorHAnsi" w:cstheme="minorHAnsi"/>
          <w:bCs/>
          <w:sz w:val="22"/>
          <w:szCs w:val="22"/>
        </w:rPr>
        <w:t>Sentech is a state-owned company and is the largest broadcasting signal distributor in South Africa. Sentech is a licensed Electronic Communications Network Service provider in South Africa.  It currently operates many telecommunication networks for Satellite, Television, Radio, Internet and more. As such, Sentech is a global enabler of broadcasting and digital content delivery.</w:t>
      </w:r>
    </w:p>
    <w:p w14:paraId="75AB6133" w14:textId="77777777" w:rsidR="00941D5A" w:rsidRPr="00941D5A" w:rsidRDefault="00941D5A" w:rsidP="007C6E91">
      <w:pPr>
        <w:pStyle w:val="Footer"/>
        <w:rPr>
          <w:rFonts w:asciiTheme="minorHAnsi" w:hAnsiTheme="minorHAnsi" w:cstheme="minorHAnsi"/>
          <w:bCs/>
          <w:sz w:val="22"/>
          <w:szCs w:val="22"/>
        </w:rPr>
      </w:pPr>
    </w:p>
    <w:tbl>
      <w:tblPr>
        <w:tblW w:w="4981" w:type="pct"/>
        <w:tblLayout w:type="fixed"/>
        <w:tblLook w:val="04A0" w:firstRow="1" w:lastRow="0" w:firstColumn="1" w:lastColumn="0" w:noHBand="0" w:noVBand="1"/>
      </w:tblPr>
      <w:tblGrid>
        <w:gridCol w:w="1397"/>
        <w:gridCol w:w="316"/>
        <w:gridCol w:w="242"/>
        <w:gridCol w:w="13369"/>
      </w:tblGrid>
      <w:tr w:rsidR="00560D6A" w:rsidRPr="00560D6A" w14:paraId="48714BCB" w14:textId="77777777" w:rsidTr="00560D6A">
        <w:trPr>
          <w:trHeight w:val="262"/>
        </w:trPr>
        <w:tc>
          <w:tcPr>
            <w:tcW w:w="456" w:type="pct"/>
            <w:vMerge w:val="restart"/>
            <w:tcBorders>
              <w:top w:val="single" w:sz="12" w:space="0" w:color="auto"/>
              <w:left w:val="single" w:sz="12" w:space="0" w:color="auto"/>
              <w:bottom w:val="single" w:sz="8" w:space="0" w:color="000000"/>
              <w:right w:val="nil"/>
            </w:tcBorders>
            <w:shd w:val="clear" w:color="000000" w:fill="FFFFFF"/>
            <w:hideMark/>
          </w:tcPr>
          <w:p w14:paraId="066BC30F"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Scope of Work</w:t>
            </w:r>
          </w:p>
        </w:tc>
        <w:tc>
          <w:tcPr>
            <w:tcW w:w="103" w:type="pct"/>
            <w:tcBorders>
              <w:top w:val="single" w:sz="12" w:space="0" w:color="auto"/>
              <w:left w:val="single" w:sz="4" w:space="0" w:color="auto"/>
              <w:bottom w:val="single" w:sz="4" w:space="0" w:color="auto"/>
              <w:right w:val="nil"/>
            </w:tcBorders>
            <w:shd w:val="clear" w:color="000000" w:fill="FFFFFF"/>
            <w:hideMark/>
          </w:tcPr>
          <w:p w14:paraId="6F26BF18"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1</w:t>
            </w:r>
          </w:p>
        </w:tc>
        <w:tc>
          <w:tcPr>
            <w:tcW w:w="4441" w:type="pct"/>
            <w:gridSpan w:val="2"/>
            <w:tcBorders>
              <w:top w:val="single" w:sz="12" w:space="0" w:color="auto"/>
              <w:left w:val="nil"/>
              <w:bottom w:val="nil"/>
              <w:right w:val="single" w:sz="12" w:space="0" w:color="000000"/>
            </w:tcBorders>
            <w:shd w:val="clear" w:color="000000" w:fill="FFFFFF"/>
            <w:hideMark/>
          </w:tcPr>
          <w:p w14:paraId="3C7DFD75" w14:textId="77777777" w:rsidR="00941D5A" w:rsidRPr="00941D5A" w:rsidRDefault="00941D5A" w:rsidP="00941D5A">
            <w:pP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rPr>
              <w:t>Grant funded assets</w:t>
            </w:r>
          </w:p>
        </w:tc>
      </w:tr>
      <w:tr w:rsidR="00560D6A" w:rsidRPr="00560D6A" w14:paraId="1092558A" w14:textId="77777777" w:rsidTr="00560D6A">
        <w:trPr>
          <w:trHeight w:val="1055"/>
        </w:trPr>
        <w:tc>
          <w:tcPr>
            <w:tcW w:w="456" w:type="pct"/>
            <w:vMerge/>
            <w:tcBorders>
              <w:top w:val="single" w:sz="12" w:space="0" w:color="auto"/>
              <w:left w:val="single" w:sz="12" w:space="0" w:color="auto"/>
              <w:bottom w:val="single" w:sz="8" w:space="0" w:color="000000"/>
              <w:right w:val="nil"/>
            </w:tcBorders>
            <w:vAlign w:val="center"/>
            <w:hideMark/>
          </w:tcPr>
          <w:p w14:paraId="3D757FDD"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single" w:sz="4" w:space="0" w:color="auto"/>
              <w:left w:val="single" w:sz="4" w:space="0" w:color="auto"/>
              <w:bottom w:val="nil"/>
              <w:right w:val="single" w:sz="12" w:space="0" w:color="000000"/>
            </w:tcBorders>
            <w:shd w:val="clear" w:color="000000" w:fill="FFFFFF"/>
            <w:hideMark/>
          </w:tcPr>
          <w:p w14:paraId="5FB7284F" w14:textId="68E3599B" w:rsidR="00941D5A" w:rsidRPr="00941D5A" w:rsidRDefault="00941D5A" w:rsidP="00560D6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Sentech receives grant funding to acquire assets</w:t>
            </w:r>
            <w:r w:rsidR="00560D6A" w:rsidRPr="00560D6A">
              <w:rPr>
                <w:rFonts w:asciiTheme="minorHAnsi" w:hAnsiTheme="minorHAnsi" w:cstheme="minorHAnsi"/>
                <w:color w:val="000000"/>
                <w:sz w:val="21"/>
                <w:szCs w:val="21"/>
                <w:lang w:val="en-US"/>
              </w:rPr>
              <w:t>, and the</w:t>
            </w:r>
            <w:r w:rsidRPr="00941D5A">
              <w:rPr>
                <w:rFonts w:asciiTheme="minorHAnsi" w:hAnsiTheme="minorHAnsi" w:cstheme="minorHAnsi"/>
                <w:color w:val="000000"/>
                <w:sz w:val="21"/>
                <w:szCs w:val="21"/>
                <w:lang w:val="en-US"/>
              </w:rPr>
              <w:t xml:space="preserve"> accounting treatment applied is to </w:t>
            </w:r>
            <w:proofErr w:type="spellStart"/>
            <w:r w:rsidRPr="00941D5A">
              <w:rPr>
                <w:rFonts w:asciiTheme="minorHAnsi" w:hAnsiTheme="minorHAnsi" w:cstheme="minorHAnsi"/>
                <w:color w:val="000000"/>
                <w:sz w:val="21"/>
                <w:szCs w:val="21"/>
                <w:lang w:val="en-US"/>
              </w:rPr>
              <w:t>recognise</w:t>
            </w:r>
            <w:proofErr w:type="spellEnd"/>
            <w:r w:rsidRPr="00941D5A">
              <w:rPr>
                <w:rFonts w:asciiTheme="minorHAnsi" w:hAnsiTheme="minorHAnsi" w:cstheme="minorHAnsi"/>
                <w:color w:val="000000"/>
                <w:sz w:val="21"/>
                <w:szCs w:val="21"/>
                <w:lang w:val="en-US"/>
              </w:rPr>
              <w:t xml:space="preserve"> the grant as deferred income and systematically </w:t>
            </w:r>
            <w:proofErr w:type="spellStart"/>
            <w:r w:rsidRPr="00941D5A">
              <w:rPr>
                <w:rFonts w:asciiTheme="minorHAnsi" w:hAnsiTheme="minorHAnsi" w:cstheme="minorHAnsi"/>
                <w:color w:val="000000"/>
                <w:sz w:val="21"/>
                <w:szCs w:val="21"/>
                <w:lang w:val="en-US"/>
              </w:rPr>
              <w:t>amortised</w:t>
            </w:r>
            <w:proofErr w:type="spellEnd"/>
            <w:r w:rsidRPr="00941D5A">
              <w:rPr>
                <w:rFonts w:asciiTheme="minorHAnsi" w:hAnsiTheme="minorHAnsi" w:cstheme="minorHAnsi"/>
                <w:color w:val="000000"/>
                <w:sz w:val="21"/>
                <w:szCs w:val="21"/>
                <w:lang w:val="en-US"/>
              </w:rPr>
              <w:t xml:space="preserve"> over a period matching the useful life of the acquired assets. The grant funded </w:t>
            </w:r>
            <w:r w:rsidR="00560D6A">
              <w:rPr>
                <w:rFonts w:asciiTheme="minorHAnsi" w:hAnsiTheme="minorHAnsi" w:cstheme="minorHAnsi"/>
                <w:color w:val="000000"/>
                <w:sz w:val="21"/>
                <w:szCs w:val="21"/>
                <w:lang w:val="en-US"/>
              </w:rPr>
              <w:t>d</w:t>
            </w:r>
            <w:r w:rsidRPr="00941D5A">
              <w:rPr>
                <w:rFonts w:asciiTheme="minorHAnsi" w:hAnsiTheme="minorHAnsi" w:cstheme="minorHAnsi"/>
                <w:color w:val="000000"/>
                <w:sz w:val="21"/>
                <w:szCs w:val="21"/>
                <w:lang w:val="en-US"/>
              </w:rPr>
              <w:t xml:space="preserve">igital </w:t>
            </w:r>
            <w:r w:rsidR="00560D6A">
              <w:rPr>
                <w:rFonts w:asciiTheme="minorHAnsi" w:hAnsiTheme="minorHAnsi" w:cstheme="minorHAnsi"/>
                <w:color w:val="000000"/>
                <w:sz w:val="21"/>
                <w:szCs w:val="21"/>
                <w:lang w:val="en-US"/>
              </w:rPr>
              <w:t>t</w:t>
            </w:r>
            <w:r w:rsidRPr="00941D5A">
              <w:rPr>
                <w:rFonts w:asciiTheme="minorHAnsi" w:hAnsiTheme="minorHAnsi" w:cstheme="minorHAnsi"/>
                <w:color w:val="000000"/>
                <w:sz w:val="21"/>
                <w:szCs w:val="21"/>
                <w:lang w:val="en-US"/>
              </w:rPr>
              <w:t xml:space="preserve">errestrial </w:t>
            </w:r>
            <w:r w:rsidR="00560D6A">
              <w:rPr>
                <w:rFonts w:asciiTheme="minorHAnsi" w:hAnsiTheme="minorHAnsi" w:cstheme="minorHAnsi"/>
                <w:color w:val="000000"/>
                <w:sz w:val="21"/>
                <w:szCs w:val="21"/>
                <w:lang w:val="en-US"/>
              </w:rPr>
              <w:t>t</w:t>
            </w:r>
            <w:r w:rsidRPr="00941D5A">
              <w:rPr>
                <w:rFonts w:asciiTheme="minorHAnsi" w:hAnsiTheme="minorHAnsi" w:cstheme="minorHAnsi"/>
                <w:color w:val="000000"/>
                <w:sz w:val="21"/>
                <w:szCs w:val="21"/>
                <w:lang w:val="en-US"/>
              </w:rPr>
              <w:t xml:space="preserve">elevision assets are now being brought into use, and must be </w:t>
            </w:r>
            <w:proofErr w:type="spellStart"/>
            <w:r w:rsidRPr="00941D5A">
              <w:rPr>
                <w:rFonts w:asciiTheme="minorHAnsi" w:hAnsiTheme="minorHAnsi" w:cstheme="minorHAnsi"/>
                <w:color w:val="000000"/>
                <w:sz w:val="21"/>
                <w:szCs w:val="21"/>
                <w:lang w:val="en-US"/>
              </w:rPr>
              <w:t>recognised</w:t>
            </w:r>
            <w:proofErr w:type="spellEnd"/>
            <w:r w:rsidRPr="00941D5A">
              <w:rPr>
                <w:rFonts w:asciiTheme="minorHAnsi" w:hAnsiTheme="minorHAnsi" w:cstheme="minorHAnsi"/>
                <w:color w:val="000000"/>
                <w:sz w:val="21"/>
                <w:szCs w:val="21"/>
                <w:lang w:val="en-US"/>
              </w:rPr>
              <w:t xml:space="preserve"> in SENTECH’s balance sheet</w:t>
            </w:r>
            <w:r w:rsidR="00560D6A">
              <w:rPr>
                <w:rFonts w:asciiTheme="minorHAnsi" w:hAnsiTheme="minorHAnsi" w:cstheme="minorHAnsi"/>
                <w:color w:val="000000"/>
                <w:sz w:val="21"/>
                <w:szCs w:val="21"/>
                <w:lang w:val="en-US"/>
              </w:rPr>
              <w:t xml:space="preserve">, thus </w:t>
            </w:r>
            <w:r w:rsidRPr="00941D5A">
              <w:rPr>
                <w:rFonts w:asciiTheme="minorHAnsi" w:hAnsiTheme="minorHAnsi" w:cstheme="minorHAnsi"/>
                <w:color w:val="000000"/>
                <w:sz w:val="21"/>
                <w:szCs w:val="21"/>
                <w:lang w:val="en-US"/>
              </w:rPr>
              <w:t>requiring expert guidance for the accounting treatment regarding:</w:t>
            </w:r>
          </w:p>
        </w:tc>
      </w:tr>
      <w:tr w:rsidR="00560D6A" w:rsidRPr="00560D6A" w14:paraId="00A2C9B6" w14:textId="77777777" w:rsidTr="00560D6A">
        <w:trPr>
          <w:trHeight w:val="250"/>
        </w:trPr>
        <w:tc>
          <w:tcPr>
            <w:tcW w:w="456" w:type="pct"/>
            <w:vMerge/>
            <w:tcBorders>
              <w:top w:val="single" w:sz="12" w:space="0" w:color="auto"/>
              <w:left w:val="single" w:sz="12" w:space="0" w:color="auto"/>
              <w:bottom w:val="single" w:sz="8" w:space="0" w:color="000000"/>
              <w:right w:val="nil"/>
            </w:tcBorders>
            <w:vAlign w:val="center"/>
            <w:hideMark/>
          </w:tcPr>
          <w:p w14:paraId="58E845C1"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61C8E6E9"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734F64C3"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vAlign w:val="center"/>
            <w:hideMark/>
          </w:tcPr>
          <w:p w14:paraId="47D9912A"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Correct initial recognition and measurement of the assets,</w:t>
            </w:r>
          </w:p>
        </w:tc>
      </w:tr>
      <w:tr w:rsidR="00560D6A" w:rsidRPr="00560D6A" w14:paraId="1BD83DB9"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0020E93E"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09A0A3C1"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72B6D2E0"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vAlign w:val="center"/>
            <w:hideMark/>
          </w:tcPr>
          <w:p w14:paraId="6AC4D2CF"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 xml:space="preserve"> Review of applicable depreciation and amortisation rates,</w:t>
            </w:r>
          </w:p>
        </w:tc>
      </w:tr>
      <w:tr w:rsidR="00560D6A" w:rsidRPr="00560D6A" w14:paraId="664D24AE"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51C492AF"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7D3C316A"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0940BAA7"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vAlign w:val="center"/>
            <w:hideMark/>
          </w:tcPr>
          <w:p w14:paraId="134557FC"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Assist with updating the fixed asset register with the correct values,</w:t>
            </w:r>
          </w:p>
        </w:tc>
      </w:tr>
      <w:tr w:rsidR="00560D6A" w:rsidRPr="00560D6A" w14:paraId="5D7D2043"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388501A6"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619D205C"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63EF4834"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vAlign w:val="center"/>
            <w:hideMark/>
          </w:tcPr>
          <w:p w14:paraId="6DB1EA79"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Calculation of the applicable tax base of the assets, and</w:t>
            </w:r>
          </w:p>
        </w:tc>
      </w:tr>
      <w:tr w:rsidR="00560D6A" w:rsidRPr="00560D6A" w14:paraId="1F7DE233"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244B915E"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single" w:sz="4" w:space="0" w:color="auto"/>
              <w:right w:val="nil"/>
            </w:tcBorders>
            <w:shd w:val="clear" w:color="000000" w:fill="FFFFFF"/>
            <w:hideMark/>
          </w:tcPr>
          <w:p w14:paraId="021493A0"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single" w:sz="4" w:space="0" w:color="auto"/>
              <w:right w:val="nil"/>
            </w:tcBorders>
            <w:shd w:val="clear" w:color="000000" w:fill="FFFFFF"/>
            <w:noWrap/>
            <w:hideMark/>
          </w:tcPr>
          <w:p w14:paraId="6A7017BF"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single" w:sz="4" w:space="0" w:color="auto"/>
              <w:right w:val="single" w:sz="12" w:space="0" w:color="auto"/>
            </w:tcBorders>
            <w:shd w:val="clear" w:color="000000" w:fill="FFFFFF"/>
            <w:vAlign w:val="center"/>
            <w:hideMark/>
          </w:tcPr>
          <w:p w14:paraId="694BE430"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Assist with updating the asset policy if required.</w:t>
            </w:r>
          </w:p>
        </w:tc>
      </w:tr>
      <w:tr w:rsidR="00560D6A" w:rsidRPr="00560D6A" w14:paraId="45B1FF16" w14:textId="77777777" w:rsidTr="00560D6A">
        <w:trPr>
          <w:trHeight w:val="149"/>
        </w:trPr>
        <w:tc>
          <w:tcPr>
            <w:tcW w:w="456" w:type="pct"/>
            <w:vMerge/>
            <w:tcBorders>
              <w:top w:val="single" w:sz="12" w:space="0" w:color="auto"/>
              <w:left w:val="single" w:sz="12" w:space="0" w:color="auto"/>
              <w:bottom w:val="single" w:sz="8" w:space="0" w:color="000000"/>
              <w:right w:val="nil"/>
            </w:tcBorders>
            <w:vAlign w:val="center"/>
            <w:hideMark/>
          </w:tcPr>
          <w:p w14:paraId="3B5B936C"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4333685B"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hideMark/>
          </w:tcPr>
          <w:p w14:paraId="263747E6"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 </w:t>
            </w:r>
          </w:p>
        </w:tc>
        <w:tc>
          <w:tcPr>
            <w:tcW w:w="4362" w:type="pct"/>
            <w:tcBorders>
              <w:top w:val="nil"/>
              <w:left w:val="nil"/>
              <w:bottom w:val="nil"/>
              <w:right w:val="single" w:sz="12" w:space="0" w:color="auto"/>
            </w:tcBorders>
            <w:shd w:val="clear" w:color="000000" w:fill="FFFFFF"/>
            <w:noWrap/>
            <w:vAlign w:val="bottom"/>
            <w:hideMark/>
          </w:tcPr>
          <w:p w14:paraId="31CDF80E" w14:textId="77777777" w:rsidR="00941D5A" w:rsidRPr="00941D5A" w:rsidRDefault="00941D5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r>
      <w:tr w:rsidR="00560D6A" w:rsidRPr="00560D6A" w14:paraId="1DEFA8E3" w14:textId="77777777" w:rsidTr="00560D6A">
        <w:trPr>
          <w:trHeight w:val="250"/>
        </w:trPr>
        <w:tc>
          <w:tcPr>
            <w:tcW w:w="456" w:type="pct"/>
            <w:vMerge/>
            <w:tcBorders>
              <w:top w:val="single" w:sz="12" w:space="0" w:color="auto"/>
              <w:left w:val="single" w:sz="12" w:space="0" w:color="auto"/>
              <w:bottom w:val="single" w:sz="8" w:space="0" w:color="000000"/>
              <w:right w:val="nil"/>
            </w:tcBorders>
            <w:vAlign w:val="center"/>
            <w:hideMark/>
          </w:tcPr>
          <w:p w14:paraId="5893CC34"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single" w:sz="4" w:space="0" w:color="auto"/>
              <w:right w:val="nil"/>
            </w:tcBorders>
            <w:shd w:val="clear" w:color="000000" w:fill="FFFFFF"/>
            <w:hideMark/>
          </w:tcPr>
          <w:p w14:paraId="390DBF3B"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2</w:t>
            </w:r>
          </w:p>
        </w:tc>
        <w:tc>
          <w:tcPr>
            <w:tcW w:w="4441" w:type="pct"/>
            <w:gridSpan w:val="2"/>
            <w:tcBorders>
              <w:top w:val="nil"/>
              <w:left w:val="nil"/>
              <w:bottom w:val="nil"/>
              <w:right w:val="single" w:sz="12" w:space="0" w:color="000000"/>
            </w:tcBorders>
            <w:shd w:val="clear" w:color="000000" w:fill="FFFFFF"/>
            <w:hideMark/>
          </w:tcPr>
          <w:p w14:paraId="5F6E1A31" w14:textId="77777777" w:rsidR="00941D5A" w:rsidRPr="00941D5A" w:rsidRDefault="00941D5A" w:rsidP="00941D5A">
            <w:pP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rPr>
              <w:t xml:space="preserve">Taxation </w:t>
            </w:r>
          </w:p>
        </w:tc>
      </w:tr>
      <w:tr w:rsidR="00560D6A" w:rsidRPr="00560D6A" w14:paraId="1ABD7C00" w14:textId="77777777" w:rsidTr="00560D6A">
        <w:trPr>
          <w:trHeight w:val="250"/>
        </w:trPr>
        <w:tc>
          <w:tcPr>
            <w:tcW w:w="456" w:type="pct"/>
            <w:vMerge/>
            <w:tcBorders>
              <w:top w:val="single" w:sz="12" w:space="0" w:color="auto"/>
              <w:left w:val="single" w:sz="12" w:space="0" w:color="auto"/>
              <w:bottom w:val="single" w:sz="8" w:space="0" w:color="000000"/>
              <w:right w:val="nil"/>
            </w:tcBorders>
            <w:vAlign w:val="center"/>
            <w:hideMark/>
          </w:tcPr>
          <w:p w14:paraId="0E2ED333"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single" w:sz="4" w:space="0" w:color="auto"/>
              <w:left w:val="single" w:sz="4" w:space="0" w:color="auto"/>
              <w:bottom w:val="nil"/>
              <w:right w:val="single" w:sz="12" w:space="0" w:color="000000"/>
            </w:tcBorders>
            <w:shd w:val="clear" w:color="000000" w:fill="FFFFFF"/>
            <w:hideMark/>
          </w:tcPr>
          <w:p w14:paraId="356910FD" w14:textId="3748FD38" w:rsidR="00941D5A" w:rsidRPr="00941D5A" w:rsidRDefault="00941D5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Assist management</w:t>
            </w:r>
            <w:r w:rsidR="00560D6A">
              <w:rPr>
                <w:rFonts w:asciiTheme="minorHAnsi" w:hAnsiTheme="minorHAnsi" w:cstheme="minorHAnsi"/>
                <w:color w:val="000000"/>
                <w:sz w:val="21"/>
                <w:szCs w:val="21"/>
                <w:lang w:val="en-US"/>
              </w:rPr>
              <w:t xml:space="preserve"> implications of the DTT assets</w:t>
            </w:r>
            <w:r w:rsidRPr="00941D5A">
              <w:rPr>
                <w:rFonts w:asciiTheme="minorHAnsi" w:hAnsiTheme="minorHAnsi" w:cstheme="minorHAnsi"/>
                <w:color w:val="000000"/>
                <w:sz w:val="21"/>
                <w:szCs w:val="21"/>
                <w:lang w:val="en-US"/>
              </w:rPr>
              <w:t xml:space="preserve"> with the computation, </w:t>
            </w:r>
            <w:r w:rsidR="00E7186F" w:rsidRPr="00560D6A">
              <w:rPr>
                <w:rFonts w:asciiTheme="minorHAnsi" w:hAnsiTheme="minorHAnsi" w:cstheme="minorHAnsi"/>
                <w:color w:val="000000"/>
                <w:sz w:val="21"/>
                <w:szCs w:val="21"/>
                <w:lang w:val="en-US"/>
              </w:rPr>
              <w:t>review,</w:t>
            </w:r>
            <w:r w:rsidRPr="00941D5A">
              <w:rPr>
                <w:rFonts w:asciiTheme="minorHAnsi" w:hAnsiTheme="minorHAnsi" w:cstheme="minorHAnsi"/>
                <w:color w:val="000000"/>
                <w:sz w:val="21"/>
                <w:szCs w:val="21"/>
                <w:lang w:val="en-US"/>
              </w:rPr>
              <w:t xml:space="preserve"> and audit of the: </w:t>
            </w:r>
          </w:p>
        </w:tc>
      </w:tr>
      <w:tr w:rsidR="00560D6A" w:rsidRPr="00560D6A" w14:paraId="5D3DE469"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724AC76A"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39D12F49"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290FCE13"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vAlign w:val="center"/>
            <w:hideMark/>
          </w:tcPr>
          <w:p w14:paraId="5E617E7A"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Income Tax and Deferred tax calculation (Interim and final),</w:t>
            </w:r>
          </w:p>
        </w:tc>
      </w:tr>
      <w:tr w:rsidR="00560D6A" w:rsidRPr="00560D6A" w14:paraId="370EEDA4"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2A708509"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39AC6B88"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26A62244"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vAlign w:val="center"/>
            <w:hideMark/>
          </w:tcPr>
          <w:p w14:paraId="4E7D46B8" w14:textId="22FCC88A" w:rsidR="00941D5A" w:rsidRPr="00941D5A" w:rsidRDefault="00560D6A" w:rsidP="00941D5A">
            <w:pPr>
              <w:rPr>
                <w:rFonts w:asciiTheme="minorHAnsi" w:hAnsiTheme="minorHAnsi" w:cstheme="minorHAnsi"/>
                <w:color w:val="000000"/>
                <w:sz w:val="21"/>
                <w:szCs w:val="21"/>
                <w:lang w:val="en-US"/>
              </w:rPr>
            </w:pPr>
            <w:r>
              <w:rPr>
                <w:rFonts w:asciiTheme="minorHAnsi" w:hAnsiTheme="minorHAnsi" w:cstheme="minorHAnsi"/>
                <w:color w:val="000000"/>
                <w:sz w:val="21"/>
                <w:szCs w:val="21"/>
              </w:rPr>
              <w:t>R</w:t>
            </w:r>
            <w:r w:rsidR="00941D5A" w:rsidRPr="00941D5A">
              <w:rPr>
                <w:rFonts w:asciiTheme="minorHAnsi" w:hAnsiTheme="minorHAnsi" w:cstheme="minorHAnsi"/>
                <w:color w:val="000000"/>
                <w:sz w:val="21"/>
                <w:szCs w:val="21"/>
              </w:rPr>
              <w:t>eview of the provisional tax calculation, and</w:t>
            </w:r>
          </w:p>
        </w:tc>
      </w:tr>
      <w:tr w:rsidR="00560D6A" w:rsidRPr="00560D6A" w14:paraId="5DB70C58"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52BF7C87"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single" w:sz="4" w:space="0" w:color="auto"/>
              <w:right w:val="nil"/>
            </w:tcBorders>
            <w:shd w:val="clear" w:color="000000" w:fill="FFFFFF"/>
            <w:hideMark/>
          </w:tcPr>
          <w:p w14:paraId="1719199E"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single" w:sz="4" w:space="0" w:color="auto"/>
              <w:right w:val="nil"/>
            </w:tcBorders>
            <w:shd w:val="clear" w:color="000000" w:fill="FFFFFF"/>
            <w:noWrap/>
            <w:hideMark/>
          </w:tcPr>
          <w:p w14:paraId="38F87C52"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single" w:sz="4" w:space="0" w:color="auto"/>
              <w:right w:val="single" w:sz="12" w:space="0" w:color="auto"/>
            </w:tcBorders>
            <w:shd w:val="clear" w:color="000000" w:fill="FFFFFF"/>
            <w:vAlign w:val="center"/>
            <w:hideMark/>
          </w:tcPr>
          <w:p w14:paraId="2FC618ED"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Ensure correct application of allowances in terms of the Income Tax Act</w:t>
            </w:r>
          </w:p>
        </w:tc>
      </w:tr>
      <w:tr w:rsidR="00560D6A" w:rsidRPr="00560D6A" w14:paraId="39F61BA2" w14:textId="77777777" w:rsidTr="00560D6A">
        <w:trPr>
          <w:trHeight w:val="149"/>
        </w:trPr>
        <w:tc>
          <w:tcPr>
            <w:tcW w:w="456" w:type="pct"/>
            <w:vMerge/>
            <w:tcBorders>
              <w:top w:val="single" w:sz="12" w:space="0" w:color="auto"/>
              <w:left w:val="single" w:sz="12" w:space="0" w:color="auto"/>
              <w:bottom w:val="single" w:sz="8" w:space="0" w:color="000000"/>
              <w:right w:val="nil"/>
            </w:tcBorders>
            <w:vAlign w:val="center"/>
            <w:hideMark/>
          </w:tcPr>
          <w:p w14:paraId="52617A6A"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00A20450"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hideMark/>
          </w:tcPr>
          <w:p w14:paraId="628C0F55"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 </w:t>
            </w:r>
          </w:p>
        </w:tc>
        <w:tc>
          <w:tcPr>
            <w:tcW w:w="4362" w:type="pct"/>
            <w:tcBorders>
              <w:top w:val="nil"/>
              <w:left w:val="nil"/>
              <w:bottom w:val="nil"/>
              <w:right w:val="single" w:sz="12" w:space="0" w:color="auto"/>
            </w:tcBorders>
            <w:shd w:val="clear" w:color="000000" w:fill="FFFFFF"/>
            <w:noWrap/>
            <w:vAlign w:val="bottom"/>
            <w:hideMark/>
          </w:tcPr>
          <w:p w14:paraId="32351868" w14:textId="77777777" w:rsidR="00941D5A" w:rsidRPr="00941D5A" w:rsidRDefault="00941D5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r>
      <w:tr w:rsidR="00560D6A" w:rsidRPr="00560D6A" w14:paraId="03150579" w14:textId="77777777" w:rsidTr="00560D6A">
        <w:trPr>
          <w:trHeight w:val="250"/>
        </w:trPr>
        <w:tc>
          <w:tcPr>
            <w:tcW w:w="456" w:type="pct"/>
            <w:vMerge/>
            <w:tcBorders>
              <w:top w:val="single" w:sz="12" w:space="0" w:color="auto"/>
              <w:left w:val="single" w:sz="12" w:space="0" w:color="auto"/>
              <w:bottom w:val="single" w:sz="8" w:space="0" w:color="000000"/>
              <w:right w:val="nil"/>
            </w:tcBorders>
            <w:vAlign w:val="center"/>
            <w:hideMark/>
          </w:tcPr>
          <w:p w14:paraId="318EE520"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single" w:sz="4" w:space="0" w:color="auto"/>
              <w:right w:val="nil"/>
            </w:tcBorders>
            <w:shd w:val="clear" w:color="000000" w:fill="FFFFFF"/>
            <w:hideMark/>
          </w:tcPr>
          <w:p w14:paraId="51F8DD35"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3</w:t>
            </w:r>
          </w:p>
        </w:tc>
        <w:tc>
          <w:tcPr>
            <w:tcW w:w="4441" w:type="pct"/>
            <w:gridSpan w:val="2"/>
            <w:tcBorders>
              <w:top w:val="nil"/>
              <w:left w:val="nil"/>
              <w:bottom w:val="nil"/>
              <w:right w:val="single" w:sz="12" w:space="0" w:color="000000"/>
            </w:tcBorders>
            <w:shd w:val="clear" w:color="000000" w:fill="FFFFFF"/>
            <w:hideMark/>
          </w:tcPr>
          <w:p w14:paraId="534B1943" w14:textId="77777777" w:rsidR="00941D5A" w:rsidRPr="00941D5A" w:rsidRDefault="00941D5A" w:rsidP="00941D5A">
            <w:pP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rPr>
              <w:t>IFRS 9 Model review</w:t>
            </w:r>
          </w:p>
        </w:tc>
      </w:tr>
      <w:tr w:rsidR="00560D6A" w:rsidRPr="00560D6A" w14:paraId="6E0F81C1" w14:textId="77777777" w:rsidTr="00560D6A">
        <w:trPr>
          <w:trHeight w:val="250"/>
        </w:trPr>
        <w:tc>
          <w:tcPr>
            <w:tcW w:w="456" w:type="pct"/>
            <w:vMerge/>
            <w:tcBorders>
              <w:top w:val="single" w:sz="12" w:space="0" w:color="auto"/>
              <w:left w:val="single" w:sz="12" w:space="0" w:color="auto"/>
              <w:bottom w:val="single" w:sz="8" w:space="0" w:color="000000"/>
              <w:right w:val="nil"/>
            </w:tcBorders>
            <w:vAlign w:val="center"/>
            <w:hideMark/>
          </w:tcPr>
          <w:p w14:paraId="587F962C"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single" w:sz="4" w:space="0" w:color="auto"/>
              <w:left w:val="single" w:sz="4" w:space="0" w:color="auto"/>
              <w:bottom w:val="nil"/>
              <w:right w:val="single" w:sz="12" w:space="0" w:color="000000"/>
            </w:tcBorders>
            <w:shd w:val="clear" w:color="000000" w:fill="FFFFFF"/>
            <w:hideMark/>
          </w:tcPr>
          <w:p w14:paraId="31B0FE10" w14:textId="77777777" w:rsidR="00941D5A" w:rsidRPr="00941D5A" w:rsidRDefault="00941D5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The appointed service provider will be required to carry out the following scope of work:</w:t>
            </w:r>
          </w:p>
        </w:tc>
      </w:tr>
      <w:tr w:rsidR="00560D6A" w:rsidRPr="00560D6A" w14:paraId="38365DF5" w14:textId="77777777" w:rsidTr="00560D6A">
        <w:trPr>
          <w:trHeight w:val="250"/>
        </w:trPr>
        <w:tc>
          <w:tcPr>
            <w:tcW w:w="456" w:type="pct"/>
            <w:vMerge/>
            <w:tcBorders>
              <w:top w:val="single" w:sz="12" w:space="0" w:color="auto"/>
              <w:left w:val="single" w:sz="12" w:space="0" w:color="auto"/>
              <w:bottom w:val="single" w:sz="8" w:space="0" w:color="000000"/>
              <w:right w:val="nil"/>
            </w:tcBorders>
            <w:vAlign w:val="center"/>
            <w:hideMark/>
          </w:tcPr>
          <w:p w14:paraId="63F1B010"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49FC45D4"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6E0FC50F"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hideMark/>
          </w:tcPr>
          <w:p w14:paraId="6E07B1A1"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Review the reasonableness and appropriateness of the Expected Credit Losses (ECL) model,</w:t>
            </w:r>
          </w:p>
        </w:tc>
      </w:tr>
      <w:tr w:rsidR="00560D6A" w:rsidRPr="00560D6A" w14:paraId="025C52C2"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18BF4C35"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hideMark/>
          </w:tcPr>
          <w:p w14:paraId="7DDB5CAD"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637F475D"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hideMark/>
          </w:tcPr>
          <w:p w14:paraId="24E1B7FE"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Reperform the assessment of debtor classes, and</w:t>
            </w:r>
          </w:p>
        </w:tc>
      </w:tr>
      <w:tr w:rsidR="00560D6A" w:rsidRPr="00560D6A" w14:paraId="726FD135" w14:textId="77777777" w:rsidTr="00560D6A">
        <w:trPr>
          <w:trHeight w:val="262"/>
        </w:trPr>
        <w:tc>
          <w:tcPr>
            <w:tcW w:w="456" w:type="pct"/>
            <w:vMerge/>
            <w:tcBorders>
              <w:top w:val="single" w:sz="12" w:space="0" w:color="auto"/>
              <w:left w:val="single" w:sz="12" w:space="0" w:color="auto"/>
              <w:bottom w:val="single" w:sz="8" w:space="0" w:color="000000"/>
              <w:right w:val="nil"/>
            </w:tcBorders>
            <w:vAlign w:val="center"/>
            <w:hideMark/>
          </w:tcPr>
          <w:p w14:paraId="2ADF9AE5"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single" w:sz="8" w:space="0" w:color="auto"/>
              <w:right w:val="nil"/>
            </w:tcBorders>
            <w:shd w:val="clear" w:color="000000" w:fill="FFFFFF"/>
            <w:hideMark/>
          </w:tcPr>
          <w:p w14:paraId="5F46026F"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single" w:sz="8" w:space="0" w:color="auto"/>
              <w:right w:val="nil"/>
            </w:tcBorders>
            <w:shd w:val="clear" w:color="000000" w:fill="FFFFFF"/>
            <w:noWrap/>
            <w:hideMark/>
          </w:tcPr>
          <w:p w14:paraId="1BD8327F"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single" w:sz="8" w:space="0" w:color="auto"/>
              <w:right w:val="single" w:sz="12" w:space="0" w:color="auto"/>
            </w:tcBorders>
            <w:shd w:val="clear" w:color="000000" w:fill="FFFFFF"/>
            <w:hideMark/>
          </w:tcPr>
          <w:p w14:paraId="5015E144"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Calculate the ECL.</w:t>
            </w:r>
          </w:p>
        </w:tc>
      </w:tr>
      <w:tr w:rsidR="00560D6A" w:rsidRPr="00560D6A" w14:paraId="4FAFCBD2" w14:textId="77777777" w:rsidTr="00560D6A">
        <w:trPr>
          <w:trHeight w:val="262"/>
        </w:trPr>
        <w:tc>
          <w:tcPr>
            <w:tcW w:w="456" w:type="pct"/>
            <w:tcBorders>
              <w:top w:val="nil"/>
              <w:left w:val="single" w:sz="12" w:space="0" w:color="auto"/>
              <w:bottom w:val="nil"/>
              <w:right w:val="nil"/>
            </w:tcBorders>
            <w:shd w:val="clear" w:color="000000" w:fill="FFFFFF"/>
            <w:hideMark/>
          </w:tcPr>
          <w:p w14:paraId="46B9C07C"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lastRenderedPageBreak/>
              <w:t> </w:t>
            </w:r>
          </w:p>
        </w:tc>
        <w:tc>
          <w:tcPr>
            <w:tcW w:w="103" w:type="pct"/>
            <w:tcBorders>
              <w:top w:val="nil"/>
              <w:left w:val="nil"/>
              <w:bottom w:val="nil"/>
              <w:right w:val="nil"/>
            </w:tcBorders>
            <w:shd w:val="clear" w:color="000000" w:fill="FFFFFF"/>
            <w:hideMark/>
          </w:tcPr>
          <w:p w14:paraId="5F1A33FB"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0B490359" w14:textId="77777777" w:rsidR="00941D5A" w:rsidRPr="00941D5A" w:rsidRDefault="00941D5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c>
          <w:tcPr>
            <w:tcW w:w="4362" w:type="pct"/>
            <w:tcBorders>
              <w:top w:val="nil"/>
              <w:left w:val="nil"/>
              <w:bottom w:val="nil"/>
              <w:right w:val="single" w:sz="12" w:space="0" w:color="auto"/>
            </w:tcBorders>
            <w:shd w:val="clear" w:color="000000" w:fill="FFFFFF"/>
            <w:vAlign w:val="center"/>
            <w:hideMark/>
          </w:tcPr>
          <w:p w14:paraId="0B1214AC"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r>
      <w:tr w:rsidR="00560D6A" w:rsidRPr="00560D6A" w14:paraId="2CEC16EB" w14:textId="77777777" w:rsidTr="00560D6A">
        <w:trPr>
          <w:trHeight w:val="250"/>
        </w:trPr>
        <w:tc>
          <w:tcPr>
            <w:tcW w:w="456" w:type="pct"/>
            <w:vMerge w:val="restart"/>
            <w:tcBorders>
              <w:top w:val="single" w:sz="8" w:space="0" w:color="auto"/>
              <w:left w:val="single" w:sz="12" w:space="0" w:color="auto"/>
              <w:bottom w:val="single" w:sz="8" w:space="0" w:color="000000"/>
              <w:right w:val="nil"/>
            </w:tcBorders>
            <w:shd w:val="clear" w:color="000000" w:fill="FFFFFF"/>
            <w:hideMark/>
          </w:tcPr>
          <w:p w14:paraId="262B201E"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Terms and Conditions</w:t>
            </w:r>
          </w:p>
        </w:tc>
        <w:tc>
          <w:tcPr>
            <w:tcW w:w="4544" w:type="pct"/>
            <w:gridSpan w:val="3"/>
            <w:tcBorders>
              <w:top w:val="single" w:sz="8" w:space="0" w:color="auto"/>
              <w:left w:val="single" w:sz="4" w:space="0" w:color="auto"/>
              <w:bottom w:val="nil"/>
              <w:right w:val="single" w:sz="12" w:space="0" w:color="000000"/>
            </w:tcBorders>
            <w:shd w:val="clear" w:color="000000" w:fill="FFFFFF"/>
            <w:hideMark/>
          </w:tcPr>
          <w:p w14:paraId="5F7BD6CB" w14:textId="77777777" w:rsidR="00941D5A" w:rsidRPr="00941D5A" w:rsidRDefault="00941D5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xml:space="preserve">SENTECH reserves the right to </w:t>
            </w:r>
          </w:p>
        </w:tc>
      </w:tr>
      <w:tr w:rsidR="00560D6A" w:rsidRPr="00560D6A" w14:paraId="31C746A0" w14:textId="77777777" w:rsidTr="00560D6A">
        <w:trPr>
          <w:trHeight w:val="250"/>
        </w:trPr>
        <w:tc>
          <w:tcPr>
            <w:tcW w:w="456" w:type="pct"/>
            <w:vMerge/>
            <w:tcBorders>
              <w:top w:val="single" w:sz="8" w:space="0" w:color="auto"/>
              <w:left w:val="single" w:sz="12" w:space="0" w:color="auto"/>
              <w:bottom w:val="single" w:sz="8" w:space="0" w:color="000000"/>
              <w:right w:val="nil"/>
            </w:tcBorders>
            <w:vAlign w:val="center"/>
            <w:hideMark/>
          </w:tcPr>
          <w:p w14:paraId="783801CB"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vAlign w:val="center"/>
            <w:hideMark/>
          </w:tcPr>
          <w:p w14:paraId="17A9D371"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692151EB"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hideMark/>
          </w:tcPr>
          <w:p w14:paraId="3E50833B"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Extend the closing date</w:t>
            </w:r>
          </w:p>
        </w:tc>
      </w:tr>
      <w:tr w:rsidR="00560D6A" w:rsidRPr="00560D6A" w14:paraId="78B785DD" w14:textId="77777777" w:rsidTr="00560D6A">
        <w:trPr>
          <w:trHeight w:val="250"/>
        </w:trPr>
        <w:tc>
          <w:tcPr>
            <w:tcW w:w="456" w:type="pct"/>
            <w:vMerge/>
            <w:tcBorders>
              <w:top w:val="single" w:sz="8" w:space="0" w:color="auto"/>
              <w:left w:val="single" w:sz="12" w:space="0" w:color="auto"/>
              <w:bottom w:val="single" w:sz="8" w:space="0" w:color="000000"/>
              <w:right w:val="nil"/>
            </w:tcBorders>
            <w:vAlign w:val="center"/>
            <w:hideMark/>
          </w:tcPr>
          <w:p w14:paraId="44ED39F2"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vAlign w:val="center"/>
            <w:hideMark/>
          </w:tcPr>
          <w:p w14:paraId="5BD4E03D"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10AB7082"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hideMark/>
          </w:tcPr>
          <w:p w14:paraId="1C07F7BB"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Verify any information contained in a response</w:t>
            </w:r>
          </w:p>
        </w:tc>
      </w:tr>
      <w:tr w:rsidR="00560D6A" w:rsidRPr="00560D6A" w14:paraId="096D0B9E" w14:textId="77777777" w:rsidTr="00560D6A">
        <w:trPr>
          <w:trHeight w:val="250"/>
        </w:trPr>
        <w:tc>
          <w:tcPr>
            <w:tcW w:w="456" w:type="pct"/>
            <w:vMerge/>
            <w:tcBorders>
              <w:top w:val="single" w:sz="8" w:space="0" w:color="auto"/>
              <w:left w:val="single" w:sz="12" w:space="0" w:color="auto"/>
              <w:bottom w:val="single" w:sz="8" w:space="0" w:color="000000"/>
              <w:right w:val="nil"/>
            </w:tcBorders>
            <w:vAlign w:val="center"/>
            <w:hideMark/>
          </w:tcPr>
          <w:p w14:paraId="339773AF"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vAlign w:val="center"/>
            <w:hideMark/>
          </w:tcPr>
          <w:p w14:paraId="543DD8EA"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63B768C4"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hideMark/>
          </w:tcPr>
          <w:p w14:paraId="0E3B064A"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 xml:space="preserve">Request documentary proof </w:t>
            </w:r>
          </w:p>
        </w:tc>
      </w:tr>
      <w:tr w:rsidR="00560D6A" w:rsidRPr="00560D6A" w14:paraId="76D57D13" w14:textId="77777777" w:rsidTr="00560D6A">
        <w:trPr>
          <w:trHeight w:val="250"/>
        </w:trPr>
        <w:tc>
          <w:tcPr>
            <w:tcW w:w="456" w:type="pct"/>
            <w:vMerge/>
            <w:tcBorders>
              <w:top w:val="single" w:sz="8" w:space="0" w:color="auto"/>
              <w:left w:val="single" w:sz="12" w:space="0" w:color="auto"/>
              <w:bottom w:val="single" w:sz="8" w:space="0" w:color="000000"/>
              <w:right w:val="nil"/>
            </w:tcBorders>
            <w:vAlign w:val="center"/>
            <w:hideMark/>
          </w:tcPr>
          <w:p w14:paraId="376371DC"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vAlign w:val="center"/>
            <w:hideMark/>
          </w:tcPr>
          <w:p w14:paraId="7D13C701"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7AC67981"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hideMark/>
          </w:tcPr>
          <w:p w14:paraId="2B304BB7"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Cancel or withdraw the requirement</w:t>
            </w:r>
          </w:p>
        </w:tc>
      </w:tr>
      <w:tr w:rsidR="00560D6A" w:rsidRPr="00560D6A" w14:paraId="710523F8" w14:textId="77777777" w:rsidTr="00560D6A">
        <w:trPr>
          <w:trHeight w:val="262"/>
        </w:trPr>
        <w:tc>
          <w:tcPr>
            <w:tcW w:w="456" w:type="pct"/>
            <w:vMerge/>
            <w:tcBorders>
              <w:top w:val="single" w:sz="8" w:space="0" w:color="auto"/>
              <w:left w:val="single" w:sz="12" w:space="0" w:color="auto"/>
              <w:bottom w:val="single" w:sz="8" w:space="0" w:color="000000"/>
              <w:right w:val="nil"/>
            </w:tcBorders>
            <w:vAlign w:val="center"/>
            <w:hideMark/>
          </w:tcPr>
          <w:p w14:paraId="772C3AAF"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vAlign w:val="center"/>
            <w:hideMark/>
          </w:tcPr>
          <w:p w14:paraId="76D44448"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484C6FF9"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hideMark/>
          </w:tcPr>
          <w:p w14:paraId="37707A00"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To limit communications to only those Service Providers who meets the requirements.</w:t>
            </w:r>
          </w:p>
        </w:tc>
      </w:tr>
      <w:tr w:rsidR="00560D6A" w:rsidRPr="00560D6A" w14:paraId="6E1AB7F6" w14:textId="77777777" w:rsidTr="00560D6A">
        <w:trPr>
          <w:trHeight w:val="1029"/>
        </w:trPr>
        <w:tc>
          <w:tcPr>
            <w:tcW w:w="456" w:type="pct"/>
            <w:vMerge/>
            <w:tcBorders>
              <w:top w:val="single" w:sz="8" w:space="0" w:color="auto"/>
              <w:left w:val="single" w:sz="12" w:space="0" w:color="auto"/>
              <w:bottom w:val="single" w:sz="8" w:space="0" w:color="000000"/>
              <w:right w:val="nil"/>
            </w:tcBorders>
            <w:vAlign w:val="center"/>
            <w:hideMark/>
          </w:tcPr>
          <w:p w14:paraId="6D41D65B"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vAlign w:val="center"/>
            <w:hideMark/>
          </w:tcPr>
          <w:p w14:paraId="11C9453E"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noWrap/>
            <w:hideMark/>
          </w:tcPr>
          <w:p w14:paraId="71720974" w14:textId="77777777" w:rsidR="00941D5A" w:rsidRPr="00941D5A" w:rsidRDefault="00941D5A" w:rsidP="00941D5A">
            <w:pPr>
              <w:jc w:val="cente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w:t>
            </w:r>
          </w:p>
        </w:tc>
        <w:tc>
          <w:tcPr>
            <w:tcW w:w="4362" w:type="pct"/>
            <w:tcBorders>
              <w:top w:val="nil"/>
              <w:left w:val="nil"/>
              <w:bottom w:val="nil"/>
              <w:right w:val="single" w:sz="12" w:space="0" w:color="auto"/>
            </w:tcBorders>
            <w:shd w:val="clear" w:color="000000" w:fill="FFFFFF"/>
            <w:hideMark/>
          </w:tcPr>
          <w:p w14:paraId="3EE18E3E"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This request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SCC conflict with the GCC, the SCC shall prevail.</w:t>
            </w:r>
          </w:p>
        </w:tc>
      </w:tr>
      <w:tr w:rsidR="00560D6A" w:rsidRPr="00560D6A" w14:paraId="7FB3C798" w14:textId="77777777" w:rsidTr="00560D6A">
        <w:trPr>
          <w:trHeight w:val="980"/>
        </w:trPr>
        <w:tc>
          <w:tcPr>
            <w:tcW w:w="456" w:type="pct"/>
            <w:vMerge/>
            <w:tcBorders>
              <w:top w:val="single" w:sz="8" w:space="0" w:color="auto"/>
              <w:left w:val="single" w:sz="12" w:space="0" w:color="auto"/>
              <w:bottom w:val="single" w:sz="8" w:space="0" w:color="000000"/>
              <w:right w:val="nil"/>
            </w:tcBorders>
            <w:vAlign w:val="center"/>
            <w:hideMark/>
          </w:tcPr>
          <w:p w14:paraId="12105799"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17FD4C8B"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nil"/>
              <w:right w:val="single" w:sz="12" w:space="0" w:color="000000"/>
            </w:tcBorders>
            <w:shd w:val="clear" w:color="000000" w:fill="FFFFFF"/>
            <w:hideMark/>
          </w:tcPr>
          <w:p w14:paraId="6B6E40AB" w14:textId="1F4E7335"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 xml:space="preserve">The successful Service Provider may only </w:t>
            </w:r>
            <w:r w:rsidR="00560D6A" w:rsidRPr="00560D6A">
              <w:rPr>
                <w:rFonts w:asciiTheme="minorHAnsi" w:hAnsiTheme="minorHAnsi" w:cstheme="minorHAnsi"/>
                <w:color w:val="000000"/>
                <w:sz w:val="21"/>
                <w:szCs w:val="21"/>
              </w:rPr>
              <w:t>enter</w:t>
            </w:r>
            <w:r w:rsidRPr="00941D5A">
              <w:rPr>
                <w:rFonts w:asciiTheme="minorHAnsi" w:hAnsiTheme="minorHAnsi" w:cstheme="minorHAnsi"/>
                <w:color w:val="000000"/>
                <w:sz w:val="21"/>
                <w:szCs w:val="21"/>
              </w:rPr>
              <w:t xml:space="preserve"> a subcontracting arrangement with the approval of SENTECH. The successful Service Provider may not subcontract more than 30% of the value of the contract to any other enterprise that does not have an equal or higher B-BBEE status level of contributor than the Service Provider concerned, unless the contract is subcontracted to an EME that has the capability and ability to execute the subcontract.</w:t>
            </w:r>
          </w:p>
        </w:tc>
      </w:tr>
      <w:tr w:rsidR="00560D6A" w:rsidRPr="00560D6A" w14:paraId="238CF1C9" w14:textId="77777777" w:rsidTr="00560D6A">
        <w:trPr>
          <w:trHeight w:val="1068"/>
        </w:trPr>
        <w:tc>
          <w:tcPr>
            <w:tcW w:w="456" w:type="pct"/>
            <w:vMerge/>
            <w:tcBorders>
              <w:top w:val="single" w:sz="8" w:space="0" w:color="auto"/>
              <w:left w:val="single" w:sz="12" w:space="0" w:color="auto"/>
              <w:bottom w:val="single" w:sz="8" w:space="0" w:color="000000"/>
              <w:right w:val="nil"/>
            </w:tcBorders>
            <w:vAlign w:val="center"/>
            <w:hideMark/>
          </w:tcPr>
          <w:p w14:paraId="2EFD0C94"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3CD85512"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nil"/>
              <w:right w:val="single" w:sz="12" w:space="0" w:color="000000"/>
            </w:tcBorders>
            <w:shd w:val="clear" w:color="000000" w:fill="FFFFFF"/>
            <w:hideMark/>
          </w:tcPr>
          <w:p w14:paraId="52445C12"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xml:space="preserve">SENTECH reserves the right to request a BBBEE transformation plan with clearly defined timelines and milestones if the recommended Service Provider does not meet SENTECH’s transformation goals. These milestones must be achieved over the term of the contract. This transformation plan shall be submitted within 10 working days from the written request, failing which SENTECH reserves the right to withdraw its appointment of the preferred recommended Service Provider.  </w:t>
            </w:r>
          </w:p>
        </w:tc>
      </w:tr>
      <w:tr w:rsidR="00560D6A" w:rsidRPr="00560D6A" w14:paraId="6BB2F449" w14:textId="77777777" w:rsidTr="00560D6A">
        <w:trPr>
          <w:trHeight w:val="1017"/>
        </w:trPr>
        <w:tc>
          <w:tcPr>
            <w:tcW w:w="456" w:type="pct"/>
            <w:vMerge/>
            <w:tcBorders>
              <w:top w:val="single" w:sz="8" w:space="0" w:color="auto"/>
              <w:left w:val="single" w:sz="12" w:space="0" w:color="auto"/>
              <w:bottom w:val="single" w:sz="8" w:space="0" w:color="000000"/>
              <w:right w:val="nil"/>
            </w:tcBorders>
            <w:vAlign w:val="center"/>
            <w:hideMark/>
          </w:tcPr>
          <w:p w14:paraId="71247E4A"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200DC7A8"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nil"/>
              <w:right w:val="single" w:sz="12" w:space="0" w:color="000000"/>
            </w:tcBorders>
            <w:shd w:val="clear" w:color="000000" w:fill="FFFFFF"/>
            <w:hideMark/>
          </w:tcPr>
          <w:p w14:paraId="4BB14BBA"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 xml:space="preserve">SENTECH shall have the right, at its sole and exclusive discretion, upon written notice to the Service Provider, to terminate this Agreement, in whole or in part should the SERVICE PROVIDER fail to perform any of its obligations or deliver any deliverable timeously or should SENTECH not be satisfied with the quality of any service/s in terms of this Agreement, to the satisfaction of SENTECH. </w:t>
            </w:r>
          </w:p>
        </w:tc>
      </w:tr>
      <w:tr w:rsidR="00560D6A" w:rsidRPr="00560D6A" w14:paraId="2ABB8005" w14:textId="77777777" w:rsidTr="00560D6A">
        <w:trPr>
          <w:trHeight w:val="792"/>
        </w:trPr>
        <w:tc>
          <w:tcPr>
            <w:tcW w:w="456" w:type="pct"/>
            <w:vMerge/>
            <w:tcBorders>
              <w:top w:val="single" w:sz="8" w:space="0" w:color="auto"/>
              <w:left w:val="single" w:sz="12" w:space="0" w:color="auto"/>
              <w:bottom w:val="single" w:sz="8" w:space="0" w:color="000000"/>
              <w:right w:val="nil"/>
            </w:tcBorders>
            <w:vAlign w:val="center"/>
            <w:hideMark/>
          </w:tcPr>
          <w:p w14:paraId="4B528CEE"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38F55C68"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nil"/>
              <w:right w:val="single" w:sz="12" w:space="0" w:color="000000"/>
            </w:tcBorders>
            <w:shd w:val="clear" w:color="000000" w:fill="FFFFFF"/>
            <w:hideMark/>
          </w:tcPr>
          <w:p w14:paraId="37E6C25F" w14:textId="4EFE30EA"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 xml:space="preserve">SENTECH shall furthermore have the right, </w:t>
            </w:r>
            <w:r w:rsidR="00560D6A" w:rsidRPr="00560D6A">
              <w:rPr>
                <w:rFonts w:asciiTheme="minorHAnsi" w:hAnsiTheme="minorHAnsi" w:cstheme="minorHAnsi"/>
                <w:color w:val="000000"/>
                <w:sz w:val="21"/>
                <w:szCs w:val="21"/>
              </w:rPr>
              <w:t>because of</w:t>
            </w:r>
            <w:r w:rsidRPr="00941D5A">
              <w:rPr>
                <w:rFonts w:asciiTheme="minorHAnsi" w:hAnsiTheme="minorHAnsi" w:cstheme="minorHAnsi"/>
                <w:color w:val="000000"/>
                <w:sz w:val="21"/>
                <w:szCs w:val="21"/>
              </w:rPr>
              <w:t xml:space="preserve"> such termination, to appoint a third party to perform the obligations of the Service Provider in terms of the Agreement and the Service Provider indemnifies SENTECH against all costs incurred by SENTECH in appointing such third party to fulfil the obligations of the Service Provider.</w:t>
            </w:r>
          </w:p>
        </w:tc>
      </w:tr>
      <w:tr w:rsidR="00560D6A" w:rsidRPr="00560D6A" w14:paraId="7DD4D79A" w14:textId="77777777" w:rsidTr="00560D6A">
        <w:trPr>
          <w:trHeight w:val="463"/>
        </w:trPr>
        <w:tc>
          <w:tcPr>
            <w:tcW w:w="456" w:type="pct"/>
            <w:vMerge/>
            <w:tcBorders>
              <w:top w:val="single" w:sz="8" w:space="0" w:color="auto"/>
              <w:left w:val="single" w:sz="12" w:space="0" w:color="auto"/>
              <w:bottom w:val="single" w:sz="8" w:space="0" w:color="000000"/>
              <w:right w:val="nil"/>
            </w:tcBorders>
            <w:vAlign w:val="center"/>
            <w:hideMark/>
          </w:tcPr>
          <w:p w14:paraId="762AFA8F"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69DB295F"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nil"/>
              <w:right w:val="single" w:sz="12" w:space="0" w:color="000000"/>
            </w:tcBorders>
            <w:shd w:val="clear" w:color="000000" w:fill="FFFFFF"/>
            <w:hideMark/>
          </w:tcPr>
          <w:p w14:paraId="17CF113C"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SENTECH shall have the right, at its sole and exclusive discretion, to terminate this Agreement, at any time, upon 30 (thirty) days’ written notice to the Service Provider.</w:t>
            </w:r>
          </w:p>
        </w:tc>
      </w:tr>
      <w:tr w:rsidR="00560D6A" w:rsidRPr="00560D6A" w14:paraId="1CA779E6" w14:textId="77777777" w:rsidTr="00560D6A">
        <w:trPr>
          <w:trHeight w:val="538"/>
        </w:trPr>
        <w:tc>
          <w:tcPr>
            <w:tcW w:w="456" w:type="pct"/>
            <w:vMerge/>
            <w:tcBorders>
              <w:top w:val="single" w:sz="8" w:space="0" w:color="auto"/>
              <w:left w:val="single" w:sz="12" w:space="0" w:color="auto"/>
              <w:bottom w:val="single" w:sz="8" w:space="0" w:color="000000"/>
              <w:right w:val="nil"/>
            </w:tcBorders>
            <w:vAlign w:val="center"/>
            <w:hideMark/>
          </w:tcPr>
          <w:p w14:paraId="6960209C"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27CFEFA4"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nil"/>
              <w:right w:val="single" w:sz="12" w:space="0" w:color="000000"/>
            </w:tcBorders>
            <w:shd w:val="clear" w:color="000000" w:fill="FFFFFF"/>
            <w:hideMark/>
          </w:tcPr>
          <w:p w14:paraId="6F2940CA"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 xml:space="preserve">SENTECH reserves the right to conduct supplier due diligence at any time pre, during and post the contract period.  This may include announced or unannounced site visits.  </w:t>
            </w:r>
          </w:p>
        </w:tc>
      </w:tr>
      <w:tr w:rsidR="00560D6A" w:rsidRPr="00560D6A" w14:paraId="72E0CACC" w14:textId="77777777" w:rsidTr="00560D6A">
        <w:trPr>
          <w:trHeight w:val="778"/>
        </w:trPr>
        <w:tc>
          <w:tcPr>
            <w:tcW w:w="456" w:type="pct"/>
            <w:vMerge/>
            <w:tcBorders>
              <w:top w:val="single" w:sz="8" w:space="0" w:color="auto"/>
              <w:left w:val="single" w:sz="12" w:space="0" w:color="auto"/>
              <w:bottom w:val="single" w:sz="8" w:space="0" w:color="000000"/>
              <w:right w:val="nil"/>
            </w:tcBorders>
            <w:vAlign w:val="center"/>
            <w:hideMark/>
          </w:tcPr>
          <w:p w14:paraId="5FFC316A"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69008693"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nil"/>
              <w:right w:val="single" w:sz="12" w:space="0" w:color="000000"/>
            </w:tcBorders>
            <w:shd w:val="clear" w:color="000000" w:fill="FFFFFF"/>
            <w:hideMark/>
          </w:tcPr>
          <w:p w14:paraId="543791CA"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Key resource provided in response should be engage in the project, should there be resource changes the resource levels must be equivalent to the resources in the proposal, with notice and acceptance by SENTECH be understood as special condition of contract.</w:t>
            </w:r>
          </w:p>
        </w:tc>
      </w:tr>
      <w:tr w:rsidR="00560D6A" w:rsidRPr="00560D6A" w14:paraId="47FC661D" w14:textId="77777777" w:rsidTr="00560D6A">
        <w:trPr>
          <w:trHeight w:val="250"/>
        </w:trPr>
        <w:tc>
          <w:tcPr>
            <w:tcW w:w="456" w:type="pct"/>
            <w:vMerge/>
            <w:tcBorders>
              <w:top w:val="single" w:sz="8" w:space="0" w:color="auto"/>
              <w:left w:val="single" w:sz="12" w:space="0" w:color="auto"/>
              <w:bottom w:val="single" w:sz="8" w:space="0" w:color="000000"/>
              <w:right w:val="nil"/>
            </w:tcBorders>
            <w:vAlign w:val="center"/>
            <w:hideMark/>
          </w:tcPr>
          <w:p w14:paraId="34D0DAD6"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4B681EC8"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nil"/>
              <w:right w:val="single" w:sz="12" w:space="0" w:color="000000"/>
            </w:tcBorders>
            <w:shd w:val="clear" w:color="000000" w:fill="FFFFFF"/>
            <w:hideMark/>
          </w:tcPr>
          <w:p w14:paraId="7471ACBB"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Service Level Agreement will be signed with the successful Service Provider.</w:t>
            </w:r>
          </w:p>
        </w:tc>
      </w:tr>
      <w:tr w:rsidR="00560D6A" w:rsidRPr="00560D6A" w14:paraId="70084E8B" w14:textId="77777777" w:rsidTr="00560D6A">
        <w:trPr>
          <w:trHeight w:val="262"/>
        </w:trPr>
        <w:tc>
          <w:tcPr>
            <w:tcW w:w="456" w:type="pct"/>
            <w:vMerge/>
            <w:tcBorders>
              <w:top w:val="single" w:sz="8" w:space="0" w:color="auto"/>
              <w:left w:val="single" w:sz="12" w:space="0" w:color="auto"/>
              <w:bottom w:val="single" w:sz="8" w:space="0" w:color="000000"/>
              <w:right w:val="nil"/>
            </w:tcBorders>
            <w:vAlign w:val="center"/>
            <w:hideMark/>
          </w:tcPr>
          <w:p w14:paraId="38E63AD5"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single" w:sz="8" w:space="0" w:color="auto"/>
              <w:right w:val="nil"/>
            </w:tcBorders>
            <w:shd w:val="clear" w:color="000000" w:fill="FFFFFF"/>
            <w:noWrap/>
            <w:hideMark/>
          </w:tcPr>
          <w:p w14:paraId="736BBE1D" w14:textId="77777777" w:rsidR="00941D5A" w:rsidRPr="00941D5A" w:rsidRDefault="00941D5A" w:rsidP="00941D5A">
            <w:pPr>
              <w:jc w:val="center"/>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w:t>
            </w:r>
          </w:p>
        </w:tc>
        <w:tc>
          <w:tcPr>
            <w:tcW w:w="4441" w:type="pct"/>
            <w:gridSpan w:val="2"/>
            <w:tcBorders>
              <w:top w:val="nil"/>
              <w:left w:val="nil"/>
              <w:bottom w:val="single" w:sz="8" w:space="0" w:color="auto"/>
              <w:right w:val="single" w:sz="12" w:space="0" w:color="000000"/>
            </w:tcBorders>
            <w:shd w:val="clear" w:color="000000" w:fill="FFFFFF"/>
            <w:hideMark/>
          </w:tcPr>
          <w:p w14:paraId="07695C58"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rPr>
              <w:t>SENTECH will renew the contract annually based on satisfactory performance review.</w:t>
            </w:r>
          </w:p>
        </w:tc>
      </w:tr>
      <w:tr w:rsidR="00560D6A" w:rsidRPr="00560D6A" w14:paraId="42AEB712" w14:textId="77777777" w:rsidTr="00560D6A">
        <w:trPr>
          <w:trHeight w:val="262"/>
        </w:trPr>
        <w:tc>
          <w:tcPr>
            <w:tcW w:w="456" w:type="pct"/>
            <w:tcBorders>
              <w:top w:val="nil"/>
              <w:left w:val="single" w:sz="12" w:space="0" w:color="auto"/>
              <w:bottom w:val="nil"/>
              <w:right w:val="nil"/>
            </w:tcBorders>
            <w:shd w:val="clear" w:color="000000" w:fill="FFFFFF"/>
            <w:hideMark/>
          </w:tcPr>
          <w:p w14:paraId="09BA1BA4"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lastRenderedPageBreak/>
              <w:t> </w:t>
            </w:r>
          </w:p>
        </w:tc>
        <w:tc>
          <w:tcPr>
            <w:tcW w:w="103" w:type="pct"/>
            <w:tcBorders>
              <w:top w:val="nil"/>
              <w:left w:val="nil"/>
              <w:bottom w:val="nil"/>
              <w:right w:val="nil"/>
            </w:tcBorders>
            <w:shd w:val="clear" w:color="000000" w:fill="FFFFFF"/>
            <w:vAlign w:val="center"/>
            <w:hideMark/>
          </w:tcPr>
          <w:p w14:paraId="43C320D8" w14:textId="77777777" w:rsidR="00941D5A" w:rsidRPr="00941D5A" w:rsidRDefault="00941D5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color w:val="000000"/>
                <w:sz w:val="21"/>
                <w:szCs w:val="21"/>
                <w:lang w:val="en-US"/>
              </w:rPr>
              <w:t> </w:t>
            </w:r>
          </w:p>
        </w:tc>
        <w:tc>
          <w:tcPr>
            <w:tcW w:w="79" w:type="pct"/>
            <w:tcBorders>
              <w:top w:val="nil"/>
              <w:left w:val="nil"/>
              <w:bottom w:val="nil"/>
              <w:right w:val="nil"/>
            </w:tcBorders>
            <w:shd w:val="clear" w:color="000000" w:fill="FFFFFF"/>
            <w:hideMark/>
          </w:tcPr>
          <w:p w14:paraId="2FCFD623"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c>
          <w:tcPr>
            <w:tcW w:w="4362" w:type="pct"/>
            <w:tcBorders>
              <w:top w:val="nil"/>
              <w:left w:val="nil"/>
              <w:bottom w:val="nil"/>
              <w:right w:val="single" w:sz="12" w:space="0" w:color="auto"/>
            </w:tcBorders>
            <w:shd w:val="clear" w:color="000000" w:fill="FFFFFF"/>
            <w:vAlign w:val="center"/>
            <w:hideMark/>
          </w:tcPr>
          <w:p w14:paraId="5356C41F"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r>
      <w:tr w:rsidR="00560D6A" w:rsidRPr="00560D6A" w14:paraId="1A90937C" w14:textId="77777777" w:rsidTr="00560D6A">
        <w:trPr>
          <w:trHeight w:val="250"/>
        </w:trPr>
        <w:tc>
          <w:tcPr>
            <w:tcW w:w="456" w:type="pct"/>
            <w:vMerge w:val="restart"/>
            <w:tcBorders>
              <w:top w:val="single" w:sz="8" w:space="0" w:color="auto"/>
              <w:left w:val="single" w:sz="12" w:space="0" w:color="auto"/>
              <w:bottom w:val="single" w:sz="12" w:space="0" w:color="000000"/>
              <w:right w:val="nil"/>
            </w:tcBorders>
            <w:shd w:val="clear" w:color="auto" w:fill="auto"/>
            <w:hideMark/>
          </w:tcPr>
          <w:p w14:paraId="43B21743" w14:textId="77777777" w:rsidR="00560D6A" w:rsidRPr="00941D5A" w:rsidRDefault="00560D6A" w:rsidP="00941D5A">
            <w:pPr>
              <w:jc w:val="left"/>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Functionality Criteria</w:t>
            </w:r>
          </w:p>
        </w:tc>
        <w:tc>
          <w:tcPr>
            <w:tcW w:w="4544" w:type="pct"/>
            <w:gridSpan w:val="3"/>
            <w:tcBorders>
              <w:top w:val="single" w:sz="8" w:space="0" w:color="auto"/>
              <w:left w:val="single" w:sz="4" w:space="0" w:color="auto"/>
              <w:bottom w:val="nil"/>
              <w:right w:val="single" w:sz="12" w:space="0" w:color="auto"/>
            </w:tcBorders>
            <w:shd w:val="clear" w:color="000000" w:fill="FFFFFF"/>
            <w:hideMark/>
          </w:tcPr>
          <w:p w14:paraId="67419A75" w14:textId="77777777" w:rsidR="00560D6A" w:rsidRPr="00941D5A" w:rsidRDefault="00560D6A" w:rsidP="00941D5A">
            <w:pPr>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Stage 1</w:t>
            </w:r>
          </w:p>
          <w:p w14:paraId="24BDA5DB" w14:textId="1694D87B" w:rsidR="00560D6A" w:rsidRPr="00941D5A" w:rsidRDefault="00560D6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r>
      <w:tr w:rsidR="00560D6A" w:rsidRPr="00560D6A" w14:paraId="7CC8B176" w14:textId="77777777" w:rsidTr="00560D6A">
        <w:trPr>
          <w:trHeight w:val="250"/>
        </w:trPr>
        <w:tc>
          <w:tcPr>
            <w:tcW w:w="456" w:type="pct"/>
            <w:vMerge/>
            <w:tcBorders>
              <w:top w:val="single" w:sz="8" w:space="0" w:color="auto"/>
              <w:left w:val="single" w:sz="12" w:space="0" w:color="auto"/>
              <w:bottom w:val="single" w:sz="12" w:space="0" w:color="000000"/>
              <w:right w:val="nil"/>
            </w:tcBorders>
            <w:vAlign w:val="center"/>
            <w:hideMark/>
          </w:tcPr>
          <w:p w14:paraId="3776B61E"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nil"/>
              <w:left w:val="single" w:sz="4" w:space="0" w:color="auto"/>
              <w:bottom w:val="nil"/>
              <w:right w:val="single" w:sz="12" w:space="0" w:color="000000"/>
            </w:tcBorders>
            <w:shd w:val="clear" w:color="000000" w:fill="FFFFFF"/>
            <w:hideMark/>
          </w:tcPr>
          <w:p w14:paraId="60356DF8"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bCs/>
                <w:snapToGrid w:val="0"/>
                <w:color w:val="000000"/>
                <w:sz w:val="21"/>
                <w:szCs w:val="21"/>
              </w:rPr>
              <w:t>Administrative Evaluation</w:t>
            </w:r>
          </w:p>
        </w:tc>
      </w:tr>
      <w:tr w:rsidR="00560D6A" w:rsidRPr="00560D6A" w14:paraId="0D3A5EA2" w14:textId="77777777" w:rsidTr="00560D6A">
        <w:trPr>
          <w:trHeight w:val="86"/>
        </w:trPr>
        <w:tc>
          <w:tcPr>
            <w:tcW w:w="456" w:type="pct"/>
            <w:vMerge/>
            <w:tcBorders>
              <w:top w:val="single" w:sz="8" w:space="0" w:color="auto"/>
              <w:left w:val="single" w:sz="12" w:space="0" w:color="auto"/>
              <w:bottom w:val="single" w:sz="12" w:space="0" w:color="000000"/>
              <w:right w:val="nil"/>
            </w:tcBorders>
            <w:vAlign w:val="center"/>
            <w:hideMark/>
          </w:tcPr>
          <w:p w14:paraId="3A4CEB10"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33E28D92" w14:textId="77777777" w:rsidR="00941D5A" w:rsidRPr="00941D5A" w:rsidRDefault="00941D5A" w:rsidP="00941D5A">
            <w:pPr>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 </w:t>
            </w:r>
          </w:p>
        </w:tc>
        <w:tc>
          <w:tcPr>
            <w:tcW w:w="79" w:type="pct"/>
            <w:tcBorders>
              <w:top w:val="nil"/>
              <w:left w:val="nil"/>
              <w:bottom w:val="nil"/>
              <w:right w:val="nil"/>
            </w:tcBorders>
            <w:shd w:val="clear" w:color="000000" w:fill="FFFFFF"/>
            <w:noWrap/>
            <w:hideMark/>
          </w:tcPr>
          <w:p w14:paraId="155DDBD4" w14:textId="77777777" w:rsidR="00941D5A" w:rsidRPr="00941D5A" w:rsidRDefault="00941D5A" w:rsidP="00941D5A">
            <w:pPr>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 </w:t>
            </w:r>
          </w:p>
        </w:tc>
        <w:tc>
          <w:tcPr>
            <w:tcW w:w="4362" w:type="pct"/>
            <w:tcBorders>
              <w:top w:val="nil"/>
              <w:left w:val="nil"/>
              <w:bottom w:val="nil"/>
              <w:right w:val="single" w:sz="12" w:space="0" w:color="auto"/>
            </w:tcBorders>
            <w:shd w:val="clear" w:color="000000" w:fill="FFFFFF"/>
            <w:noWrap/>
            <w:vAlign w:val="bottom"/>
            <w:hideMark/>
          </w:tcPr>
          <w:p w14:paraId="4CC719EC" w14:textId="77777777" w:rsidR="00941D5A" w:rsidRPr="00941D5A" w:rsidRDefault="00941D5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r>
      <w:tr w:rsidR="00560D6A" w:rsidRPr="00560D6A" w14:paraId="40241357" w14:textId="77777777" w:rsidTr="00560D6A">
        <w:trPr>
          <w:trHeight w:val="250"/>
        </w:trPr>
        <w:tc>
          <w:tcPr>
            <w:tcW w:w="456" w:type="pct"/>
            <w:vMerge/>
            <w:tcBorders>
              <w:top w:val="single" w:sz="8" w:space="0" w:color="auto"/>
              <w:left w:val="single" w:sz="12" w:space="0" w:color="auto"/>
              <w:bottom w:val="single" w:sz="12" w:space="0" w:color="000000"/>
              <w:right w:val="nil"/>
            </w:tcBorders>
            <w:vAlign w:val="center"/>
            <w:hideMark/>
          </w:tcPr>
          <w:p w14:paraId="134D35E9"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nil"/>
              <w:left w:val="single" w:sz="4" w:space="0" w:color="auto"/>
              <w:bottom w:val="nil"/>
              <w:right w:val="single" w:sz="12" w:space="0" w:color="000000"/>
            </w:tcBorders>
            <w:shd w:val="clear" w:color="000000" w:fill="FFFFFF"/>
            <w:hideMark/>
          </w:tcPr>
          <w:p w14:paraId="1419E2F2" w14:textId="77777777" w:rsidR="00941D5A" w:rsidRPr="00941D5A" w:rsidRDefault="00941D5A" w:rsidP="00941D5A">
            <w:pPr>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Stage 2</w:t>
            </w:r>
          </w:p>
        </w:tc>
      </w:tr>
      <w:tr w:rsidR="00560D6A" w:rsidRPr="00560D6A" w14:paraId="1FA3D7D4" w14:textId="77777777" w:rsidTr="00560D6A">
        <w:trPr>
          <w:trHeight w:val="250"/>
        </w:trPr>
        <w:tc>
          <w:tcPr>
            <w:tcW w:w="456" w:type="pct"/>
            <w:vMerge/>
            <w:tcBorders>
              <w:top w:val="single" w:sz="8" w:space="0" w:color="auto"/>
              <w:left w:val="single" w:sz="12" w:space="0" w:color="auto"/>
              <w:bottom w:val="single" w:sz="12" w:space="0" w:color="000000"/>
              <w:right w:val="nil"/>
            </w:tcBorders>
            <w:vAlign w:val="center"/>
            <w:hideMark/>
          </w:tcPr>
          <w:p w14:paraId="4306B7A3"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nil"/>
              <w:left w:val="single" w:sz="4" w:space="0" w:color="auto"/>
              <w:bottom w:val="nil"/>
              <w:right w:val="single" w:sz="12" w:space="0" w:color="000000"/>
            </w:tcBorders>
            <w:shd w:val="clear" w:color="000000" w:fill="FFFFFF"/>
            <w:hideMark/>
          </w:tcPr>
          <w:p w14:paraId="73BFC98B"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bCs/>
                <w:snapToGrid w:val="0"/>
                <w:color w:val="000000"/>
                <w:sz w:val="21"/>
                <w:szCs w:val="21"/>
              </w:rPr>
              <w:t>Mandatory evaluation</w:t>
            </w:r>
          </w:p>
        </w:tc>
      </w:tr>
      <w:tr w:rsidR="00560D6A" w:rsidRPr="00560D6A" w14:paraId="3E67ED94" w14:textId="77777777" w:rsidTr="00560D6A">
        <w:trPr>
          <w:trHeight w:val="86"/>
        </w:trPr>
        <w:tc>
          <w:tcPr>
            <w:tcW w:w="456" w:type="pct"/>
            <w:vMerge/>
            <w:tcBorders>
              <w:top w:val="single" w:sz="8" w:space="0" w:color="auto"/>
              <w:left w:val="single" w:sz="12" w:space="0" w:color="auto"/>
              <w:bottom w:val="single" w:sz="12" w:space="0" w:color="000000"/>
              <w:right w:val="nil"/>
            </w:tcBorders>
            <w:vAlign w:val="center"/>
            <w:hideMark/>
          </w:tcPr>
          <w:p w14:paraId="6B9B9D14"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103" w:type="pct"/>
            <w:tcBorders>
              <w:top w:val="nil"/>
              <w:left w:val="single" w:sz="4" w:space="0" w:color="auto"/>
              <w:bottom w:val="nil"/>
              <w:right w:val="nil"/>
            </w:tcBorders>
            <w:shd w:val="clear" w:color="000000" w:fill="FFFFFF"/>
            <w:noWrap/>
            <w:hideMark/>
          </w:tcPr>
          <w:p w14:paraId="4BE609E4"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bCs/>
                <w:snapToGrid w:val="0"/>
                <w:color w:val="000000"/>
                <w:sz w:val="21"/>
                <w:szCs w:val="21"/>
              </w:rPr>
              <w:t> </w:t>
            </w:r>
          </w:p>
        </w:tc>
        <w:tc>
          <w:tcPr>
            <w:tcW w:w="79" w:type="pct"/>
            <w:tcBorders>
              <w:top w:val="nil"/>
              <w:left w:val="nil"/>
              <w:bottom w:val="nil"/>
              <w:right w:val="nil"/>
            </w:tcBorders>
            <w:shd w:val="clear" w:color="000000" w:fill="FFFFFF"/>
            <w:noWrap/>
            <w:hideMark/>
          </w:tcPr>
          <w:p w14:paraId="531652F5"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bCs/>
                <w:snapToGrid w:val="0"/>
                <w:color w:val="000000"/>
                <w:sz w:val="21"/>
                <w:szCs w:val="21"/>
              </w:rPr>
              <w:t> </w:t>
            </w:r>
          </w:p>
        </w:tc>
        <w:tc>
          <w:tcPr>
            <w:tcW w:w="4362" w:type="pct"/>
            <w:tcBorders>
              <w:top w:val="nil"/>
              <w:left w:val="nil"/>
              <w:bottom w:val="nil"/>
              <w:right w:val="single" w:sz="12" w:space="0" w:color="auto"/>
            </w:tcBorders>
            <w:shd w:val="clear" w:color="000000" w:fill="FFFFFF"/>
            <w:noWrap/>
            <w:vAlign w:val="bottom"/>
            <w:hideMark/>
          </w:tcPr>
          <w:p w14:paraId="1A7966C2" w14:textId="77777777" w:rsidR="00941D5A" w:rsidRPr="00941D5A" w:rsidRDefault="00941D5A" w:rsidP="00941D5A">
            <w:pPr>
              <w:jc w:val="left"/>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 </w:t>
            </w:r>
          </w:p>
        </w:tc>
      </w:tr>
      <w:tr w:rsidR="00560D6A" w:rsidRPr="00560D6A" w14:paraId="35DA24B6" w14:textId="77777777" w:rsidTr="00560D6A">
        <w:trPr>
          <w:trHeight w:val="250"/>
        </w:trPr>
        <w:tc>
          <w:tcPr>
            <w:tcW w:w="456" w:type="pct"/>
            <w:vMerge/>
            <w:tcBorders>
              <w:top w:val="single" w:sz="8" w:space="0" w:color="auto"/>
              <w:left w:val="single" w:sz="12" w:space="0" w:color="auto"/>
              <w:bottom w:val="single" w:sz="12" w:space="0" w:color="000000"/>
              <w:right w:val="nil"/>
            </w:tcBorders>
            <w:vAlign w:val="center"/>
            <w:hideMark/>
          </w:tcPr>
          <w:p w14:paraId="34121D16"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nil"/>
              <w:left w:val="single" w:sz="4" w:space="0" w:color="auto"/>
              <w:bottom w:val="nil"/>
              <w:right w:val="single" w:sz="12" w:space="0" w:color="000000"/>
            </w:tcBorders>
            <w:shd w:val="clear" w:color="000000" w:fill="FFFFFF"/>
            <w:hideMark/>
          </w:tcPr>
          <w:p w14:paraId="35F2920F" w14:textId="77777777" w:rsidR="00941D5A" w:rsidRPr="00941D5A" w:rsidRDefault="00941D5A" w:rsidP="00941D5A">
            <w:pPr>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Stage 3</w:t>
            </w:r>
          </w:p>
        </w:tc>
      </w:tr>
      <w:tr w:rsidR="00560D6A" w:rsidRPr="00560D6A" w14:paraId="1BA9AFE7" w14:textId="77777777" w:rsidTr="00560D6A">
        <w:trPr>
          <w:trHeight w:val="250"/>
        </w:trPr>
        <w:tc>
          <w:tcPr>
            <w:tcW w:w="456" w:type="pct"/>
            <w:vMerge/>
            <w:tcBorders>
              <w:top w:val="single" w:sz="8" w:space="0" w:color="auto"/>
              <w:left w:val="single" w:sz="12" w:space="0" w:color="auto"/>
              <w:bottom w:val="single" w:sz="12" w:space="0" w:color="000000"/>
              <w:right w:val="nil"/>
            </w:tcBorders>
            <w:vAlign w:val="center"/>
            <w:hideMark/>
          </w:tcPr>
          <w:p w14:paraId="0CBF3D1A"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nil"/>
              <w:left w:val="single" w:sz="4" w:space="0" w:color="auto"/>
              <w:bottom w:val="nil"/>
              <w:right w:val="single" w:sz="12" w:space="0" w:color="000000"/>
            </w:tcBorders>
            <w:shd w:val="clear" w:color="000000" w:fill="FFFFFF"/>
            <w:hideMark/>
          </w:tcPr>
          <w:p w14:paraId="1F97BFE6"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bCs/>
                <w:snapToGrid w:val="0"/>
                <w:color w:val="000000"/>
                <w:sz w:val="21"/>
                <w:szCs w:val="21"/>
              </w:rPr>
              <w:t>Functional evaluation</w:t>
            </w:r>
          </w:p>
        </w:tc>
      </w:tr>
      <w:tr w:rsidR="00560D6A" w:rsidRPr="00560D6A" w14:paraId="1AC8DD69" w14:textId="77777777" w:rsidTr="00560D6A">
        <w:trPr>
          <w:trHeight w:val="86"/>
        </w:trPr>
        <w:tc>
          <w:tcPr>
            <w:tcW w:w="456" w:type="pct"/>
            <w:vMerge/>
            <w:tcBorders>
              <w:top w:val="single" w:sz="8" w:space="0" w:color="auto"/>
              <w:left w:val="single" w:sz="12" w:space="0" w:color="auto"/>
              <w:bottom w:val="single" w:sz="12" w:space="0" w:color="000000"/>
              <w:right w:val="nil"/>
            </w:tcBorders>
            <w:vAlign w:val="center"/>
            <w:hideMark/>
          </w:tcPr>
          <w:p w14:paraId="57CDE01F"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nil"/>
              <w:left w:val="single" w:sz="4" w:space="0" w:color="auto"/>
              <w:bottom w:val="nil"/>
              <w:right w:val="single" w:sz="12" w:space="0" w:color="000000"/>
            </w:tcBorders>
            <w:shd w:val="clear" w:color="000000" w:fill="FFFFFF"/>
            <w:hideMark/>
          </w:tcPr>
          <w:p w14:paraId="101BEFBD"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bCs/>
                <w:snapToGrid w:val="0"/>
                <w:color w:val="000000"/>
                <w:sz w:val="21"/>
                <w:szCs w:val="21"/>
              </w:rPr>
              <w:t> </w:t>
            </w:r>
          </w:p>
        </w:tc>
      </w:tr>
      <w:tr w:rsidR="00560D6A" w:rsidRPr="00560D6A" w14:paraId="1D93ACD8" w14:textId="77777777" w:rsidTr="00560D6A">
        <w:trPr>
          <w:trHeight w:val="250"/>
        </w:trPr>
        <w:tc>
          <w:tcPr>
            <w:tcW w:w="456" w:type="pct"/>
            <w:vMerge/>
            <w:tcBorders>
              <w:top w:val="single" w:sz="8" w:space="0" w:color="auto"/>
              <w:left w:val="single" w:sz="12" w:space="0" w:color="auto"/>
              <w:bottom w:val="single" w:sz="12" w:space="0" w:color="000000"/>
              <w:right w:val="nil"/>
            </w:tcBorders>
            <w:vAlign w:val="center"/>
            <w:hideMark/>
          </w:tcPr>
          <w:p w14:paraId="26E2BE04"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nil"/>
              <w:left w:val="single" w:sz="4" w:space="0" w:color="auto"/>
              <w:bottom w:val="nil"/>
              <w:right w:val="single" w:sz="12" w:space="0" w:color="000000"/>
            </w:tcBorders>
            <w:shd w:val="clear" w:color="000000" w:fill="FFFFFF"/>
            <w:hideMark/>
          </w:tcPr>
          <w:p w14:paraId="63A0741F" w14:textId="77777777" w:rsidR="00941D5A" w:rsidRPr="00941D5A" w:rsidRDefault="00941D5A" w:rsidP="00941D5A">
            <w:pPr>
              <w:rPr>
                <w:rFonts w:asciiTheme="minorHAnsi" w:hAnsiTheme="minorHAnsi" w:cstheme="minorHAnsi"/>
                <w:b/>
                <w:bCs/>
                <w:color w:val="000000"/>
                <w:sz w:val="21"/>
                <w:szCs w:val="21"/>
                <w:lang w:val="en-US"/>
              </w:rPr>
            </w:pPr>
            <w:r w:rsidRPr="00941D5A">
              <w:rPr>
                <w:rFonts w:asciiTheme="minorHAnsi" w:hAnsiTheme="minorHAnsi" w:cstheme="minorHAnsi"/>
                <w:b/>
                <w:bCs/>
                <w:snapToGrid w:val="0"/>
                <w:color w:val="000000"/>
                <w:sz w:val="21"/>
                <w:szCs w:val="21"/>
              </w:rPr>
              <w:t>Stage 4</w:t>
            </w:r>
          </w:p>
        </w:tc>
      </w:tr>
      <w:tr w:rsidR="00560D6A" w:rsidRPr="00560D6A" w14:paraId="14AA7578" w14:textId="77777777" w:rsidTr="00560D6A">
        <w:trPr>
          <w:trHeight w:val="262"/>
        </w:trPr>
        <w:tc>
          <w:tcPr>
            <w:tcW w:w="456" w:type="pct"/>
            <w:vMerge/>
            <w:tcBorders>
              <w:top w:val="single" w:sz="8" w:space="0" w:color="auto"/>
              <w:left w:val="single" w:sz="12" w:space="0" w:color="auto"/>
              <w:bottom w:val="single" w:sz="12" w:space="0" w:color="000000"/>
              <w:right w:val="nil"/>
            </w:tcBorders>
            <w:vAlign w:val="center"/>
            <w:hideMark/>
          </w:tcPr>
          <w:p w14:paraId="455A9D4E" w14:textId="77777777" w:rsidR="00941D5A" w:rsidRPr="00941D5A" w:rsidRDefault="00941D5A" w:rsidP="00941D5A">
            <w:pPr>
              <w:jc w:val="left"/>
              <w:rPr>
                <w:rFonts w:asciiTheme="minorHAnsi" w:hAnsiTheme="minorHAnsi" w:cstheme="minorHAnsi"/>
                <w:b/>
                <w:bCs/>
                <w:color w:val="000000"/>
                <w:sz w:val="21"/>
                <w:szCs w:val="21"/>
                <w:lang w:val="en-US"/>
              </w:rPr>
            </w:pPr>
          </w:p>
        </w:tc>
        <w:tc>
          <w:tcPr>
            <w:tcW w:w="4544" w:type="pct"/>
            <w:gridSpan w:val="3"/>
            <w:tcBorders>
              <w:top w:val="nil"/>
              <w:left w:val="single" w:sz="4" w:space="0" w:color="auto"/>
              <w:bottom w:val="single" w:sz="12" w:space="0" w:color="auto"/>
              <w:right w:val="single" w:sz="12" w:space="0" w:color="000000"/>
            </w:tcBorders>
            <w:shd w:val="clear" w:color="000000" w:fill="FFFFFF"/>
            <w:hideMark/>
          </w:tcPr>
          <w:p w14:paraId="40519413" w14:textId="77777777" w:rsidR="00941D5A" w:rsidRPr="00941D5A" w:rsidRDefault="00941D5A" w:rsidP="00941D5A">
            <w:pPr>
              <w:rPr>
                <w:rFonts w:asciiTheme="minorHAnsi" w:hAnsiTheme="minorHAnsi" w:cstheme="minorHAnsi"/>
                <w:color w:val="000000"/>
                <w:sz w:val="21"/>
                <w:szCs w:val="21"/>
                <w:lang w:val="en-US"/>
              </w:rPr>
            </w:pPr>
            <w:r w:rsidRPr="00941D5A">
              <w:rPr>
                <w:rFonts w:asciiTheme="minorHAnsi" w:hAnsiTheme="minorHAnsi" w:cstheme="minorHAnsi"/>
                <w:color w:val="000000"/>
                <w:sz w:val="21"/>
                <w:szCs w:val="21"/>
                <w:lang w:val="en-US"/>
              </w:rPr>
              <w:t>Reference interview questionnaire if deemed necessary</w:t>
            </w:r>
          </w:p>
        </w:tc>
      </w:tr>
    </w:tbl>
    <w:p w14:paraId="44870E1A" w14:textId="77777777" w:rsidR="00494CF4" w:rsidRDefault="00494CF4" w:rsidP="001222C4">
      <w:pPr>
        <w:pStyle w:val="Footer"/>
        <w:rPr>
          <w:rFonts w:cs="Arial"/>
          <w:bCs/>
          <w:sz w:val="22"/>
          <w:szCs w:val="22"/>
        </w:rPr>
      </w:pPr>
    </w:p>
    <w:p w14:paraId="2EA23F7D" w14:textId="05958A22" w:rsidR="001222C4" w:rsidRDefault="001222C4" w:rsidP="00B66B15">
      <w:pPr>
        <w:pStyle w:val="Footer"/>
        <w:rPr>
          <w:rFonts w:cs="Arial"/>
          <w:bCs/>
          <w:sz w:val="22"/>
          <w:szCs w:val="22"/>
        </w:rPr>
      </w:pPr>
    </w:p>
    <w:p w14:paraId="178936DD" w14:textId="77777777" w:rsidR="00D752AA" w:rsidRDefault="00D752AA" w:rsidP="00D752AA">
      <w:pPr>
        <w:keepNext/>
        <w:keepLines/>
        <w:widowControl w:val="0"/>
        <w:rPr>
          <w:b/>
          <w:sz w:val="22"/>
          <w:szCs w:val="22"/>
        </w:rPr>
      </w:pPr>
    </w:p>
    <w:p w14:paraId="58CA84E2" w14:textId="2955F947" w:rsidR="00D752AA" w:rsidRDefault="00D752AA" w:rsidP="00D752AA">
      <w:pPr>
        <w:keepNext/>
        <w:keepLines/>
        <w:widowControl w:val="0"/>
        <w:rPr>
          <w:b/>
          <w:sz w:val="22"/>
          <w:szCs w:val="22"/>
        </w:rPr>
      </w:pPr>
    </w:p>
    <w:p w14:paraId="6248D9FB" w14:textId="1FDF4D13" w:rsidR="00D752AA" w:rsidRDefault="00D752AA" w:rsidP="00D752AA">
      <w:pPr>
        <w:keepNext/>
        <w:keepLines/>
        <w:widowControl w:val="0"/>
        <w:rPr>
          <w:b/>
          <w:sz w:val="22"/>
          <w:szCs w:val="22"/>
        </w:rPr>
      </w:pPr>
    </w:p>
    <w:p w14:paraId="549C920A" w14:textId="77777777" w:rsidR="00D752AA" w:rsidRDefault="00D752AA" w:rsidP="00D752AA">
      <w:pPr>
        <w:keepNext/>
        <w:keepLines/>
        <w:widowControl w:val="0"/>
        <w:rPr>
          <w:b/>
          <w:sz w:val="22"/>
          <w:szCs w:val="22"/>
        </w:rPr>
      </w:pPr>
    </w:p>
    <w:p w14:paraId="216CE6DA" w14:textId="77777777" w:rsidR="00D752AA" w:rsidRDefault="00D752AA" w:rsidP="00D752AA">
      <w:pPr>
        <w:keepNext/>
        <w:keepLines/>
        <w:widowControl w:val="0"/>
        <w:rPr>
          <w:b/>
          <w:sz w:val="22"/>
          <w:szCs w:val="22"/>
        </w:rPr>
      </w:pPr>
    </w:p>
    <w:p w14:paraId="522245EE" w14:textId="389D0360" w:rsidR="00D752AA" w:rsidRDefault="00D752AA" w:rsidP="00D752AA">
      <w:pPr>
        <w:keepNext/>
        <w:keepLines/>
        <w:widowControl w:val="0"/>
        <w:rPr>
          <w:b/>
          <w:sz w:val="22"/>
          <w:szCs w:val="22"/>
        </w:rPr>
      </w:pPr>
      <w:r w:rsidRPr="00623BCE">
        <w:rPr>
          <w:b/>
          <w:sz w:val="22"/>
          <w:szCs w:val="22"/>
        </w:rPr>
        <w:t xml:space="preserve">STAGE 1 </w:t>
      </w:r>
    </w:p>
    <w:p w14:paraId="07E1A723" w14:textId="77777777" w:rsidR="00D752AA" w:rsidRPr="006C7FFA" w:rsidRDefault="00D752AA" w:rsidP="00D752AA">
      <w:pPr>
        <w:keepNext/>
        <w:keepLines/>
        <w:widowControl w:val="0"/>
        <w:rPr>
          <w:b/>
          <w:sz w:val="22"/>
          <w:szCs w:val="22"/>
        </w:rPr>
      </w:pPr>
    </w:p>
    <w:p w14:paraId="76D59DDD" w14:textId="77777777" w:rsidR="00D752AA" w:rsidRDefault="00D752AA" w:rsidP="00D752AA">
      <w:pPr>
        <w:keepNext/>
        <w:keepLines/>
        <w:widowControl w:val="0"/>
        <w:rPr>
          <w:bCs/>
          <w:sz w:val="22"/>
          <w:szCs w:val="22"/>
        </w:rPr>
      </w:pPr>
      <w:r w:rsidRPr="006C7FFA">
        <w:rPr>
          <w:bCs/>
          <w:sz w:val="22"/>
          <w:szCs w:val="22"/>
        </w:rPr>
        <w:t xml:space="preserve">Mandatory Eligibility Criteria </w:t>
      </w:r>
      <w:r>
        <w:rPr>
          <w:bCs/>
          <w:sz w:val="22"/>
          <w:szCs w:val="22"/>
        </w:rPr>
        <w:t xml:space="preserve"> </w:t>
      </w:r>
    </w:p>
    <w:p w14:paraId="7C16114E" w14:textId="77777777" w:rsidR="00D752AA" w:rsidRDefault="00D752AA" w:rsidP="00D752AA">
      <w:pPr>
        <w:keepNext/>
        <w:keepLines/>
        <w:widowControl w:val="0"/>
        <w:rPr>
          <w:bCs/>
          <w:sz w:val="22"/>
          <w:szCs w:val="22"/>
        </w:rPr>
      </w:pPr>
    </w:p>
    <w:p w14:paraId="75A2DE6F" w14:textId="77777777" w:rsidR="00D752AA" w:rsidRDefault="00D752AA" w:rsidP="00D752AA">
      <w:pPr>
        <w:keepNext/>
        <w:keepLines/>
        <w:widowControl w:val="0"/>
        <w:rPr>
          <w:bCs/>
          <w:sz w:val="22"/>
          <w:szCs w:val="22"/>
        </w:rPr>
      </w:pPr>
      <w:r w:rsidRPr="00D15534">
        <w:rPr>
          <w:bCs/>
          <w:sz w:val="22"/>
          <w:szCs w:val="22"/>
        </w:rPr>
        <w:t>The follow in criteria</w:t>
      </w:r>
      <w:r w:rsidRPr="006C7FFA">
        <w:rPr>
          <w:bCs/>
          <w:sz w:val="22"/>
          <w:szCs w:val="22"/>
        </w:rPr>
        <w:t xml:space="preserve"> is mandatory and proof of submission must be attached</w:t>
      </w:r>
      <w:r w:rsidRPr="00D15534">
        <w:rPr>
          <w:bCs/>
          <w:sz w:val="22"/>
          <w:szCs w:val="22"/>
        </w:rPr>
        <w:t>:</w:t>
      </w:r>
      <w:r>
        <w:rPr>
          <w:bCs/>
          <w:sz w:val="22"/>
          <w:szCs w:val="22"/>
        </w:rPr>
        <w:t xml:space="preserve"> Failure to attach proof will lead to disqualification</w:t>
      </w:r>
    </w:p>
    <w:tbl>
      <w:tblPr>
        <w:tblW w:w="5000" w:type="pct"/>
        <w:tblLook w:val="04A0" w:firstRow="1" w:lastRow="0" w:firstColumn="1" w:lastColumn="0" w:noHBand="0" w:noVBand="1"/>
      </w:tblPr>
      <w:tblGrid>
        <w:gridCol w:w="6331"/>
        <w:gridCol w:w="9071"/>
      </w:tblGrid>
      <w:tr w:rsidR="00D752AA" w:rsidRPr="00D752AA" w14:paraId="2B4A6C9B" w14:textId="77777777" w:rsidTr="00D752AA">
        <w:trPr>
          <w:trHeight w:val="930"/>
        </w:trPr>
        <w:tc>
          <w:tcPr>
            <w:tcW w:w="263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82D05F"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rPr>
              <w:t>MANDATORY ELIGIBILITY CRITERIA</w:t>
            </w:r>
          </w:p>
        </w:tc>
        <w:tc>
          <w:tcPr>
            <w:tcW w:w="2366" w:type="pct"/>
            <w:tcBorders>
              <w:top w:val="single" w:sz="4" w:space="0" w:color="auto"/>
              <w:left w:val="nil"/>
              <w:bottom w:val="single" w:sz="4" w:space="0" w:color="auto"/>
              <w:right w:val="single" w:sz="4" w:space="0" w:color="auto"/>
            </w:tcBorders>
            <w:shd w:val="clear" w:color="000000" w:fill="F2F2F2"/>
            <w:noWrap/>
            <w:vAlign w:val="center"/>
            <w:hideMark/>
          </w:tcPr>
          <w:p w14:paraId="31808A67"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sz w:val="22"/>
                <w:szCs w:val="22"/>
              </w:rPr>
              <w:t>PLEASE TICK √ WHATS APPLICABLE</w:t>
            </w:r>
            <w:r w:rsidRPr="00D752AA">
              <w:rPr>
                <w:rFonts w:cs="Arial"/>
                <w:color w:val="000000"/>
                <w:sz w:val="22"/>
                <w:szCs w:val="22"/>
              </w:rPr>
              <w:t xml:space="preserve"> (Attach evidence and Link, reference page number in your proposal)</w:t>
            </w:r>
          </w:p>
        </w:tc>
      </w:tr>
      <w:tr w:rsidR="00D752AA" w:rsidRPr="00D752AA" w14:paraId="0D30878B" w14:textId="77777777" w:rsidTr="00D752AA">
        <w:trPr>
          <w:trHeight w:hRule="exact" w:val="720"/>
        </w:trPr>
        <w:tc>
          <w:tcPr>
            <w:tcW w:w="2634" w:type="pct"/>
            <w:tcBorders>
              <w:top w:val="nil"/>
              <w:left w:val="single" w:sz="4" w:space="0" w:color="auto"/>
              <w:bottom w:val="single" w:sz="4" w:space="0" w:color="auto"/>
              <w:right w:val="single" w:sz="4" w:space="0" w:color="auto"/>
            </w:tcBorders>
            <w:shd w:val="clear" w:color="auto" w:fill="auto"/>
            <w:noWrap/>
            <w:vAlign w:val="center"/>
            <w:hideMark/>
          </w:tcPr>
          <w:p w14:paraId="61355252" w14:textId="77777777" w:rsidR="00D752AA" w:rsidRPr="00D752AA" w:rsidRDefault="00D752AA" w:rsidP="00D752AA">
            <w:pPr>
              <w:rPr>
                <w:rFonts w:ascii="Calibri" w:hAnsi="Calibri" w:cs="Calibri"/>
                <w:color w:val="000000"/>
                <w:sz w:val="22"/>
                <w:szCs w:val="22"/>
                <w:lang w:val="en-US"/>
              </w:rPr>
            </w:pPr>
            <w:r w:rsidRPr="00D752AA">
              <w:rPr>
                <w:rFonts w:ascii="Calibri" w:hAnsi="Calibri" w:cs="Arial"/>
                <w:color w:val="000000"/>
                <w:sz w:val="22"/>
                <w:szCs w:val="22"/>
                <w:lang w:eastAsia="ja-JP"/>
              </w:rPr>
              <w:t>Registration with professional bodies including SAICA, SAIPA, SAIT and ACCA</w:t>
            </w:r>
          </w:p>
        </w:tc>
        <w:tc>
          <w:tcPr>
            <w:tcW w:w="2366" w:type="pct"/>
            <w:tcBorders>
              <w:top w:val="nil"/>
              <w:left w:val="nil"/>
              <w:bottom w:val="single" w:sz="4" w:space="0" w:color="auto"/>
              <w:right w:val="single" w:sz="4" w:space="0" w:color="auto"/>
            </w:tcBorders>
            <w:shd w:val="clear" w:color="auto" w:fill="auto"/>
            <w:noWrap/>
            <w:vAlign w:val="center"/>
            <w:hideMark/>
          </w:tcPr>
          <w:p w14:paraId="55A3EFBA"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bCs/>
                <w:color w:val="000000"/>
                <w:sz w:val="22"/>
                <w:szCs w:val="22"/>
              </w:rPr>
              <w:t> </w:t>
            </w:r>
          </w:p>
        </w:tc>
      </w:tr>
    </w:tbl>
    <w:p w14:paraId="54E0E0F0" w14:textId="77777777" w:rsidR="00D752AA" w:rsidRDefault="00D752AA" w:rsidP="00B66B15">
      <w:pPr>
        <w:pStyle w:val="Footer"/>
        <w:rPr>
          <w:rFonts w:cs="Arial"/>
          <w:bCs/>
          <w:sz w:val="22"/>
          <w:szCs w:val="22"/>
        </w:rPr>
      </w:pPr>
    </w:p>
    <w:p w14:paraId="723E7C8E" w14:textId="6464FF9B" w:rsidR="00811626" w:rsidRPr="00020F96" w:rsidRDefault="00623BCE" w:rsidP="00FC1B04">
      <w:pPr>
        <w:keepNext/>
        <w:keepLines/>
        <w:widowControl w:val="0"/>
        <w:rPr>
          <w:b/>
          <w:sz w:val="22"/>
          <w:szCs w:val="22"/>
        </w:rPr>
      </w:pPr>
      <w:r w:rsidRPr="00020F96">
        <w:rPr>
          <w:b/>
          <w:sz w:val="22"/>
          <w:szCs w:val="22"/>
        </w:rPr>
        <w:lastRenderedPageBreak/>
        <w:t>STAGE 2</w:t>
      </w:r>
    </w:p>
    <w:p w14:paraId="303B9881" w14:textId="77777777" w:rsidR="00211D3D" w:rsidRDefault="00211D3D" w:rsidP="00FC1B04">
      <w:pPr>
        <w:keepNext/>
        <w:keepLines/>
        <w:widowControl w:val="0"/>
        <w:rPr>
          <w:bCs/>
          <w:sz w:val="22"/>
          <w:szCs w:val="22"/>
        </w:rPr>
      </w:pPr>
    </w:p>
    <w:p w14:paraId="707BEBBF" w14:textId="69F9D3B4" w:rsidR="00623BCE" w:rsidRPr="006C7FFA" w:rsidRDefault="006C7FFA" w:rsidP="00FC1B04">
      <w:pPr>
        <w:keepNext/>
        <w:keepLines/>
        <w:widowControl w:val="0"/>
        <w:rPr>
          <w:bCs/>
          <w:sz w:val="22"/>
          <w:szCs w:val="22"/>
        </w:rPr>
      </w:pPr>
      <w:r w:rsidRPr="006C7FFA">
        <w:rPr>
          <w:bCs/>
          <w:sz w:val="22"/>
          <w:szCs w:val="22"/>
        </w:rPr>
        <w:t>Functional Evaluation: Must be comprehensive and supported by evidence</w:t>
      </w:r>
    </w:p>
    <w:p w14:paraId="410E460D" w14:textId="77777777" w:rsidR="00472EAD" w:rsidRDefault="00472EAD" w:rsidP="00FC1B04">
      <w:pPr>
        <w:keepNext/>
        <w:keepLines/>
        <w:widowControl w:val="0"/>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9840"/>
        <w:gridCol w:w="3006"/>
        <w:gridCol w:w="1209"/>
      </w:tblGrid>
      <w:tr w:rsidR="00C33EA5" w:rsidRPr="00D878BE" w14:paraId="0FD3ACD8" w14:textId="77777777" w:rsidTr="00211D3D">
        <w:trPr>
          <w:cantSplit/>
          <w:trHeight w:val="318"/>
        </w:trPr>
        <w:tc>
          <w:tcPr>
            <w:tcW w:w="362" w:type="pct"/>
            <w:shd w:val="clear" w:color="auto" w:fill="B8CCE4" w:themeFill="accent1" w:themeFillTint="66"/>
          </w:tcPr>
          <w:p w14:paraId="2EC2FAD9" w14:textId="77777777" w:rsidR="00B81FF2" w:rsidRPr="00A01C95" w:rsidRDefault="00B81FF2" w:rsidP="00F6524D">
            <w:pPr>
              <w:rPr>
                <w:rFonts w:cs="Arial"/>
                <w:b/>
                <w:bCs/>
              </w:rPr>
            </w:pPr>
            <w:r w:rsidRPr="00A01C95">
              <w:rPr>
                <w:rFonts w:cs="Arial"/>
                <w:b/>
                <w:bCs/>
              </w:rPr>
              <w:t>Number</w:t>
            </w:r>
          </w:p>
        </w:tc>
        <w:tc>
          <w:tcPr>
            <w:tcW w:w="3246" w:type="pct"/>
            <w:shd w:val="clear" w:color="auto" w:fill="B8CCE4" w:themeFill="accent1" w:themeFillTint="66"/>
            <w:vAlign w:val="center"/>
          </w:tcPr>
          <w:p w14:paraId="091E1254" w14:textId="77777777" w:rsidR="00B81FF2" w:rsidRPr="00A01C95" w:rsidRDefault="00B81FF2" w:rsidP="00F6524D">
            <w:pPr>
              <w:rPr>
                <w:rFonts w:cs="Arial"/>
                <w:b/>
              </w:rPr>
            </w:pPr>
            <w:r w:rsidRPr="00A01C95">
              <w:rPr>
                <w:rFonts w:cs="Arial"/>
                <w:b/>
                <w:bCs/>
              </w:rPr>
              <w:t>Functionality Criteria</w:t>
            </w:r>
          </w:p>
        </w:tc>
        <w:tc>
          <w:tcPr>
            <w:tcW w:w="992" w:type="pct"/>
            <w:shd w:val="clear" w:color="auto" w:fill="B8CCE4" w:themeFill="accent1" w:themeFillTint="66"/>
          </w:tcPr>
          <w:p w14:paraId="61B1DC88" w14:textId="77777777" w:rsidR="00B81FF2" w:rsidRPr="00A01C95" w:rsidRDefault="00B81FF2" w:rsidP="00F6524D">
            <w:pPr>
              <w:rPr>
                <w:rFonts w:cs="Arial"/>
                <w:b/>
                <w:bCs/>
              </w:rPr>
            </w:pPr>
            <w:r w:rsidRPr="00A01C95">
              <w:rPr>
                <w:rFonts w:cs="Arial"/>
                <w:b/>
                <w:bCs/>
              </w:rPr>
              <w:t>Documents required</w:t>
            </w:r>
          </w:p>
        </w:tc>
        <w:tc>
          <w:tcPr>
            <w:tcW w:w="399" w:type="pct"/>
            <w:shd w:val="clear" w:color="auto" w:fill="B8CCE4" w:themeFill="accent1" w:themeFillTint="66"/>
            <w:vAlign w:val="center"/>
          </w:tcPr>
          <w:p w14:paraId="7F663A33" w14:textId="77777777" w:rsidR="00B81FF2" w:rsidRPr="00A01C95" w:rsidRDefault="00B81FF2" w:rsidP="00F6524D">
            <w:pPr>
              <w:rPr>
                <w:rFonts w:cs="Arial"/>
                <w:b/>
                <w:bCs/>
              </w:rPr>
            </w:pPr>
            <w:r w:rsidRPr="00A01C95">
              <w:rPr>
                <w:rFonts w:cs="Arial"/>
                <w:b/>
                <w:bCs/>
              </w:rPr>
              <w:t>Weighting factor</w:t>
            </w:r>
          </w:p>
        </w:tc>
      </w:tr>
      <w:tr w:rsidR="00C33EA5" w:rsidRPr="00D878BE" w14:paraId="5E8DCBD8" w14:textId="77777777" w:rsidTr="00211D3D">
        <w:trPr>
          <w:cantSplit/>
          <w:trHeight w:val="318"/>
        </w:trPr>
        <w:tc>
          <w:tcPr>
            <w:tcW w:w="362" w:type="pct"/>
            <w:shd w:val="clear" w:color="auto" w:fill="B8CCE4" w:themeFill="accent1" w:themeFillTint="66"/>
          </w:tcPr>
          <w:p w14:paraId="469A86C0" w14:textId="77777777" w:rsidR="00B81FF2" w:rsidRPr="00A01C95" w:rsidRDefault="00B81FF2" w:rsidP="00211D3D">
            <w:pPr>
              <w:jc w:val="left"/>
              <w:rPr>
                <w:rFonts w:cs="Arial"/>
                <w:b/>
                <w:bCs/>
              </w:rPr>
            </w:pPr>
            <w:r w:rsidRPr="00A01C95">
              <w:rPr>
                <w:rFonts w:cs="Arial"/>
                <w:b/>
                <w:bCs/>
              </w:rPr>
              <w:t>1</w:t>
            </w:r>
          </w:p>
        </w:tc>
        <w:tc>
          <w:tcPr>
            <w:tcW w:w="3246" w:type="pct"/>
            <w:shd w:val="clear" w:color="auto" w:fill="B8CCE4" w:themeFill="accent1" w:themeFillTint="66"/>
            <w:vAlign w:val="center"/>
          </w:tcPr>
          <w:p w14:paraId="31305B01" w14:textId="60B111A7" w:rsidR="00B81FF2" w:rsidRPr="00A01C95" w:rsidRDefault="004A7E90" w:rsidP="00F6524D">
            <w:pPr>
              <w:rPr>
                <w:rFonts w:cs="Arial"/>
                <w:b/>
                <w:bCs/>
              </w:rPr>
            </w:pPr>
            <w:r>
              <w:rPr>
                <w:rFonts w:cs="Arial"/>
                <w:b/>
                <w:bCs/>
              </w:rPr>
              <w:t>Track Record</w:t>
            </w:r>
          </w:p>
        </w:tc>
        <w:tc>
          <w:tcPr>
            <w:tcW w:w="992" w:type="pct"/>
            <w:shd w:val="clear" w:color="auto" w:fill="B8CCE4" w:themeFill="accent1" w:themeFillTint="66"/>
          </w:tcPr>
          <w:p w14:paraId="271FF461" w14:textId="77777777" w:rsidR="00B81FF2" w:rsidRPr="00A01C95" w:rsidRDefault="00B81FF2" w:rsidP="00F6524D">
            <w:pPr>
              <w:rPr>
                <w:rFonts w:cs="Arial"/>
                <w:b/>
                <w:bCs/>
              </w:rPr>
            </w:pPr>
          </w:p>
        </w:tc>
        <w:tc>
          <w:tcPr>
            <w:tcW w:w="399" w:type="pct"/>
            <w:shd w:val="clear" w:color="auto" w:fill="B8CCE4" w:themeFill="accent1" w:themeFillTint="66"/>
            <w:vAlign w:val="center"/>
          </w:tcPr>
          <w:p w14:paraId="0FEEFDDD" w14:textId="14A220D3" w:rsidR="00B81FF2" w:rsidRPr="00A01C95" w:rsidRDefault="004A7E90" w:rsidP="00F6524D">
            <w:pPr>
              <w:rPr>
                <w:rFonts w:cs="Arial"/>
                <w:b/>
                <w:bCs/>
              </w:rPr>
            </w:pPr>
            <w:r>
              <w:rPr>
                <w:rFonts w:cs="Arial"/>
                <w:b/>
                <w:bCs/>
              </w:rPr>
              <w:t>6</w:t>
            </w:r>
            <w:r w:rsidR="00B81FF2">
              <w:rPr>
                <w:rFonts w:cs="Arial"/>
                <w:b/>
                <w:bCs/>
              </w:rPr>
              <w:t>0</w:t>
            </w:r>
          </w:p>
        </w:tc>
      </w:tr>
      <w:tr w:rsidR="00B81FF2" w:rsidRPr="00D878BE" w14:paraId="43689F42" w14:textId="77777777" w:rsidTr="00211D3D">
        <w:trPr>
          <w:cantSplit/>
          <w:trHeight w:val="394"/>
        </w:trPr>
        <w:tc>
          <w:tcPr>
            <w:tcW w:w="362" w:type="pct"/>
            <w:shd w:val="clear" w:color="auto" w:fill="auto"/>
          </w:tcPr>
          <w:p w14:paraId="00D1FF08" w14:textId="77777777" w:rsidR="00B81FF2" w:rsidRPr="00A01C95" w:rsidRDefault="00B81FF2" w:rsidP="00211D3D">
            <w:pPr>
              <w:jc w:val="center"/>
              <w:rPr>
                <w:rFonts w:cs="Arial"/>
              </w:rPr>
            </w:pPr>
            <w:r w:rsidRPr="00A01C95">
              <w:rPr>
                <w:rFonts w:cs="Arial"/>
              </w:rPr>
              <w:t>1.1</w:t>
            </w:r>
          </w:p>
        </w:tc>
        <w:tc>
          <w:tcPr>
            <w:tcW w:w="3246" w:type="pct"/>
          </w:tcPr>
          <w:p w14:paraId="61A19ABD" w14:textId="4CD507E4" w:rsidR="00B81FF2" w:rsidRPr="00525A10" w:rsidRDefault="00655042" w:rsidP="00843C5E">
            <w:pPr>
              <w:rPr>
                <w:rFonts w:cs="Arial"/>
              </w:rPr>
            </w:pPr>
            <w:r>
              <w:t>The service provider must have at least 5 years’ experience in similar assignments. Details of experience in providing such</w:t>
            </w:r>
            <w:r w:rsidR="00E43628">
              <w:t xml:space="preserve"> </w:t>
            </w:r>
            <w:r>
              <w:t>corporate taxation assistance</w:t>
            </w:r>
            <w:r w:rsidR="00ED37A4">
              <w:t>, assessment of IFRS 9 implementation</w:t>
            </w:r>
            <w:r>
              <w:t xml:space="preserve"> to entities/similar organisations should be provided. A list of a minimum of 3 clients and reference letters to be provided as confirmation of successful implementation of similar projects.</w:t>
            </w:r>
          </w:p>
          <w:p w14:paraId="758C5F80" w14:textId="77777777" w:rsidR="00525A10" w:rsidRPr="00525A10" w:rsidRDefault="00525A10" w:rsidP="004A7E90">
            <w:pPr>
              <w:keepNext/>
              <w:keepLines/>
              <w:widowControl w:val="0"/>
              <w:ind w:left="357"/>
              <w:rPr>
                <w:rFonts w:cs="Arial"/>
                <w:color w:val="000000"/>
                <w:lang w:eastAsia="ja-JP"/>
              </w:rPr>
            </w:pPr>
            <w:r w:rsidRPr="00525A10">
              <w:rPr>
                <w:rFonts w:cs="Arial"/>
                <w:color w:val="000000"/>
                <w:lang w:eastAsia="ja-JP"/>
              </w:rPr>
              <w:t>Scoring</w:t>
            </w:r>
          </w:p>
          <w:p w14:paraId="2538ACAF" w14:textId="1C59674F" w:rsidR="00525A10" w:rsidRPr="00CE5C1E" w:rsidRDefault="00525A10" w:rsidP="004A7E90">
            <w:pPr>
              <w:keepNext/>
              <w:keepLines/>
              <w:widowControl w:val="0"/>
              <w:numPr>
                <w:ilvl w:val="2"/>
                <w:numId w:val="15"/>
              </w:numPr>
              <w:ind w:left="804" w:hanging="447"/>
              <w:contextualSpacing/>
              <w:rPr>
                <w:rFonts w:cs="Arial"/>
                <w:color w:val="000000"/>
                <w:lang w:eastAsia="ja-JP"/>
              </w:rPr>
            </w:pPr>
            <w:r w:rsidRPr="00CE5C1E">
              <w:rPr>
                <w:rFonts w:cs="Arial"/>
                <w:color w:val="000000"/>
                <w:lang w:eastAsia="ja-JP"/>
              </w:rPr>
              <w:t>0 reference</w:t>
            </w:r>
            <w:r>
              <w:rPr>
                <w:rFonts w:cs="Arial"/>
                <w:color w:val="000000"/>
                <w:lang w:eastAsia="ja-JP"/>
              </w:rPr>
              <w:t xml:space="preserve">     </w:t>
            </w:r>
            <w:r w:rsidR="00EA6D1F">
              <w:rPr>
                <w:rFonts w:cs="Arial"/>
                <w:color w:val="000000"/>
                <w:lang w:eastAsia="ja-JP"/>
              </w:rPr>
              <w:t xml:space="preserve">  </w:t>
            </w:r>
            <w:r>
              <w:rPr>
                <w:rFonts w:cs="Arial"/>
                <w:color w:val="000000"/>
                <w:lang w:eastAsia="ja-JP"/>
              </w:rPr>
              <w:t xml:space="preserve"> </w:t>
            </w:r>
            <w:r w:rsidR="00EA6D1F">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0 points</w:t>
            </w:r>
          </w:p>
          <w:p w14:paraId="0A4580BB" w14:textId="03FF1D79" w:rsidR="00525A10" w:rsidRPr="00CE5C1E" w:rsidRDefault="00525A10" w:rsidP="004A7E90">
            <w:pPr>
              <w:keepNext/>
              <w:keepLines/>
              <w:widowControl w:val="0"/>
              <w:numPr>
                <w:ilvl w:val="2"/>
                <w:numId w:val="15"/>
              </w:numPr>
              <w:ind w:left="804" w:hanging="447"/>
              <w:contextualSpacing/>
              <w:rPr>
                <w:rFonts w:cs="Arial"/>
                <w:color w:val="000000"/>
                <w:lang w:eastAsia="ja-JP"/>
              </w:rPr>
            </w:pPr>
            <w:r w:rsidRPr="00CE5C1E">
              <w:rPr>
                <w:rFonts w:cs="Arial"/>
                <w:color w:val="000000"/>
                <w:lang w:eastAsia="ja-JP"/>
              </w:rPr>
              <w:t>1 – 2 reference</w:t>
            </w:r>
            <w:r w:rsidR="004A7E90">
              <w:rPr>
                <w:rFonts w:cs="Arial"/>
                <w:color w:val="000000"/>
                <w:lang w:eastAsia="ja-JP"/>
              </w:rPr>
              <w:t>s</w:t>
            </w:r>
            <w:r>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5 points</w:t>
            </w:r>
          </w:p>
          <w:p w14:paraId="7C718354" w14:textId="6D1A4A59" w:rsidR="00525A10" w:rsidRDefault="00525A10" w:rsidP="004A7E90">
            <w:pPr>
              <w:keepNext/>
              <w:keepLines/>
              <w:widowControl w:val="0"/>
              <w:numPr>
                <w:ilvl w:val="2"/>
                <w:numId w:val="15"/>
              </w:numPr>
              <w:ind w:left="804" w:hanging="447"/>
              <w:contextualSpacing/>
              <w:rPr>
                <w:rFonts w:cs="Arial"/>
                <w:color w:val="000000"/>
                <w:lang w:eastAsia="ja-JP"/>
              </w:rPr>
            </w:pPr>
            <w:r w:rsidRPr="00CE5C1E">
              <w:rPr>
                <w:rFonts w:cs="Arial"/>
                <w:color w:val="000000"/>
                <w:lang w:eastAsia="ja-JP"/>
              </w:rPr>
              <w:t>3 – 4 reference</w:t>
            </w:r>
            <w:r w:rsidR="004A7E90">
              <w:rPr>
                <w:rFonts w:cs="Arial"/>
                <w:color w:val="000000"/>
                <w:lang w:eastAsia="ja-JP"/>
              </w:rPr>
              <w:t>s</w:t>
            </w:r>
            <w:r>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10 points</w:t>
            </w:r>
          </w:p>
          <w:p w14:paraId="386FA687" w14:textId="23C37482" w:rsidR="00525A10" w:rsidRPr="00525A10" w:rsidRDefault="00525A10" w:rsidP="004A7E90">
            <w:pPr>
              <w:keepNext/>
              <w:keepLines/>
              <w:widowControl w:val="0"/>
              <w:numPr>
                <w:ilvl w:val="2"/>
                <w:numId w:val="15"/>
              </w:numPr>
              <w:ind w:left="804" w:hanging="447"/>
              <w:contextualSpacing/>
              <w:rPr>
                <w:rFonts w:cs="Arial"/>
                <w:color w:val="000000"/>
                <w:lang w:eastAsia="ja-JP"/>
              </w:rPr>
            </w:pPr>
            <w:r w:rsidRPr="00525A10">
              <w:rPr>
                <w:rFonts w:cs="Arial"/>
                <w:color w:val="000000"/>
                <w:lang w:eastAsia="ja-JP"/>
              </w:rPr>
              <w:t xml:space="preserve">5+ references   </w:t>
            </w:r>
            <w:r w:rsidR="00EA6D1F">
              <w:rPr>
                <w:rFonts w:cs="Arial"/>
                <w:color w:val="000000"/>
                <w:lang w:eastAsia="ja-JP"/>
              </w:rPr>
              <w:t xml:space="preserve"> </w:t>
            </w:r>
            <w:r w:rsidRPr="00525A10">
              <w:rPr>
                <w:rFonts w:cs="Arial"/>
                <w:color w:val="000000"/>
                <w:lang w:eastAsia="ja-JP"/>
              </w:rPr>
              <w:t xml:space="preserve"> </w:t>
            </w:r>
            <w:r w:rsidR="00EA6D1F">
              <w:rPr>
                <w:rFonts w:cs="Arial"/>
                <w:color w:val="000000"/>
                <w:lang w:eastAsia="ja-JP"/>
              </w:rPr>
              <w:t xml:space="preserve"> </w:t>
            </w:r>
            <w:r w:rsidRPr="00CE5C1E">
              <w:rPr>
                <w:lang w:eastAsia="ja-JP"/>
              </w:rPr>
              <w:sym w:font="Wingdings" w:char="F0E0"/>
            </w:r>
            <w:r w:rsidRPr="00525A10">
              <w:rPr>
                <w:rFonts w:cs="Arial"/>
                <w:color w:val="000000"/>
                <w:lang w:eastAsia="ja-JP"/>
              </w:rPr>
              <w:t xml:space="preserve"> </w:t>
            </w:r>
            <w:r>
              <w:rPr>
                <w:rFonts w:cs="Arial"/>
                <w:color w:val="000000"/>
                <w:lang w:eastAsia="ja-JP"/>
              </w:rPr>
              <w:t>15</w:t>
            </w:r>
            <w:r w:rsidRPr="00525A10">
              <w:rPr>
                <w:rFonts w:cs="Arial"/>
                <w:color w:val="000000"/>
                <w:lang w:eastAsia="ja-JP"/>
              </w:rPr>
              <w:t xml:space="preserve"> points</w:t>
            </w:r>
          </w:p>
        </w:tc>
        <w:tc>
          <w:tcPr>
            <w:tcW w:w="992" w:type="pct"/>
          </w:tcPr>
          <w:p w14:paraId="2E5464FB" w14:textId="5DE5D7DF" w:rsidR="00B81FF2" w:rsidRPr="00A01C95" w:rsidRDefault="004A7E90" w:rsidP="00F6524D">
            <w:pPr>
              <w:rPr>
                <w:rFonts w:cs="Arial"/>
              </w:rPr>
            </w:pPr>
            <w:r>
              <w:rPr>
                <w:rFonts w:cs="Arial"/>
              </w:rPr>
              <w:t>Reference letters from clients.</w:t>
            </w:r>
          </w:p>
        </w:tc>
        <w:tc>
          <w:tcPr>
            <w:tcW w:w="399" w:type="pct"/>
          </w:tcPr>
          <w:p w14:paraId="76B2C626" w14:textId="4F3A53FD" w:rsidR="00B81FF2" w:rsidRPr="00A01C95" w:rsidRDefault="00B81FF2" w:rsidP="00F6524D">
            <w:pPr>
              <w:rPr>
                <w:rFonts w:cs="Arial"/>
              </w:rPr>
            </w:pPr>
          </w:p>
        </w:tc>
      </w:tr>
      <w:tr w:rsidR="00525A10" w:rsidRPr="00D878BE" w14:paraId="49E8B217" w14:textId="77777777" w:rsidTr="00211D3D">
        <w:trPr>
          <w:cantSplit/>
          <w:trHeight w:val="394"/>
        </w:trPr>
        <w:tc>
          <w:tcPr>
            <w:tcW w:w="362" w:type="pct"/>
            <w:shd w:val="clear" w:color="auto" w:fill="auto"/>
          </w:tcPr>
          <w:p w14:paraId="2A3E8786" w14:textId="6D4D3899" w:rsidR="00525A10" w:rsidRPr="00A01C95" w:rsidRDefault="00525A10" w:rsidP="00211D3D">
            <w:pPr>
              <w:jc w:val="center"/>
              <w:rPr>
                <w:rFonts w:cs="Arial"/>
              </w:rPr>
            </w:pPr>
            <w:r>
              <w:rPr>
                <w:rFonts w:cs="Arial"/>
              </w:rPr>
              <w:t>1.2</w:t>
            </w:r>
          </w:p>
        </w:tc>
        <w:tc>
          <w:tcPr>
            <w:tcW w:w="3246" w:type="pct"/>
          </w:tcPr>
          <w:p w14:paraId="02682EE1" w14:textId="092ED700" w:rsidR="00525A10" w:rsidRPr="00843C5E" w:rsidRDefault="00525A10" w:rsidP="00843C5E">
            <w:pPr>
              <w:keepNext/>
              <w:keepLines/>
              <w:widowControl w:val="0"/>
              <w:jc w:val="left"/>
              <w:rPr>
                <w:rFonts w:cs="Arial"/>
                <w:color w:val="000000"/>
                <w:lang w:eastAsia="ja-JP"/>
              </w:rPr>
            </w:pPr>
            <w:r w:rsidRPr="00843C5E">
              <w:rPr>
                <w:rFonts w:cs="Arial"/>
                <w:color w:val="000000"/>
                <w:lang w:eastAsia="ja-JP"/>
              </w:rPr>
              <w:t>Company Experience in consulting on the accounting for grant funded assets and the tax implications</w:t>
            </w:r>
          </w:p>
          <w:p w14:paraId="71DB2C87" w14:textId="77777777" w:rsidR="00525A10" w:rsidRDefault="00525A10" w:rsidP="00525A10">
            <w:pPr>
              <w:keepNext/>
              <w:keepLines/>
              <w:widowControl w:val="0"/>
              <w:rPr>
                <w:rFonts w:cs="Arial"/>
                <w:b/>
                <w:bCs/>
                <w:color w:val="000000"/>
                <w:lang w:eastAsia="ja-JP"/>
              </w:rPr>
            </w:pPr>
          </w:p>
          <w:p w14:paraId="00481921" w14:textId="77777777" w:rsidR="00525A10" w:rsidRPr="00525A10" w:rsidRDefault="00525A10" w:rsidP="004A7E90">
            <w:pPr>
              <w:keepNext/>
              <w:keepLines/>
              <w:widowControl w:val="0"/>
              <w:ind w:left="360"/>
              <w:rPr>
                <w:rFonts w:cs="Arial"/>
                <w:color w:val="000000"/>
                <w:lang w:eastAsia="ja-JP"/>
              </w:rPr>
            </w:pPr>
            <w:r w:rsidRPr="00525A10">
              <w:rPr>
                <w:rFonts w:cs="Arial"/>
                <w:color w:val="000000"/>
                <w:lang w:eastAsia="ja-JP"/>
              </w:rPr>
              <w:t>Scoring</w:t>
            </w:r>
          </w:p>
          <w:p w14:paraId="68F8C88C" w14:textId="77777777" w:rsidR="00525A10" w:rsidRPr="00CE5C1E" w:rsidRDefault="00525A10" w:rsidP="004A7E90">
            <w:pPr>
              <w:keepNext/>
              <w:keepLines/>
              <w:widowControl w:val="0"/>
              <w:numPr>
                <w:ilvl w:val="2"/>
                <w:numId w:val="17"/>
              </w:numPr>
              <w:ind w:left="807" w:hanging="447"/>
              <w:contextualSpacing/>
              <w:rPr>
                <w:rFonts w:cs="Arial"/>
                <w:color w:val="000000"/>
                <w:lang w:eastAsia="ja-JP"/>
              </w:rPr>
            </w:pPr>
            <w:r w:rsidRPr="00CE5C1E">
              <w:rPr>
                <w:rFonts w:cs="Arial"/>
                <w:color w:val="000000"/>
                <w:lang w:eastAsia="ja-JP"/>
              </w:rPr>
              <w:t>Less than 1 year</w:t>
            </w:r>
            <w:r>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0 points</w:t>
            </w:r>
          </w:p>
          <w:p w14:paraId="2B32A098" w14:textId="77777777" w:rsidR="00525A10" w:rsidRPr="00CE5C1E" w:rsidRDefault="00525A10" w:rsidP="004A7E90">
            <w:pPr>
              <w:keepNext/>
              <w:keepLines/>
              <w:widowControl w:val="0"/>
              <w:numPr>
                <w:ilvl w:val="2"/>
                <w:numId w:val="17"/>
              </w:numPr>
              <w:ind w:left="807" w:hanging="447"/>
              <w:contextualSpacing/>
              <w:rPr>
                <w:rFonts w:cs="Arial"/>
                <w:color w:val="000000"/>
                <w:lang w:eastAsia="ja-JP"/>
              </w:rPr>
            </w:pPr>
            <w:r w:rsidRPr="00CE5C1E">
              <w:rPr>
                <w:rFonts w:cs="Arial"/>
                <w:color w:val="000000"/>
                <w:lang w:eastAsia="ja-JP"/>
              </w:rPr>
              <w:t>1 to 2 years</w:t>
            </w:r>
            <w:r>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5 points</w:t>
            </w:r>
          </w:p>
          <w:p w14:paraId="7F29C138" w14:textId="77777777" w:rsidR="00525A10" w:rsidRDefault="00525A10" w:rsidP="004A7E90">
            <w:pPr>
              <w:keepNext/>
              <w:keepLines/>
              <w:widowControl w:val="0"/>
              <w:numPr>
                <w:ilvl w:val="2"/>
                <w:numId w:val="17"/>
              </w:numPr>
              <w:ind w:left="807" w:hanging="447"/>
              <w:contextualSpacing/>
              <w:rPr>
                <w:rFonts w:cs="Arial"/>
                <w:color w:val="000000"/>
                <w:lang w:eastAsia="ja-JP"/>
              </w:rPr>
            </w:pPr>
            <w:r w:rsidRPr="00CE5C1E">
              <w:rPr>
                <w:rFonts w:cs="Arial"/>
                <w:color w:val="000000"/>
                <w:lang w:eastAsia="ja-JP"/>
              </w:rPr>
              <w:t xml:space="preserve">3 to 4 years </w:t>
            </w:r>
            <w:r>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10 points</w:t>
            </w:r>
          </w:p>
          <w:p w14:paraId="3BE1DB8C" w14:textId="59E3470E" w:rsidR="00525A10" w:rsidRPr="00525A10" w:rsidRDefault="00525A10" w:rsidP="004A7E90">
            <w:pPr>
              <w:keepNext/>
              <w:keepLines/>
              <w:widowControl w:val="0"/>
              <w:numPr>
                <w:ilvl w:val="2"/>
                <w:numId w:val="17"/>
              </w:numPr>
              <w:ind w:left="807" w:hanging="447"/>
              <w:contextualSpacing/>
              <w:rPr>
                <w:rFonts w:cs="Arial"/>
                <w:color w:val="000000"/>
                <w:lang w:eastAsia="ja-JP"/>
              </w:rPr>
            </w:pPr>
            <w:r w:rsidRPr="00525A10">
              <w:rPr>
                <w:rFonts w:cs="Arial"/>
                <w:color w:val="000000"/>
                <w:lang w:eastAsia="ja-JP"/>
              </w:rPr>
              <w:t xml:space="preserve">5 or more years  </w:t>
            </w:r>
            <w:r w:rsidRPr="00CE5C1E">
              <w:rPr>
                <w:lang w:eastAsia="ja-JP"/>
              </w:rPr>
              <w:sym w:font="Wingdings" w:char="F0E0"/>
            </w:r>
            <w:r w:rsidRPr="00525A10">
              <w:rPr>
                <w:rFonts w:cs="Arial"/>
                <w:color w:val="000000"/>
                <w:lang w:eastAsia="ja-JP"/>
              </w:rPr>
              <w:t xml:space="preserve"> 15 points  </w:t>
            </w:r>
          </w:p>
        </w:tc>
        <w:tc>
          <w:tcPr>
            <w:tcW w:w="992" w:type="pct"/>
          </w:tcPr>
          <w:p w14:paraId="62B068B8" w14:textId="49EBEF49" w:rsidR="00525A10" w:rsidRPr="00A01C95" w:rsidRDefault="00ED37A4" w:rsidP="00F6524D">
            <w:pPr>
              <w:rPr>
                <w:rFonts w:cs="Arial"/>
              </w:rPr>
            </w:pPr>
            <w:r>
              <w:rPr>
                <w:rFonts w:cs="Arial"/>
              </w:rPr>
              <w:t>Company profile with specific reference to client where this service was provided.</w:t>
            </w:r>
          </w:p>
        </w:tc>
        <w:tc>
          <w:tcPr>
            <w:tcW w:w="399" w:type="pct"/>
          </w:tcPr>
          <w:p w14:paraId="24AE3309" w14:textId="77777777" w:rsidR="00525A10" w:rsidRPr="00A01C95" w:rsidRDefault="00525A10" w:rsidP="00F6524D">
            <w:pPr>
              <w:rPr>
                <w:rFonts w:cs="Arial"/>
              </w:rPr>
            </w:pPr>
          </w:p>
        </w:tc>
      </w:tr>
      <w:tr w:rsidR="00525A10" w:rsidRPr="00D878BE" w14:paraId="2B4C7A69" w14:textId="77777777" w:rsidTr="00211D3D">
        <w:trPr>
          <w:cantSplit/>
          <w:trHeight w:val="394"/>
        </w:trPr>
        <w:tc>
          <w:tcPr>
            <w:tcW w:w="362" w:type="pct"/>
            <w:shd w:val="clear" w:color="auto" w:fill="auto"/>
          </w:tcPr>
          <w:p w14:paraId="292F0852" w14:textId="4528E561" w:rsidR="00525A10" w:rsidRDefault="00525A10" w:rsidP="00211D3D">
            <w:pPr>
              <w:jc w:val="center"/>
              <w:rPr>
                <w:rFonts w:cs="Arial"/>
              </w:rPr>
            </w:pPr>
            <w:r>
              <w:rPr>
                <w:rFonts w:cs="Arial"/>
              </w:rPr>
              <w:t>1.3</w:t>
            </w:r>
          </w:p>
        </w:tc>
        <w:tc>
          <w:tcPr>
            <w:tcW w:w="3246" w:type="pct"/>
          </w:tcPr>
          <w:p w14:paraId="494BCA3A" w14:textId="72BE7E59" w:rsidR="004A7E90" w:rsidRPr="00843C5E" w:rsidRDefault="004A7E90" w:rsidP="00843C5E">
            <w:pPr>
              <w:keepNext/>
              <w:keepLines/>
              <w:widowControl w:val="0"/>
              <w:jc w:val="left"/>
              <w:rPr>
                <w:rFonts w:cs="Arial"/>
                <w:color w:val="000000"/>
                <w:lang w:eastAsia="ja-JP"/>
              </w:rPr>
            </w:pPr>
            <w:r w:rsidRPr="00843C5E">
              <w:rPr>
                <w:rFonts w:cs="Arial"/>
                <w:color w:val="000000"/>
                <w:lang w:eastAsia="ja-JP"/>
              </w:rPr>
              <w:t>Company Experience in providing taxation consulting services for the computation of the income and deferred tax liability/asset.</w:t>
            </w:r>
          </w:p>
          <w:p w14:paraId="7B99F380" w14:textId="77777777" w:rsidR="004A7E90" w:rsidRDefault="004A7E90" w:rsidP="004A7E90">
            <w:pPr>
              <w:keepNext/>
              <w:keepLines/>
              <w:widowControl w:val="0"/>
              <w:rPr>
                <w:rFonts w:cs="Arial"/>
                <w:b/>
                <w:bCs/>
                <w:color w:val="000000"/>
                <w:lang w:eastAsia="ja-JP"/>
              </w:rPr>
            </w:pPr>
          </w:p>
          <w:p w14:paraId="5C1F6CEF" w14:textId="77777777" w:rsidR="004A7E90" w:rsidRPr="00525A10" w:rsidRDefault="004A7E90" w:rsidP="004A7E90">
            <w:pPr>
              <w:keepNext/>
              <w:keepLines/>
              <w:widowControl w:val="0"/>
              <w:ind w:left="360"/>
              <w:rPr>
                <w:rFonts w:cs="Arial"/>
                <w:color w:val="000000"/>
                <w:lang w:eastAsia="ja-JP"/>
              </w:rPr>
            </w:pPr>
            <w:r w:rsidRPr="00525A10">
              <w:rPr>
                <w:rFonts w:cs="Arial"/>
                <w:color w:val="000000"/>
                <w:lang w:eastAsia="ja-JP"/>
              </w:rPr>
              <w:t>Scoring</w:t>
            </w:r>
          </w:p>
          <w:p w14:paraId="3CA2FB58" w14:textId="77777777" w:rsidR="004A7E90" w:rsidRPr="00CE5C1E" w:rsidRDefault="004A7E90" w:rsidP="004A7E90">
            <w:pPr>
              <w:keepNext/>
              <w:keepLines/>
              <w:widowControl w:val="0"/>
              <w:numPr>
                <w:ilvl w:val="2"/>
                <w:numId w:val="17"/>
              </w:numPr>
              <w:ind w:left="807" w:hanging="447"/>
              <w:contextualSpacing/>
              <w:rPr>
                <w:rFonts w:cs="Arial"/>
                <w:color w:val="000000"/>
                <w:lang w:eastAsia="ja-JP"/>
              </w:rPr>
            </w:pPr>
            <w:r w:rsidRPr="00CE5C1E">
              <w:rPr>
                <w:rFonts w:cs="Arial"/>
                <w:color w:val="000000"/>
                <w:lang w:eastAsia="ja-JP"/>
              </w:rPr>
              <w:t>Less than 1 year</w:t>
            </w:r>
            <w:r>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0 points</w:t>
            </w:r>
          </w:p>
          <w:p w14:paraId="539135BC" w14:textId="77777777" w:rsidR="004A7E90" w:rsidRPr="00CE5C1E" w:rsidRDefault="004A7E90" w:rsidP="004A7E90">
            <w:pPr>
              <w:keepNext/>
              <w:keepLines/>
              <w:widowControl w:val="0"/>
              <w:numPr>
                <w:ilvl w:val="2"/>
                <w:numId w:val="17"/>
              </w:numPr>
              <w:ind w:left="807" w:hanging="447"/>
              <w:contextualSpacing/>
              <w:rPr>
                <w:rFonts w:cs="Arial"/>
                <w:color w:val="000000"/>
                <w:lang w:eastAsia="ja-JP"/>
              </w:rPr>
            </w:pPr>
            <w:r w:rsidRPr="00CE5C1E">
              <w:rPr>
                <w:rFonts w:cs="Arial"/>
                <w:color w:val="000000"/>
                <w:lang w:eastAsia="ja-JP"/>
              </w:rPr>
              <w:t>1 to 2 years</w:t>
            </w:r>
            <w:r>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5 points</w:t>
            </w:r>
          </w:p>
          <w:p w14:paraId="50DDEA75" w14:textId="290EB35A" w:rsidR="004A7E90" w:rsidRDefault="004A7E90" w:rsidP="004A7E90">
            <w:pPr>
              <w:keepNext/>
              <w:keepLines/>
              <w:widowControl w:val="0"/>
              <w:numPr>
                <w:ilvl w:val="2"/>
                <w:numId w:val="17"/>
              </w:numPr>
              <w:ind w:left="807" w:hanging="447"/>
              <w:contextualSpacing/>
              <w:rPr>
                <w:rFonts w:cs="Arial"/>
                <w:color w:val="000000"/>
                <w:lang w:eastAsia="ja-JP"/>
              </w:rPr>
            </w:pPr>
            <w:r w:rsidRPr="00CE5C1E">
              <w:rPr>
                <w:rFonts w:cs="Arial"/>
                <w:color w:val="000000"/>
                <w:lang w:eastAsia="ja-JP"/>
              </w:rPr>
              <w:t xml:space="preserve">3 to 4 years </w:t>
            </w:r>
            <w:r>
              <w:rPr>
                <w:rFonts w:cs="Arial"/>
                <w:color w:val="000000"/>
                <w:lang w:eastAsia="ja-JP"/>
              </w:rPr>
              <w:t xml:space="preserve">        </w:t>
            </w:r>
            <w:r w:rsidRPr="00CE5C1E">
              <w:rPr>
                <w:rFonts w:cs="Arial"/>
                <w:color w:val="000000"/>
                <w:lang w:eastAsia="ja-JP"/>
              </w:rPr>
              <w:sym w:font="Wingdings" w:char="F0E0"/>
            </w:r>
            <w:r w:rsidRPr="00CE5C1E">
              <w:rPr>
                <w:rFonts w:cs="Arial"/>
                <w:color w:val="000000"/>
                <w:lang w:eastAsia="ja-JP"/>
              </w:rPr>
              <w:t xml:space="preserve"> 10 points</w:t>
            </w:r>
            <w:r w:rsidR="00AB4EA8">
              <w:rPr>
                <w:rFonts w:cs="Arial"/>
                <w:color w:val="000000"/>
                <w:lang w:eastAsia="ja-JP"/>
              </w:rPr>
              <w:t>.</w:t>
            </w:r>
          </w:p>
          <w:p w14:paraId="0C5EECD6" w14:textId="1CDC776A" w:rsidR="00525A10" w:rsidRPr="004A7E90" w:rsidRDefault="004A7E90" w:rsidP="004A7E90">
            <w:pPr>
              <w:keepNext/>
              <w:keepLines/>
              <w:widowControl w:val="0"/>
              <w:numPr>
                <w:ilvl w:val="2"/>
                <w:numId w:val="17"/>
              </w:numPr>
              <w:ind w:left="807" w:hanging="447"/>
              <w:contextualSpacing/>
              <w:rPr>
                <w:rFonts w:cs="Arial"/>
                <w:color w:val="000000"/>
                <w:lang w:eastAsia="ja-JP"/>
              </w:rPr>
            </w:pPr>
            <w:r w:rsidRPr="004A7E90">
              <w:rPr>
                <w:rFonts w:cs="Arial"/>
                <w:color w:val="000000"/>
                <w:lang w:eastAsia="ja-JP"/>
              </w:rPr>
              <w:t xml:space="preserve">5 or more years  </w:t>
            </w:r>
            <w:r w:rsidRPr="00CE5C1E">
              <w:rPr>
                <w:lang w:eastAsia="ja-JP"/>
              </w:rPr>
              <w:sym w:font="Wingdings" w:char="F0E0"/>
            </w:r>
            <w:r w:rsidRPr="004A7E90">
              <w:rPr>
                <w:rFonts w:cs="Arial"/>
                <w:color w:val="000000"/>
                <w:lang w:eastAsia="ja-JP"/>
              </w:rPr>
              <w:t xml:space="preserve"> 15 points  </w:t>
            </w:r>
          </w:p>
        </w:tc>
        <w:tc>
          <w:tcPr>
            <w:tcW w:w="992" w:type="pct"/>
          </w:tcPr>
          <w:p w14:paraId="30B08650" w14:textId="07826A26" w:rsidR="00525A10" w:rsidRPr="00A01C95" w:rsidRDefault="00ED37A4" w:rsidP="00F6524D">
            <w:pPr>
              <w:rPr>
                <w:rFonts w:cs="Arial"/>
              </w:rPr>
            </w:pPr>
            <w:r>
              <w:rPr>
                <w:rFonts w:cs="Arial"/>
              </w:rPr>
              <w:t>Company profile</w:t>
            </w:r>
          </w:p>
        </w:tc>
        <w:tc>
          <w:tcPr>
            <w:tcW w:w="399" w:type="pct"/>
          </w:tcPr>
          <w:p w14:paraId="7F1D8A38" w14:textId="77777777" w:rsidR="00525A10" w:rsidRPr="00A01C95" w:rsidRDefault="00525A10" w:rsidP="00F6524D">
            <w:pPr>
              <w:rPr>
                <w:rFonts w:cs="Arial"/>
              </w:rPr>
            </w:pPr>
          </w:p>
        </w:tc>
      </w:tr>
      <w:tr w:rsidR="004A7E90" w:rsidRPr="00D878BE" w14:paraId="50A3A1B8" w14:textId="77777777" w:rsidTr="00211D3D">
        <w:trPr>
          <w:cantSplit/>
          <w:trHeight w:val="394"/>
        </w:trPr>
        <w:tc>
          <w:tcPr>
            <w:tcW w:w="362" w:type="pct"/>
            <w:shd w:val="clear" w:color="auto" w:fill="auto"/>
          </w:tcPr>
          <w:p w14:paraId="3D8EC462" w14:textId="23A49582" w:rsidR="004A7E90" w:rsidRDefault="00843C5E" w:rsidP="00211D3D">
            <w:pPr>
              <w:jc w:val="center"/>
              <w:rPr>
                <w:rFonts w:cs="Arial"/>
              </w:rPr>
            </w:pPr>
            <w:r>
              <w:rPr>
                <w:rFonts w:cs="Arial"/>
              </w:rPr>
              <w:t>1.4</w:t>
            </w:r>
          </w:p>
        </w:tc>
        <w:tc>
          <w:tcPr>
            <w:tcW w:w="3246" w:type="pct"/>
          </w:tcPr>
          <w:p w14:paraId="0D1D9951" w14:textId="3674614A" w:rsidR="004A7E90" w:rsidRPr="00E43628" w:rsidRDefault="00EA6D1F" w:rsidP="00843C5E">
            <w:pPr>
              <w:keepNext/>
              <w:keepLines/>
              <w:widowControl w:val="0"/>
              <w:jc w:val="left"/>
              <w:rPr>
                <w:rFonts w:cs="Arial"/>
                <w:color w:val="000000"/>
                <w:lang w:eastAsia="ja-JP"/>
              </w:rPr>
            </w:pPr>
            <w:r w:rsidRPr="00E43628">
              <w:rPr>
                <w:rFonts w:cs="Arial"/>
                <w:color w:val="000000"/>
                <w:lang w:eastAsia="ja-JP"/>
              </w:rPr>
              <w:t>Provide methodology for the implementation of IFRS 9 and policy requirements to ensure effective review of assessments</w:t>
            </w:r>
            <w:r w:rsidR="004A7E90" w:rsidRPr="00E43628">
              <w:rPr>
                <w:rFonts w:cs="Arial"/>
                <w:color w:val="000000"/>
                <w:lang w:eastAsia="ja-JP"/>
              </w:rPr>
              <w:t>.</w:t>
            </w:r>
            <w:r w:rsidRPr="00E43628">
              <w:rPr>
                <w:rFonts w:cs="Arial"/>
                <w:color w:val="000000"/>
                <w:lang w:eastAsia="ja-JP"/>
              </w:rPr>
              <w:t xml:space="preserve"> Provide refences of successful implementation.</w:t>
            </w:r>
          </w:p>
          <w:p w14:paraId="438F60BD" w14:textId="77777777" w:rsidR="004A7E90" w:rsidRPr="00E43628" w:rsidRDefault="004A7E90" w:rsidP="004A7E90">
            <w:pPr>
              <w:keepNext/>
              <w:keepLines/>
              <w:widowControl w:val="0"/>
              <w:rPr>
                <w:rFonts w:cs="Arial"/>
                <w:b/>
                <w:bCs/>
                <w:color w:val="000000"/>
                <w:lang w:eastAsia="ja-JP"/>
              </w:rPr>
            </w:pPr>
          </w:p>
          <w:p w14:paraId="6E7F01DB" w14:textId="77777777" w:rsidR="004A7E90" w:rsidRPr="00E43628" w:rsidRDefault="004A7E90" w:rsidP="004A7E90">
            <w:pPr>
              <w:keepNext/>
              <w:keepLines/>
              <w:widowControl w:val="0"/>
              <w:ind w:left="360"/>
              <w:rPr>
                <w:rFonts w:cs="Arial"/>
                <w:color w:val="000000"/>
                <w:lang w:eastAsia="ja-JP"/>
              </w:rPr>
            </w:pPr>
            <w:r w:rsidRPr="00E43628">
              <w:rPr>
                <w:rFonts w:cs="Arial"/>
                <w:color w:val="000000"/>
                <w:lang w:eastAsia="ja-JP"/>
              </w:rPr>
              <w:t>Scoring</w:t>
            </w:r>
          </w:p>
          <w:p w14:paraId="19772E8A" w14:textId="77777777" w:rsidR="004A7E90" w:rsidRPr="00E43628" w:rsidRDefault="004A7E90" w:rsidP="004A7E90">
            <w:pPr>
              <w:keepNext/>
              <w:keepLines/>
              <w:widowControl w:val="0"/>
              <w:numPr>
                <w:ilvl w:val="2"/>
                <w:numId w:val="17"/>
              </w:numPr>
              <w:ind w:left="807" w:hanging="447"/>
              <w:contextualSpacing/>
              <w:rPr>
                <w:rFonts w:cs="Arial"/>
                <w:color w:val="000000"/>
                <w:lang w:eastAsia="ja-JP"/>
              </w:rPr>
            </w:pPr>
            <w:r w:rsidRPr="00E43628">
              <w:rPr>
                <w:rFonts w:cs="Arial"/>
                <w:color w:val="000000"/>
                <w:lang w:eastAsia="ja-JP"/>
              </w:rPr>
              <w:t xml:space="preserve">Less than 1 year </w:t>
            </w:r>
            <w:r w:rsidRPr="00E43628">
              <w:rPr>
                <w:rFonts w:cs="Arial"/>
                <w:color w:val="000000"/>
                <w:lang w:eastAsia="ja-JP"/>
              </w:rPr>
              <w:sym w:font="Wingdings" w:char="F0E0"/>
            </w:r>
            <w:r w:rsidRPr="00E43628">
              <w:rPr>
                <w:rFonts w:cs="Arial"/>
                <w:color w:val="000000"/>
                <w:lang w:eastAsia="ja-JP"/>
              </w:rPr>
              <w:t xml:space="preserve"> 0 points</w:t>
            </w:r>
          </w:p>
          <w:p w14:paraId="0C4120E7" w14:textId="689D6D6F" w:rsidR="004A7E90" w:rsidRPr="00E43628" w:rsidRDefault="004A7E90" w:rsidP="004A7E90">
            <w:pPr>
              <w:keepNext/>
              <w:keepLines/>
              <w:widowControl w:val="0"/>
              <w:numPr>
                <w:ilvl w:val="2"/>
                <w:numId w:val="17"/>
              </w:numPr>
              <w:ind w:left="807" w:hanging="447"/>
              <w:contextualSpacing/>
              <w:rPr>
                <w:rFonts w:cs="Arial"/>
                <w:color w:val="000000"/>
                <w:lang w:eastAsia="ja-JP"/>
              </w:rPr>
            </w:pPr>
            <w:r w:rsidRPr="00E43628">
              <w:rPr>
                <w:rFonts w:cs="Arial"/>
                <w:color w:val="000000"/>
                <w:lang w:eastAsia="ja-JP"/>
              </w:rPr>
              <w:t xml:space="preserve">1 to 2 years         </w:t>
            </w:r>
            <w:r w:rsidRPr="00E43628">
              <w:rPr>
                <w:rFonts w:cs="Arial"/>
                <w:color w:val="000000"/>
                <w:lang w:eastAsia="ja-JP"/>
              </w:rPr>
              <w:sym w:font="Wingdings" w:char="F0E0"/>
            </w:r>
            <w:r w:rsidRPr="00E43628">
              <w:rPr>
                <w:rFonts w:cs="Arial"/>
                <w:color w:val="000000"/>
                <w:lang w:eastAsia="ja-JP"/>
              </w:rPr>
              <w:t xml:space="preserve"> </w:t>
            </w:r>
            <w:r w:rsidR="00EA6D1F" w:rsidRPr="00E43628">
              <w:rPr>
                <w:rFonts w:cs="Arial"/>
                <w:color w:val="000000"/>
                <w:lang w:eastAsia="ja-JP"/>
              </w:rPr>
              <w:t>10</w:t>
            </w:r>
            <w:r w:rsidRPr="00E43628">
              <w:rPr>
                <w:rFonts w:cs="Arial"/>
                <w:color w:val="000000"/>
                <w:lang w:eastAsia="ja-JP"/>
              </w:rPr>
              <w:t xml:space="preserve"> points</w:t>
            </w:r>
          </w:p>
          <w:p w14:paraId="2910B5A6" w14:textId="255F4120" w:rsidR="004A7E90" w:rsidRPr="00E43628" w:rsidRDefault="004A7E90" w:rsidP="00EA6D1F">
            <w:pPr>
              <w:keepNext/>
              <w:keepLines/>
              <w:widowControl w:val="0"/>
              <w:numPr>
                <w:ilvl w:val="2"/>
                <w:numId w:val="17"/>
              </w:numPr>
              <w:ind w:left="807" w:hanging="447"/>
              <w:contextualSpacing/>
              <w:rPr>
                <w:rFonts w:cs="Arial"/>
                <w:color w:val="000000"/>
                <w:lang w:eastAsia="ja-JP"/>
              </w:rPr>
            </w:pPr>
            <w:r w:rsidRPr="00E43628">
              <w:rPr>
                <w:rFonts w:cs="Arial"/>
                <w:color w:val="000000"/>
                <w:lang w:eastAsia="ja-JP"/>
              </w:rPr>
              <w:t xml:space="preserve">3 years         </w:t>
            </w:r>
            <w:r w:rsidR="00EA6D1F" w:rsidRPr="00E43628">
              <w:rPr>
                <w:rFonts w:cs="Arial"/>
                <w:color w:val="000000"/>
                <w:lang w:eastAsia="ja-JP"/>
              </w:rPr>
              <w:t xml:space="preserve">       </w:t>
            </w:r>
            <w:r w:rsidRPr="00E43628">
              <w:rPr>
                <w:rFonts w:cs="Arial"/>
                <w:color w:val="000000"/>
                <w:lang w:eastAsia="ja-JP"/>
              </w:rPr>
              <w:sym w:font="Wingdings" w:char="F0E0"/>
            </w:r>
            <w:r w:rsidRPr="00E43628">
              <w:rPr>
                <w:rFonts w:cs="Arial"/>
                <w:color w:val="000000"/>
                <w:lang w:eastAsia="ja-JP"/>
              </w:rPr>
              <w:t xml:space="preserve"> </w:t>
            </w:r>
            <w:r w:rsidR="00EA6D1F" w:rsidRPr="00E43628">
              <w:rPr>
                <w:rFonts w:cs="Arial"/>
                <w:color w:val="000000"/>
                <w:lang w:eastAsia="ja-JP"/>
              </w:rPr>
              <w:t>15</w:t>
            </w:r>
            <w:r w:rsidRPr="00E43628">
              <w:rPr>
                <w:rFonts w:cs="Arial"/>
                <w:color w:val="000000"/>
                <w:lang w:eastAsia="ja-JP"/>
              </w:rPr>
              <w:t xml:space="preserve"> points</w:t>
            </w:r>
          </w:p>
        </w:tc>
        <w:tc>
          <w:tcPr>
            <w:tcW w:w="992" w:type="pct"/>
          </w:tcPr>
          <w:p w14:paraId="0115772D" w14:textId="34035C09" w:rsidR="004A7E90" w:rsidRPr="00E43628" w:rsidRDefault="00ED37A4" w:rsidP="00F6524D">
            <w:pPr>
              <w:rPr>
                <w:rFonts w:cs="Arial"/>
              </w:rPr>
            </w:pPr>
            <w:r w:rsidRPr="00E43628">
              <w:rPr>
                <w:rFonts w:cs="Arial"/>
              </w:rPr>
              <w:t>Company profile including methodology used in the assessment of IFRS 9 implementation (showing application of IFRS 9 requirements)</w:t>
            </w:r>
            <w:r w:rsidR="00AB4EA8" w:rsidRPr="00E43628">
              <w:rPr>
                <w:rFonts w:cs="Arial"/>
              </w:rPr>
              <w:t>. Reference letter on successful implementation of IFRS 9.</w:t>
            </w:r>
          </w:p>
        </w:tc>
        <w:tc>
          <w:tcPr>
            <w:tcW w:w="399" w:type="pct"/>
          </w:tcPr>
          <w:p w14:paraId="2F89B2F8" w14:textId="77777777" w:rsidR="004A7E90" w:rsidRPr="00A01C95" w:rsidRDefault="004A7E90" w:rsidP="00F6524D">
            <w:pPr>
              <w:rPr>
                <w:rFonts w:cs="Arial"/>
              </w:rPr>
            </w:pPr>
          </w:p>
        </w:tc>
      </w:tr>
      <w:tr w:rsidR="00C33EA5" w:rsidRPr="00D878BE" w14:paraId="75AD09CD" w14:textId="77777777" w:rsidTr="00211D3D">
        <w:trPr>
          <w:cantSplit/>
          <w:trHeight w:val="55"/>
        </w:trPr>
        <w:tc>
          <w:tcPr>
            <w:tcW w:w="362" w:type="pct"/>
            <w:shd w:val="clear" w:color="auto" w:fill="B8CCE4" w:themeFill="accent1" w:themeFillTint="66"/>
          </w:tcPr>
          <w:p w14:paraId="1FB27FC5" w14:textId="77777777" w:rsidR="00B81FF2" w:rsidRPr="00A01C95" w:rsidRDefault="00B81FF2" w:rsidP="00F6524D">
            <w:pPr>
              <w:rPr>
                <w:rFonts w:cs="Arial"/>
                <w:b/>
              </w:rPr>
            </w:pPr>
            <w:r w:rsidRPr="00A01C95">
              <w:rPr>
                <w:rFonts w:cs="Arial"/>
                <w:b/>
              </w:rPr>
              <w:lastRenderedPageBreak/>
              <w:t>2</w:t>
            </w:r>
          </w:p>
        </w:tc>
        <w:tc>
          <w:tcPr>
            <w:tcW w:w="3246" w:type="pct"/>
            <w:shd w:val="clear" w:color="auto" w:fill="B8CCE4" w:themeFill="accent1" w:themeFillTint="66"/>
          </w:tcPr>
          <w:p w14:paraId="43CFA556" w14:textId="77777777" w:rsidR="004A7E90" w:rsidRPr="004A7E90" w:rsidRDefault="004A7E90" w:rsidP="004A7E90">
            <w:pPr>
              <w:rPr>
                <w:rFonts w:cs="Arial"/>
                <w:b/>
                <w:bCs/>
              </w:rPr>
            </w:pPr>
            <w:r w:rsidRPr="004A7E90">
              <w:rPr>
                <w:rFonts w:cs="Arial"/>
                <w:b/>
                <w:bCs/>
              </w:rPr>
              <w:t>KNOWLEDGE, EXPERTISE, EXPERIENCE AND</w:t>
            </w:r>
          </w:p>
          <w:p w14:paraId="2B2B3381" w14:textId="6C4B420C" w:rsidR="00B81FF2" w:rsidRPr="00A01C95" w:rsidRDefault="004A7E90" w:rsidP="004A7E90">
            <w:pPr>
              <w:rPr>
                <w:rFonts w:cs="Arial"/>
                <w:b/>
              </w:rPr>
            </w:pPr>
            <w:r w:rsidRPr="004A7E90">
              <w:rPr>
                <w:rFonts w:cs="Arial"/>
                <w:b/>
                <w:bCs/>
              </w:rPr>
              <w:t xml:space="preserve">COMPOSITION OF KEY PROJECT TEAM </w:t>
            </w:r>
          </w:p>
        </w:tc>
        <w:tc>
          <w:tcPr>
            <w:tcW w:w="992" w:type="pct"/>
            <w:shd w:val="clear" w:color="auto" w:fill="B8CCE4" w:themeFill="accent1" w:themeFillTint="66"/>
          </w:tcPr>
          <w:p w14:paraId="3363A4D8" w14:textId="77777777" w:rsidR="00B81FF2" w:rsidRPr="00A01C95" w:rsidRDefault="00B81FF2" w:rsidP="00F6524D">
            <w:pPr>
              <w:rPr>
                <w:rFonts w:cs="Arial"/>
                <w:b/>
              </w:rPr>
            </w:pPr>
          </w:p>
        </w:tc>
        <w:tc>
          <w:tcPr>
            <w:tcW w:w="399" w:type="pct"/>
            <w:shd w:val="clear" w:color="auto" w:fill="B8CCE4" w:themeFill="accent1" w:themeFillTint="66"/>
          </w:tcPr>
          <w:p w14:paraId="10B7C92A" w14:textId="49A09AB0" w:rsidR="00B81FF2" w:rsidRPr="00A01C95" w:rsidRDefault="004A7E90" w:rsidP="00F6524D">
            <w:pPr>
              <w:rPr>
                <w:rFonts w:cs="Arial"/>
                <w:b/>
              </w:rPr>
            </w:pPr>
            <w:r>
              <w:rPr>
                <w:rFonts w:cs="Arial"/>
                <w:b/>
              </w:rPr>
              <w:t>4</w:t>
            </w:r>
            <w:r w:rsidR="00B81FF2">
              <w:rPr>
                <w:rFonts w:cs="Arial"/>
                <w:b/>
              </w:rPr>
              <w:t>0</w:t>
            </w:r>
          </w:p>
        </w:tc>
      </w:tr>
      <w:tr w:rsidR="00B81FF2" w:rsidRPr="00D878BE" w14:paraId="105965C5" w14:textId="77777777" w:rsidTr="00211D3D">
        <w:trPr>
          <w:cantSplit/>
          <w:trHeight w:val="394"/>
        </w:trPr>
        <w:tc>
          <w:tcPr>
            <w:tcW w:w="362" w:type="pct"/>
            <w:shd w:val="clear" w:color="auto" w:fill="auto"/>
          </w:tcPr>
          <w:p w14:paraId="0A5DEA7F" w14:textId="77777777" w:rsidR="00B81FF2" w:rsidRPr="00A01C95" w:rsidRDefault="00B81FF2" w:rsidP="00211D3D">
            <w:pPr>
              <w:jc w:val="center"/>
              <w:rPr>
                <w:rFonts w:cs="Arial"/>
              </w:rPr>
            </w:pPr>
            <w:r w:rsidRPr="00A01C95">
              <w:rPr>
                <w:rFonts w:cs="Arial"/>
              </w:rPr>
              <w:t>2.1</w:t>
            </w:r>
          </w:p>
        </w:tc>
        <w:tc>
          <w:tcPr>
            <w:tcW w:w="3246" w:type="pct"/>
          </w:tcPr>
          <w:p w14:paraId="2F3ADE7E" w14:textId="676F3F85" w:rsidR="00B81FF2" w:rsidRPr="004A7E90" w:rsidRDefault="00655042" w:rsidP="004A7E90">
            <w:pPr>
              <w:pStyle w:val="ListParagraph"/>
              <w:numPr>
                <w:ilvl w:val="0"/>
                <w:numId w:val="9"/>
              </w:numPr>
              <w:rPr>
                <w:rFonts w:cs="Arial"/>
              </w:rPr>
            </w:pPr>
            <w:r>
              <w:t xml:space="preserve">Detailed and current </w:t>
            </w:r>
            <w:r w:rsidR="00211D3D">
              <w:t>CVs</w:t>
            </w:r>
            <w:r>
              <w:t xml:space="preserve"> of key personnel (minimum 2 personnel) that will be assigned to the project, including defined roles and responsibilities. The CVs must include registrations with SAICA/SAIPA/ACCA/SAIT membership (with the project head being a CA (SA)), details of expertise and experience related to understanding the function and operations of public entities and exposure to Grant Funding accounting, involvement in audits. The </w:t>
            </w:r>
            <w:r w:rsidR="00211D3D">
              <w:t>CVs</w:t>
            </w:r>
            <w:r>
              <w:t xml:space="preserve"> should be supported with proof of qualifications.</w:t>
            </w:r>
          </w:p>
          <w:p w14:paraId="4ED4261A" w14:textId="77777777" w:rsidR="004A7E90" w:rsidRDefault="004A7E90" w:rsidP="004A7E90">
            <w:pPr>
              <w:autoSpaceDE w:val="0"/>
              <w:autoSpaceDN w:val="0"/>
              <w:adjustRightInd w:val="0"/>
              <w:rPr>
                <w:rFonts w:cs="Arial"/>
                <w:b/>
                <w:bCs/>
                <w:color w:val="000000"/>
                <w:lang w:eastAsia="ja-JP"/>
              </w:rPr>
            </w:pPr>
          </w:p>
          <w:p w14:paraId="5DD1C229" w14:textId="4297A650" w:rsidR="004A7E90" w:rsidRPr="00CE5C1E" w:rsidRDefault="004A7E90" w:rsidP="004A7E90">
            <w:pPr>
              <w:autoSpaceDE w:val="0"/>
              <w:autoSpaceDN w:val="0"/>
              <w:adjustRightInd w:val="0"/>
              <w:rPr>
                <w:rFonts w:asciiTheme="minorHAnsi" w:hAnsiTheme="minorHAnsi" w:cs="Arial"/>
                <w:b/>
                <w:bCs/>
                <w:color w:val="000000"/>
                <w:lang w:eastAsia="ja-JP"/>
              </w:rPr>
            </w:pPr>
            <w:r w:rsidRPr="00CE5C1E">
              <w:rPr>
                <w:rFonts w:cs="Arial"/>
                <w:b/>
                <w:bCs/>
                <w:color w:val="000000"/>
                <w:lang w:eastAsia="ja-JP"/>
              </w:rPr>
              <w:t>Project Lead must have 10 years’ experience in the industry (C.V must be attached)</w:t>
            </w:r>
          </w:p>
          <w:p w14:paraId="5312956E" w14:textId="77777777" w:rsidR="004A7E90" w:rsidRPr="00CE5C1E" w:rsidRDefault="004A7E90" w:rsidP="004A7E90">
            <w:pPr>
              <w:keepNext/>
              <w:keepLines/>
              <w:widowControl w:val="0"/>
              <w:autoSpaceDE w:val="0"/>
              <w:autoSpaceDN w:val="0"/>
              <w:adjustRightInd w:val="0"/>
              <w:contextualSpacing/>
              <w:rPr>
                <w:rFonts w:cs="Arial"/>
                <w:b/>
                <w:bCs/>
                <w:color w:val="000000"/>
                <w:lang w:eastAsia="ja-JP"/>
              </w:rPr>
            </w:pPr>
            <w:r w:rsidRPr="00CE5C1E">
              <w:rPr>
                <w:rFonts w:cs="Arial"/>
                <w:b/>
                <w:bCs/>
                <w:color w:val="000000"/>
                <w:lang w:eastAsia="ja-JP"/>
              </w:rPr>
              <w:t>Project Lead</w:t>
            </w:r>
          </w:p>
          <w:p w14:paraId="0AFB8471" w14:textId="3BC68185" w:rsidR="004A7E90" w:rsidRPr="00CE5C1E" w:rsidRDefault="004A7E90" w:rsidP="004A7E90">
            <w:pPr>
              <w:pStyle w:val="ListParagraph"/>
              <w:keepNext/>
              <w:keepLines/>
              <w:widowControl w:val="0"/>
              <w:numPr>
                <w:ilvl w:val="0"/>
                <w:numId w:val="9"/>
              </w:numPr>
              <w:autoSpaceDE w:val="0"/>
              <w:autoSpaceDN w:val="0"/>
              <w:adjustRightInd w:val="0"/>
              <w:jc w:val="left"/>
              <w:rPr>
                <w:rFonts w:cs="Arial"/>
                <w:color w:val="000000"/>
                <w:lang w:eastAsia="ja-JP"/>
              </w:rPr>
            </w:pPr>
            <w:r w:rsidRPr="00CE5C1E">
              <w:rPr>
                <w:rFonts w:cs="Arial"/>
                <w:color w:val="000000"/>
                <w:lang w:eastAsia="ja-JP"/>
              </w:rPr>
              <w:t xml:space="preserve">Less than 5 years of experience </w:t>
            </w:r>
            <w:r w:rsidRPr="00CE5C1E">
              <w:rPr>
                <w:rFonts w:cs="Arial"/>
                <w:color w:val="000000"/>
                <w:lang w:eastAsia="ja-JP"/>
              </w:rPr>
              <w:tab/>
            </w:r>
            <w:r w:rsidRPr="00CE5C1E">
              <w:rPr>
                <w:rFonts w:cs="Arial"/>
                <w:color w:val="000000"/>
                <w:lang w:eastAsia="ja-JP"/>
              </w:rPr>
              <w:sym w:font="Wingdings" w:char="F0E0"/>
            </w:r>
            <w:r w:rsidRPr="00CE5C1E">
              <w:rPr>
                <w:rFonts w:cs="Arial"/>
                <w:color w:val="000000"/>
                <w:lang w:eastAsia="ja-JP"/>
              </w:rPr>
              <w:t xml:space="preserve"> 0 points </w:t>
            </w:r>
          </w:p>
          <w:p w14:paraId="6E14909B" w14:textId="77777777" w:rsidR="004A7E90" w:rsidRPr="00CE5C1E" w:rsidRDefault="004A7E90" w:rsidP="004A7E90">
            <w:pPr>
              <w:pStyle w:val="ListParagraph"/>
              <w:keepNext/>
              <w:keepLines/>
              <w:widowControl w:val="0"/>
              <w:numPr>
                <w:ilvl w:val="0"/>
                <w:numId w:val="9"/>
              </w:numPr>
              <w:autoSpaceDE w:val="0"/>
              <w:autoSpaceDN w:val="0"/>
              <w:adjustRightInd w:val="0"/>
              <w:jc w:val="left"/>
              <w:rPr>
                <w:rFonts w:cs="Arial"/>
                <w:color w:val="000000"/>
                <w:lang w:eastAsia="ja-JP"/>
              </w:rPr>
            </w:pPr>
            <w:r w:rsidRPr="00CE5C1E">
              <w:rPr>
                <w:rFonts w:cs="Arial"/>
                <w:color w:val="000000"/>
                <w:lang w:eastAsia="ja-JP"/>
              </w:rPr>
              <w:t xml:space="preserve">Between 5 and 10 years of experience </w:t>
            </w:r>
            <w:r w:rsidRPr="00CE5C1E">
              <w:rPr>
                <w:rFonts w:cs="Arial"/>
                <w:color w:val="000000"/>
                <w:lang w:eastAsia="ja-JP"/>
              </w:rPr>
              <w:tab/>
            </w:r>
            <w:r w:rsidRPr="00CE5C1E">
              <w:rPr>
                <w:rFonts w:cs="Arial"/>
                <w:color w:val="000000"/>
                <w:lang w:eastAsia="ja-JP"/>
              </w:rPr>
              <w:sym w:font="Wingdings" w:char="F0E0"/>
            </w:r>
            <w:r w:rsidRPr="00CE5C1E">
              <w:rPr>
                <w:rFonts w:cs="Arial"/>
                <w:color w:val="000000"/>
                <w:lang w:eastAsia="ja-JP"/>
              </w:rPr>
              <w:t xml:space="preserve"> 10 points </w:t>
            </w:r>
          </w:p>
          <w:p w14:paraId="21DA9AD0" w14:textId="4963AF7F" w:rsidR="004A7E90" w:rsidRPr="008C2D58" w:rsidRDefault="004A7E90" w:rsidP="004A7E90">
            <w:pPr>
              <w:pStyle w:val="ListParagraph"/>
              <w:numPr>
                <w:ilvl w:val="0"/>
                <w:numId w:val="9"/>
              </w:numPr>
              <w:rPr>
                <w:rFonts w:cs="Arial"/>
              </w:rPr>
            </w:pPr>
            <w:r w:rsidRPr="00CE5C1E">
              <w:rPr>
                <w:rFonts w:cs="Arial"/>
                <w:color w:val="000000"/>
                <w:lang w:eastAsia="ja-JP"/>
              </w:rPr>
              <w:t xml:space="preserve">More than 10 years of experience </w:t>
            </w:r>
            <w:r w:rsidRPr="00CE5C1E">
              <w:rPr>
                <w:rFonts w:cs="Arial"/>
                <w:color w:val="000000"/>
                <w:lang w:eastAsia="ja-JP"/>
              </w:rPr>
              <w:tab/>
            </w:r>
            <w:r w:rsidRPr="00CE5C1E">
              <w:rPr>
                <w:rFonts w:cs="Arial"/>
                <w:color w:val="000000"/>
                <w:lang w:eastAsia="ja-JP"/>
              </w:rPr>
              <w:sym w:font="Wingdings" w:char="F0E0"/>
            </w:r>
            <w:r w:rsidRPr="00CE5C1E">
              <w:rPr>
                <w:rFonts w:cs="Arial"/>
                <w:color w:val="000000"/>
                <w:lang w:eastAsia="ja-JP"/>
              </w:rPr>
              <w:t xml:space="preserve"> 20 points  </w:t>
            </w:r>
          </w:p>
        </w:tc>
        <w:tc>
          <w:tcPr>
            <w:tcW w:w="992" w:type="pct"/>
          </w:tcPr>
          <w:p w14:paraId="5A71E591" w14:textId="4ECD2B6E" w:rsidR="00B81FF2" w:rsidRPr="00A01C95" w:rsidRDefault="00ED37A4" w:rsidP="00F6524D">
            <w:pPr>
              <w:rPr>
                <w:rFonts w:cs="Arial"/>
              </w:rPr>
            </w:pPr>
            <w:r>
              <w:rPr>
                <w:rFonts w:cs="Arial"/>
              </w:rPr>
              <w:t>CV of project lead</w:t>
            </w:r>
          </w:p>
        </w:tc>
        <w:tc>
          <w:tcPr>
            <w:tcW w:w="399" w:type="pct"/>
          </w:tcPr>
          <w:p w14:paraId="5E80DADE" w14:textId="5A3BAB9E" w:rsidR="00B81FF2" w:rsidRPr="00A01C95" w:rsidRDefault="00B81FF2" w:rsidP="00F6524D">
            <w:pPr>
              <w:rPr>
                <w:rFonts w:cs="Arial"/>
              </w:rPr>
            </w:pPr>
          </w:p>
        </w:tc>
      </w:tr>
      <w:tr w:rsidR="004A7E90" w:rsidRPr="00D878BE" w14:paraId="601CE284" w14:textId="77777777" w:rsidTr="00211D3D">
        <w:trPr>
          <w:cantSplit/>
          <w:trHeight w:val="318"/>
        </w:trPr>
        <w:tc>
          <w:tcPr>
            <w:tcW w:w="362" w:type="pct"/>
          </w:tcPr>
          <w:p w14:paraId="6C3B0BDD" w14:textId="34C775B9" w:rsidR="004A7E90" w:rsidRPr="00A01C95" w:rsidRDefault="00E7186F" w:rsidP="00E7186F">
            <w:pPr>
              <w:jc w:val="center"/>
              <w:rPr>
                <w:rFonts w:cs="Arial"/>
              </w:rPr>
            </w:pPr>
            <w:r w:rsidRPr="00A01C95">
              <w:rPr>
                <w:rFonts w:cs="Arial"/>
              </w:rPr>
              <w:t>2.</w:t>
            </w:r>
            <w:r>
              <w:rPr>
                <w:rFonts w:cs="Arial"/>
              </w:rPr>
              <w:t>2</w:t>
            </w:r>
          </w:p>
        </w:tc>
        <w:tc>
          <w:tcPr>
            <w:tcW w:w="3246" w:type="pct"/>
            <w:vAlign w:val="center"/>
          </w:tcPr>
          <w:p w14:paraId="699827F4" w14:textId="77777777" w:rsidR="004A7E90" w:rsidRPr="00CE5C1E" w:rsidRDefault="004A7E90" w:rsidP="004A7E90">
            <w:pPr>
              <w:autoSpaceDE w:val="0"/>
              <w:autoSpaceDN w:val="0"/>
              <w:adjustRightInd w:val="0"/>
              <w:rPr>
                <w:rFonts w:asciiTheme="minorHAnsi" w:hAnsiTheme="minorHAnsi" w:cs="Arial"/>
                <w:b/>
                <w:bCs/>
                <w:color w:val="000000"/>
                <w:lang w:eastAsia="ja-JP"/>
              </w:rPr>
            </w:pPr>
            <w:r w:rsidRPr="00CE5C1E">
              <w:rPr>
                <w:rFonts w:cs="Arial"/>
                <w:b/>
                <w:bCs/>
                <w:color w:val="000000"/>
                <w:lang w:eastAsia="ja-JP"/>
              </w:rPr>
              <w:t>Profile of other resources</w:t>
            </w:r>
          </w:p>
          <w:p w14:paraId="0D41BD45" w14:textId="77777777" w:rsidR="004A7E90" w:rsidRPr="00CE5C1E" w:rsidRDefault="004A7E90" w:rsidP="004A7E90">
            <w:pPr>
              <w:keepNext/>
              <w:keepLines/>
              <w:widowControl w:val="0"/>
              <w:numPr>
                <w:ilvl w:val="0"/>
                <w:numId w:val="21"/>
              </w:numPr>
              <w:autoSpaceDE w:val="0"/>
              <w:autoSpaceDN w:val="0"/>
              <w:adjustRightInd w:val="0"/>
              <w:ind w:left="306" w:hanging="306"/>
              <w:contextualSpacing/>
              <w:jc w:val="left"/>
              <w:rPr>
                <w:rFonts w:cs="Arial"/>
                <w:color w:val="000000"/>
                <w:lang w:eastAsia="ja-JP"/>
              </w:rPr>
            </w:pPr>
            <w:r w:rsidRPr="00CE5C1E">
              <w:rPr>
                <w:rFonts w:cs="Arial"/>
                <w:color w:val="000000"/>
                <w:lang w:eastAsia="ja-JP"/>
              </w:rPr>
              <w:t xml:space="preserve">1-year experience </w:t>
            </w:r>
            <w:r w:rsidRPr="00CE5C1E">
              <w:rPr>
                <w:rFonts w:cs="Arial"/>
                <w:color w:val="000000"/>
                <w:lang w:eastAsia="ja-JP"/>
              </w:rPr>
              <w:tab/>
            </w:r>
            <w:r w:rsidRPr="00CE5C1E">
              <w:rPr>
                <w:rFonts w:cs="Arial"/>
                <w:color w:val="000000"/>
                <w:lang w:eastAsia="ja-JP"/>
              </w:rPr>
              <w:tab/>
            </w:r>
            <w:r w:rsidRPr="00CE5C1E">
              <w:rPr>
                <w:rFonts w:cs="Arial"/>
                <w:color w:val="000000"/>
                <w:lang w:eastAsia="ja-JP"/>
              </w:rPr>
              <w:tab/>
            </w:r>
            <w:r w:rsidRPr="00CE5C1E">
              <w:rPr>
                <w:rFonts w:cs="Arial"/>
                <w:color w:val="000000"/>
                <w:lang w:eastAsia="ja-JP"/>
              </w:rPr>
              <w:tab/>
            </w:r>
            <w:r w:rsidRPr="00CE5C1E">
              <w:rPr>
                <w:rFonts w:cs="Arial"/>
                <w:color w:val="000000"/>
                <w:lang w:eastAsia="ja-JP"/>
              </w:rPr>
              <w:sym w:font="Wingdings" w:char="F0E0"/>
            </w:r>
            <w:r w:rsidRPr="00CE5C1E">
              <w:rPr>
                <w:rFonts w:cs="Arial"/>
                <w:color w:val="000000"/>
                <w:lang w:eastAsia="ja-JP"/>
              </w:rPr>
              <w:t xml:space="preserve"> 0 points</w:t>
            </w:r>
          </w:p>
          <w:p w14:paraId="2E06BCAF" w14:textId="6B07E8B7" w:rsidR="004A7E90" w:rsidRPr="00CE5C1E" w:rsidRDefault="004A7E90" w:rsidP="004A7E90">
            <w:pPr>
              <w:keepNext/>
              <w:keepLines/>
              <w:widowControl w:val="0"/>
              <w:numPr>
                <w:ilvl w:val="0"/>
                <w:numId w:val="21"/>
              </w:numPr>
              <w:autoSpaceDE w:val="0"/>
              <w:autoSpaceDN w:val="0"/>
              <w:adjustRightInd w:val="0"/>
              <w:ind w:left="306" w:hanging="306"/>
              <w:contextualSpacing/>
              <w:jc w:val="left"/>
              <w:rPr>
                <w:rFonts w:cs="Arial"/>
                <w:color w:val="000000"/>
                <w:lang w:eastAsia="ja-JP"/>
              </w:rPr>
            </w:pPr>
            <w:r w:rsidRPr="00CE5C1E">
              <w:rPr>
                <w:rFonts w:cs="Arial"/>
                <w:color w:val="000000"/>
                <w:lang w:eastAsia="ja-JP"/>
              </w:rPr>
              <w:t xml:space="preserve">2 to 3 years’ experience </w:t>
            </w:r>
            <w:r w:rsidRPr="00CE5C1E">
              <w:rPr>
                <w:rFonts w:cs="Arial"/>
                <w:color w:val="000000"/>
                <w:lang w:eastAsia="ja-JP"/>
              </w:rPr>
              <w:tab/>
            </w:r>
            <w:r w:rsidRPr="00CE5C1E">
              <w:rPr>
                <w:rFonts w:cs="Arial"/>
                <w:color w:val="000000"/>
                <w:lang w:eastAsia="ja-JP"/>
              </w:rPr>
              <w:tab/>
              <w:t xml:space="preserve"> </w:t>
            </w:r>
            <w:r w:rsidRPr="00CE5C1E">
              <w:rPr>
                <w:rFonts w:cs="Arial"/>
                <w:color w:val="000000"/>
                <w:lang w:eastAsia="ja-JP"/>
              </w:rPr>
              <w:tab/>
            </w:r>
            <w:r w:rsidRPr="00CE5C1E">
              <w:rPr>
                <w:rFonts w:cs="Arial"/>
                <w:color w:val="000000"/>
                <w:lang w:eastAsia="ja-JP"/>
              </w:rPr>
              <w:sym w:font="Wingdings" w:char="F0E0"/>
            </w:r>
            <w:r w:rsidRPr="00CE5C1E">
              <w:rPr>
                <w:rFonts w:cs="Arial"/>
                <w:color w:val="000000"/>
                <w:lang w:eastAsia="ja-JP"/>
              </w:rPr>
              <w:t xml:space="preserve"> 5 points</w:t>
            </w:r>
          </w:p>
          <w:p w14:paraId="53815D64" w14:textId="2977B4E9" w:rsidR="004A7E90" w:rsidRPr="00CE5C1E" w:rsidRDefault="004A7E90" w:rsidP="004A7E90">
            <w:pPr>
              <w:keepNext/>
              <w:keepLines/>
              <w:widowControl w:val="0"/>
              <w:numPr>
                <w:ilvl w:val="0"/>
                <w:numId w:val="21"/>
              </w:numPr>
              <w:autoSpaceDE w:val="0"/>
              <w:autoSpaceDN w:val="0"/>
              <w:adjustRightInd w:val="0"/>
              <w:ind w:left="306" w:hanging="306"/>
              <w:contextualSpacing/>
              <w:jc w:val="left"/>
              <w:rPr>
                <w:rFonts w:cs="Arial"/>
                <w:color w:val="000000"/>
                <w:lang w:eastAsia="ja-JP"/>
              </w:rPr>
            </w:pPr>
            <w:r w:rsidRPr="00CE5C1E">
              <w:rPr>
                <w:rFonts w:cs="Arial"/>
                <w:color w:val="000000"/>
                <w:lang w:eastAsia="ja-JP"/>
              </w:rPr>
              <w:t xml:space="preserve">4 to 7 years’ experience </w:t>
            </w:r>
            <w:r w:rsidRPr="00CE5C1E">
              <w:rPr>
                <w:rFonts w:cs="Arial"/>
                <w:color w:val="000000"/>
                <w:lang w:eastAsia="ja-JP"/>
              </w:rPr>
              <w:tab/>
            </w:r>
            <w:r w:rsidRPr="00CE5C1E">
              <w:rPr>
                <w:rFonts w:cs="Arial"/>
                <w:color w:val="000000"/>
                <w:lang w:eastAsia="ja-JP"/>
              </w:rPr>
              <w:tab/>
            </w:r>
            <w:r w:rsidRPr="00CE5C1E">
              <w:rPr>
                <w:rFonts w:cs="Arial"/>
                <w:color w:val="000000"/>
                <w:lang w:eastAsia="ja-JP"/>
              </w:rPr>
              <w:tab/>
            </w:r>
            <w:r w:rsidRPr="00CE5C1E">
              <w:rPr>
                <w:rFonts w:cs="Arial"/>
                <w:color w:val="000000"/>
                <w:lang w:eastAsia="ja-JP"/>
              </w:rPr>
              <w:sym w:font="Wingdings" w:char="F0E0"/>
            </w:r>
            <w:r w:rsidRPr="00CE5C1E">
              <w:rPr>
                <w:rFonts w:cs="Arial"/>
                <w:color w:val="000000"/>
                <w:lang w:eastAsia="ja-JP"/>
              </w:rPr>
              <w:t xml:space="preserve"> 10 points</w:t>
            </w:r>
          </w:p>
          <w:p w14:paraId="30431240" w14:textId="24E89AAC" w:rsidR="004A7E90" w:rsidRPr="00A01C95" w:rsidRDefault="004A7E90" w:rsidP="004A7E90">
            <w:pPr>
              <w:rPr>
                <w:rFonts w:cs="Arial"/>
              </w:rPr>
            </w:pPr>
            <w:r w:rsidRPr="00CE5C1E">
              <w:rPr>
                <w:rFonts w:cs="Arial"/>
                <w:color w:val="000000"/>
                <w:lang w:eastAsia="ja-JP"/>
              </w:rPr>
              <w:t xml:space="preserve"> More than 8 years’ experience </w:t>
            </w:r>
            <w:r w:rsidRPr="00CE5C1E">
              <w:rPr>
                <w:rFonts w:cs="Arial"/>
                <w:color w:val="000000"/>
                <w:lang w:eastAsia="ja-JP"/>
              </w:rPr>
              <w:tab/>
            </w:r>
            <w:r w:rsidRPr="00CE5C1E">
              <w:rPr>
                <w:rFonts w:cs="Arial"/>
                <w:color w:val="000000"/>
                <w:lang w:eastAsia="ja-JP"/>
              </w:rPr>
              <w:tab/>
            </w:r>
            <w:r w:rsidRPr="00CE5C1E">
              <w:rPr>
                <w:rFonts w:cs="Arial"/>
                <w:color w:val="000000"/>
                <w:lang w:eastAsia="ja-JP"/>
              </w:rPr>
              <w:tab/>
            </w:r>
            <w:r w:rsidRPr="00CE5C1E">
              <w:rPr>
                <w:rFonts w:cs="Arial"/>
                <w:color w:val="000000"/>
                <w:lang w:eastAsia="ja-JP"/>
              </w:rPr>
              <w:sym w:font="Wingdings" w:char="F0E0"/>
            </w:r>
            <w:r w:rsidRPr="00CE5C1E">
              <w:rPr>
                <w:rFonts w:cs="Arial"/>
                <w:color w:val="000000"/>
                <w:lang w:eastAsia="ja-JP"/>
              </w:rPr>
              <w:t xml:space="preserve"> 20 points</w:t>
            </w:r>
          </w:p>
        </w:tc>
        <w:tc>
          <w:tcPr>
            <w:tcW w:w="992" w:type="pct"/>
          </w:tcPr>
          <w:p w14:paraId="181FE98F" w14:textId="4FB78AAB" w:rsidR="004A7E90" w:rsidRPr="00A01C95" w:rsidRDefault="00ED37A4" w:rsidP="00F6524D">
            <w:pPr>
              <w:rPr>
                <w:rFonts w:cs="Arial"/>
              </w:rPr>
            </w:pPr>
            <w:r>
              <w:rPr>
                <w:rFonts w:cs="Arial"/>
              </w:rPr>
              <w:t>CVs of team</w:t>
            </w:r>
          </w:p>
        </w:tc>
        <w:tc>
          <w:tcPr>
            <w:tcW w:w="399" w:type="pct"/>
            <w:vAlign w:val="center"/>
          </w:tcPr>
          <w:p w14:paraId="1B4FD14B" w14:textId="77777777" w:rsidR="004A7E90" w:rsidRPr="00A01C95" w:rsidRDefault="004A7E90" w:rsidP="00F6524D">
            <w:pPr>
              <w:rPr>
                <w:rFonts w:cs="Arial"/>
              </w:rPr>
            </w:pPr>
          </w:p>
        </w:tc>
      </w:tr>
      <w:tr w:rsidR="00B81FF2" w:rsidRPr="00D878BE" w14:paraId="5A8F7E28" w14:textId="77777777" w:rsidTr="00E7186F">
        <w:trPr>
          <w:cantSplit/>
          <w:trHeight w:val="577"/>
        </w:trPr>
        <w:tc>
          <w:tcPr>
            <w:tcW w:w="362" w:type="pct"/>
          </w:tcPr>
          <w:p w14:paraId="50A1F85A" w14:textId="77777777" w:rsidR="00B81FF2" w:rsidRPr="00A01C95" w:rsidRDefault="00B81FF2" w:rsidP="00F6524D">
            <w:pPr>
              <w:rPr>
                <w:rFonts w:cs="Arial"/>
              </w:rPr>
            </w:pPr>
          </w:p>
        </w:tc>
        <w:tc>
          <w:tcPr>
            <w:tcW w:w="3246" w:type="pct"/>
            <w:vAlign w:val="center"/>
          </w:tcPr>
          <w:p w14:paraId="70C180F7" w14:textId="77777777" w:rsidR="00B81FF2" w:rsidRPr="00A01C95" w:rsidRDefault="00B81FF2" w:rsidP="00F6524D">
            <w:pPr>
              <w:rPr>
                <w:rFonts w:cs="Arial"/>
              </w:rPr>
            </w:pPr>
            <w:r w:rsidRPr="00A01C95">
              <w:rPr>
                <w:rFonts w:cs="Arial"/>
              </w:rPr>
              <w:t>Total</w:t>
            </w:r>
          </w:p>
        </w:tc>
        <w:tc>
          <w:tcPr>
            <w:tcW w:w="992" w:type="pct"/>
          </w:tcPr>
          <w:p w14:paraId="4A7D6FA0" w14:textId="77777777" w:rsidR="00B81FF2" w:rsidRPr="00A01C95" w:rsidRDefault="00B81FF2" w:rsidP="00F6524D">
            <w:pPr>
              <w:rPr>
                <w:rFonts w:cs="Arial"/>
              </w:rPr>
            </w:pPr>
          </w:p>
        </w:tc>
        <w:tc>
          <w:tcPr>
            <w:tcW w:w="399" w:type="pct"/>
            <w:vAlign w:val="center"/>
          </w:tcPr>
          <w:p w14:paraId="49303C8B" w14:textId="77777777" w:rsidR="00B81FF2" w:rsidRPr="00A01C95" w:rsidRDefault="00B81FF2" w:rsidP="00F6524D">
            <w:pPr>
              <w:rPr>
                <w:rFonts w:cs="Arial"/>
                <w:bCs/>
              </w:rPr>
            </w:pPr>
            <w:r w:rsidRPr="00A01C95">
              <w:rPr>
                <w:rFonts w:cs="Arial"/>
              </w:rPr>
              <w:t xml:space="preserve">100 </w:t>
            </w:r>
            <w:r w:rsidRPr="00A01C95">
              <w:rPr>
                <w:rFonts w:cs="Arial"/>
                <w:bCs/>
              </w:rPr>
              <w:t>Points</w:t>
            </w:r>
          </w:p>
        </w:tc>
      </w:tr>
    </w:tbl>
    <w:p w14:paraId="47A14FE1" w14:textId="1050B1F5" w:rsidR="00623BCE" w:rsidRDefault="00623BCE" w:rsidP="00FC1B04">
      <w:pPr>
        <w:keepNext/>
        <w:keepLines/>
        <w:widowControl w:val="0"/>
      </w:pPr>
    </w:p>
    <w:bookmarkEnd w:id="0"/>
    <w:p w14:paraId="70542D73" w14:textId="20B83BEE" w:rsidR="00C02133" w:rsidRDefault="00C02133" w:rsidP="005971AF">
      <w:pPr>
        <w:pStyle w:val="Footer"/>
        <w:tabs>
          <w:tab w:val="clear" w:pos="4153"/>
          <w:tab w:val="clear" w:pos="8306"/>
        </w:tabs>
        <w:rPr>
          <w:rFonts w:ascii="Arial Narrow" w:hAnsi="Arial Narrow"/>
          <w:b/>
          <w:snapToGrid w:val="0"/>
          <w:sz w:val="28"/>
        </w:rPr>
      </w:pPr>
    </w:p>
    <w:p w14:paraId="56DFECDB" w14:textId="1375506F" w:rsidR="003F34AD" w:rsidRDefault="003F34AD" w:rsidP="005971AF">
      <w:pPr>
        <w:pStyle w:val="Footer"/>
        <w:tabs>
          <w:tab w:val="clear" w:pos="4153"/>
          <w:tab w:val="clear" w:pos="8306"/>
        </w:tabs>
        <w:rPr>
          <w:rFonts w:ascii="Arial Narrow" w:hAnsi="Arial Narrow"/>
          <w:b/>
          <w:snapToGrid w:val="0"/>
          <w:sz w:val="28"/>
        </w:rPr>
      </w:pPr>
    </w:p>
    <w:p w14:paraId="169B6E45" w14:textId="63E20C87" w:rsidR="00E7186F" w:rsidRDefault="00E7186F" w:rsidP="005971AF">
      <w:pPr>
        <w:pStyle w:val="Footer"/>
        <w:tabs>
          <w:tab w:val="clear" w:pos="4153"/>
          <w:tab w:val="clear" w:pos="8306"/>
        </w:tabs>
        <w:rPr>
          <w:rFonts w:ascii="Arial Narrow" w:hAnsi="Arial Narrow"/>
          <w:b/>
          <w:snapToGrid w:val="0"/>
          <w:sz w:val="28"/>
        </w:rPr>
      </w:pPr>
    </w:p>
    <w:p w14:paraId="72079179" w14:textId="2764C785" w:rsidR="00E7186F" w:rsidRDefault="00E7186F" w:rsidP="005971AF">
      <w:pPr>
        <w:pStyle w:val="Footer"/>
        <w:tabs>
          <w:tab w:val="clear" w:pos="4153"/>
          <w:tab w:val="clear" w:pos="8306"/>
        </w:tabs>
        <w:rPr>
          <w:rFonts w:ascii="Arial Narrow" w:hAnsi="Arial Narrow"/>
          <w:b/>
          <w:snapToGrid w:val="0"/>
          <w:sz w:val="28"/>
        </w:rPr>
      </w:pPr>
    </w:p>
    <w:p w14:paraId="6046F6D5" w14:textId="1D782817" w:rsidR="00E7186F" w:rsidRDefault="00E7186F" w:rsidP="005971AF">
      <w:pPr>
        <w:pStyle w:val="Footer"/>
        <w:tabs>
          <w:tab w:val="clear" w:pos="4153"/>
          <w:tab w:val="clear" w:pos="8306"/>
        </w:tabs>
        <w:rPr>
          <w:rFonts w:ascii="Arial Narrow" w:hAnsi="Arial Narrow"/>
          <w:b/>
          <w:snapToGrid w:val="0"/>
          <w:sz w:val="28"/>
        </w:rPr>
      </w:pPr>
    </w:p>
    <w:p w14:paraId="25A6C49D" w14:textId="09D16EBD" w:rsidR="00E7186F" w:rsidRDefault="00E7186F" w:rsidP="005971AF">
      <w:pPr>
        <w:pStyle w:val="Footer"/>
        <w:tabs>
          <w:tab w:val="clear" w:pos="4153"/>
          <w:tab w:val="clear" w:pos="8306"/>
        </w:tabs>
        <w:rPr>
          <w:rFonts w:ascii="Arial Narrow" w:hAnsi="Arial Narrow"/>
          <w:b/>
          <w:snapToGrid w:val="0"/>
          <w:sz w:val="28"/>
        </w:rPr>
      </w:pPr>
    </w:p>
    <w:p w14:paraId="429208E0" w14:textId="776B4666" w:rsidR="00E7186F" w:rsidRDefault="00E7186F" w:rsidP="005971AF">
      <w:pPr>
        <w:pStyle w:val="Footer"/>
        <w:tabs>
          <w:tab w:val="clear" w:pos="4153"/>
          <w:tab w:val="clear" w:pos="8306"/>
        </w:tabs>
        <w:rPr>
          <w:rFonts w:ascii="Arial Narrow" w:hAnsi="Arial Narrow"/>
          <w:b/>
          <w:snapToGrid w:val="0"/>
          <w:sz w:val="28"/>
        </w:rPr>
      </w:pPr>
    </w:p>
    <w:p w14:paraId="6978ACC4" w14:textId="5588C2D4" w:rsidR="00E7186F" w:rsidRDefault="00E7186F" w:rsidP="005971AF">
      <w:pPr>
        <w:pStyle w:val="Footer"/>
        <w:tabs>
          <w:tab w:val="clear" w:pos="4153"/>
          <w:tab w:val="clear" w:pos="8306"/>
        </w:tabs>
        <w:rPr>
          <w:rFonts w:ascii="Arial Narrow" w:hAnsi="Arial Narrow"/>
          <w:b/>
          <w:snapToGrid w:val="0"/>
          <w:sz w:val="28"/>
        </w:rPr>
      </w:pPr>
    </w:p>
    <w:p w14:paraId="7AA720DE" w14:textId="78A4ED64" w:rsidR="00E7186F" w:rsidRDefault="00E7186F" w:rsidP="005971AF">
      <w:pPr>
        <w:pStyle w:val="Footer"/>
        <w:tabs>
          <w:tab w:val="clear" w:pos="4153"/>
          <w:tab w:val="clear" w:pos="8306"/>
        </w:tabs>
        <w:rPr>
          <w:rFonts w:ascii="Arial Narrow" w:hAnsi="Arial Narrow"/>
          <w:b/>
          <w:snapToGrid w:val="0"/>
          <w:sz w:val="28"/>
        </w:rPr>
      </w:pPr>
    </w:p>
    <w:p w14:paraId="6A340232" w14:textId="68453584" w:rsidR="00E7186F" w:rsidRDefault="00E7186F" w:rsidP="005971AF">
      <w:pPr>
        <w:pStyle w:val="Footer"/>
        <w:tabs>
          <w:tab w:val="clear" w:pos="4153"/>
          <w:tab w:val="clear" w:pos="8306"/>
        </w:tabs>
        <w:rPr>
          <w:rFonts w:ascii="Arial Narrow" w:hAnsi="Arial Narrow"/>
          <w:b/>
          <w:snapToGrid w:val="0"/>
          <w:sz w:val="28"/>
        </w:rPr>
      </w:pPr>
    </w:p>
    <w:p w14:paraId="422304BC" w14:textId="54797CD5" w:rsidR="00E7186F" w:rsidRDefault="00E7186F" w:rsidP="005971AF">
      <w:pPr>
        <w:pStyle w:val="Footer"/>
        <w:tabs>
          <w:tab w:val="clear" w:pos="4153"/>
          <w:tab w:val="clear" w:pos="8306"/>
        </w:tabs>
        <w:rPr>
          <w:rFonts w:ascii="Arial Narrow" w:hAnsi="Arial Narrow"/>
          <w:b/>
          <w:snapToGrid w:val="0"/>
          <w:sz w:val="28"/>
        </w:rPr>
      </w:pPr>
    </w:p>
    <w:p w14:paraId="53B6DDBB" w14:textId="29652D6B" w:rsidR="00E7186F" w:rsidRDefault="00E7186F" w:rsidP="005971AF">
      <w:pPr>
        <w:pStyle w:val="Footer"/>
        <w:tabs>
          <w:tab w:val="clear" w:pos="4153"/>
          <w:tab w:val="clear" w:pos="8306"/>
        </w:tabs>
        <w:rPr>
          <w:rFonts w:ascii="Arial Narrow" w:hAnsi="Arial Narrow"/>
          <w:b/>
          <w:snapToGrid w:val="0"/>
          <w:sz w:val="28"/>
        </w:rPr>
      </w:pPr>
    </w:p>
    <w:p w14:paraId="298C3D96" w14:textId="0423638F" w:rsidR="00E7186F" w:rsidRDefault="00E7186F" w:rsidP="005971AF">
      <w:pPr>
        <w:pStyle w:val="Footer"/>
        <w:tabs>
          <w:tab w:val="clear" w:pos="4153"/>
          <w:tab w:val="clear" w:pos="8306"/>
        </w:tabs>
        <w:rPr>
          <w:rFonts w:ascii="Arial Narrow" w:hAnsi="Arial Narrow"/>
          <w:b/>
          <w:snapToGrid w:val="0"/>
          <w:sz w:val="28"/>
        </w:rPr>
      </w:pPr>
    </w:p>
    <w:p w14:paraId="5CAF240A" w14:textId="77777777" w:rsidR="00E7186F" w:rsidRDefault="00E7186F" w:rsidP="005971AF">
      <w:pPr>
        <w:pStyle w:val="Footer"/>
        <w:tabs>
          <w:tab w:val="clear" w:pos="4153"/>
          <w:tab w:val="clear" w:pos="8306"/>
        </w:tabs>
        <w:rPr>
          <w:rFonts w:ascii="Arial Narrow" w:hAnsi="Arial Narrow"/>
          <w:b/>
          <w:snapToGrid w:val="0"/>
          <w:sz w:val="28"/>
        </w:rPr>
      </w:pPr>
    </w:p>
    <w:p w14:paraId="073B6AA4" w14:textId="5BEAB718" w:rsidR="005971AF" w:rsidRPr="005971AF" w:rsidRDefault="005971AF" w:rsidP="005971AF">
      <w:pPr>
        <w:pStyle w:val="Footer"/>
        <w:rPr>
          <w:rFonts w:ascii="Arial Narrow" w:hAnsi="Arial Narrow"/>
          <w:b/>
          <w:bCs/>
          <w:snapToGrid w:val="0"/>
          <w:sz w:val="28"/>
        </w:rPr>
      </w:pPr>
      <w:r w:rsidRPr="005971AF">
        <w:rPr>
          <w:rFonts w:ascii="Arial Narrow" w:hAnsi="Arial Narrow"/>
          <w:b/>
          <w:bCs/>
          <w:snapToGrid w:val="0"/>
          <w:sz w:val="28"/>
        </w:rPr>
        <w:t xml:space="preserve">PRICING </w:t>
      </w:r>
    </w:p>
    <w:p w14:paraId="6C66567F" w14:textId="77777777" w:rsidR="00211D3D" w:rsidRDefault="00211D3D" w:rsidP="005971AF">
      <w:pPr>
        <w:pStyle w:val="Footer"/>
        <w:rPr>
          <w:rFonts w:ascii="Arial Narrow" w:hAnsi="Arial Narrow"/>
          <w:b/>
          <w:bCs/>
          <w:snapToGrid w:val="0"/>
          <w:sz w:val="28"/>
          <w:lang w:val="en-ZA"/>
        </w:rPr>
      </w:pPr>
    </w:p>
    <w:p w14:paraId="0D76C862" w14:textId="38DF5FAE" w:rsidR="005971AF" w:rsidRPr="005971AF" w:rsidRDefault="005971AF" w:rsidP="005971AF">
      <w:pPr>
        <w:pStyle w:val="Footer"/>
        <w:rPr>
          <w:rFonts w:ascii="Arial Narrow" w:hAnsi="Arial Narrow"/>
          <w:b/>
          <w:bCs/>
          <w:snapToGrid w:val="0"/>
          <w:sz w:val="28"/>
          <w:lang w:val="en-ZA"/>
        </w:rPr>
      </w:pPr>
      <w:r w:rsidRPr="005971AF">
        <w:rPr>
          <w:rFonts w:ascii="Arial Narrow" w:hAnsi="Arial Narrow"/>
          <w:b/>
          <w:bCs/>
          <w:snapToGrid w:val="0"/>
          <w:sz w:val="28"/>
          <w:lang w:val="en-ZA"/>
        </w:rPr>
        <w:t xml:space="preserve">Price List </w:t>
      </w:r>
    </w:p>
    <w:tbl>
      <w:tblPr>
        <w:tblW w:w="5000" w:type="pct"/>
        <w:tblLook w:val="04A0" w:firstRow="1" w:lastRow="0" w:firstColumn="1" w:lastColumn="0" w:noHBand="0" w:noVBand="1"/>
      </w:tblPr>
      <w:tblGrid>
        <w:gridCol w:w="5135"/>
        <w:gridCol w:w="5135"/>
        <w:gridCol w:w="5132"/>
      </w:tblGrid>
      <w:tr w:rsidR="00D752AA" w:rsidRPr="00D752AA" w14:paraId="33586F3F" w14:textId="77777777" w:rsidTr="00E7186F">
        <w:trPr>
          <w:trHeight w:val="372"/>
        </w:trPr>
        <w:tc>
          <w:tcPr>
            <w:tcW w:w="166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AA60FB"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Description</w:t>
            </w:r>
          </w:p>
        </w:tc>
        <w:tc>
          <w:tcPr>
            <w:tcW w:w="1667" w:type="pct"/>
            <w:tcBorders>
              <w:top w:val="single" w:sz="4" w:space="0" w:color="auto"/>
              <w:left w:val="nil"/>
              <w:bottom w:val="single" w:sz="4" w:space="0" w:color="auto"/>
              <w:right w:val="single" w:sz="4" w:space="0" w:color="auto"/>
            </w:tcBorders>
            <w:shd w:val="clear" w:color="000000" w:fill="F2F2F2"/>
            <w:noWrap/>
            <w:vAlign w:val="center"/>
            <w:hideMark/>
          </w:tcPr>
          <w:p w14:paraId="6B576C9A"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Rate</w:t>
            </w:r>
          </w:p>
        </w:tc>
        <w:tc>
          <w:tcPr>
            <w:tcW w:w="1666" w:type="pct"/>
            <w:tcBorders>
              <w:top w:val="single" w:sz="4" w:space="0" w:color="auto"/>
              <w:left w:val="nil"/>
              <w:bottom w:val="single" w:sz="4" w:space="0" w:color="auto"/>
              <w:right w:val="single" w:sz="4" w:space="0" w:color="auto"/>
            </w:tcBorders>
            <w:shd w:val="clear" w:color="000000" w:fill="F2F2F2"/>
            <w:vAlign w:val="center"/>
            <w:hideMark/>
          </w:tcPr>
          <w:p w14:paraId="13EE2D9C"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Month total</w:t>
            </w:r>
          </w:p>
        </w:tc>
      </w:tr>
      <w:tr w:rsidR="00D752AA" w:rsidRPr="00D752AA" w14:paraId="20C7430E" w14:textId="77777777" w:rsidTr="00E7186F">
        <w:trPr>
          <w:trHeight w:val="346"/>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62B098DB"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rPr>
              <w:t> </w:t>
            </w:r>
          </w:p>
        </w:tc>
        <w:tc>
          <w:tcPr>
            <w:tcW w:w="1667" w:type="pct"/>
            <w:tcBorders>
              <w:top w:val="nil"/>
              <w:left w:val="nil"/>
              <w:bottom w:val="single" w:sz="4" w:space="0" w:color="auto"/>
              <w:right w:val="single" w:sz="4" w:space="0" w:color="auto"/>
            </w:tcBorders>
            <w:shd w:val="clear" w:color="auto" w:fill="auto"/>
            <w:noWrap/>
            <w:vAlign w:val="center"/>
            <w:hideMark/>
          </w:tcPr>
          <w:p w14:paraId="2BE4E2A6"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lang w:val="en-ZA"/>
              </w:rPr>
              <w:t> </w:t>
            </w:r>
          </w:p>
        </w:tc>
        <w:tc>
          <w:tcPr>
            <w:tcW w:w="1666" w:type="pct"/>
            <w:tcBorders>
              <w:top w:val="nil"/>
              <w:left w:val="nil"/>
              <w:bottom w:val="single" w:sz="4" w:space="0" w:color="auto"/>
              <w:right w:val="single" w:sz="4" w:space="0" w:color="auto"/>
            </w:tcBorders>
            <w:shd w:val="clear" w:color="auto" w:fill="auto"/>
            <w:vAlign w:val="center"/>
            <w:hideMark/>
          </w:tcPr>
          <w:p w14:paraId="06D7D306"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 </w:t>
            </w:r>
          </w:p>
        </w:tc>
      </w:tr>
      <w:tr w:rsidR="00D752AA" w:rsidRPr="00D752AA" w14:paraId="0B1E9BAA" w14:textId="77777777" w:rsidTr="00E7186F">
        <w:trPr>
          <w:trHeight w:val="346"/>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17643A91"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rPr>
              <w:t> </w:t>
            </w:r>
          </w:p>
        </w:tc>
        <w:tc>
          <w:tcPr>
            <w:tcW w:w="1667" w:type="pct"/>
            <w:tcBorders>
              <w:top w:val="nil"/>
              <w:left w:val="nil"/>
              <w:bottom w:val="single" w:sz="4" w:space="0" w:color="auto"/>
              <w:right w:val="single" w:sz="4" w:space="0" w:color="auto"/>
            </w:tcBorders>
            <w:shd w:val="clear" w:color="auto" w:fill="auto"/>
            <w:noWrap/>
            <w:vAlign w:val="center"/>
            <w:hideMark/>
          </w:tcPr>
          <w:p w14:paraId="7B279547"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lang w:val="en-ZA"/>
              </w:rPr>
              <w:t> </w:t>
            </w:r>
          </w:p>
        </w:tc>
        <w:tc>
          <w:tcPr>
            <w:tcW w:w="1666" w:type="pct"/>
            <w:tcBorders>
              <w:top w:val="nil"/>
              <w:left w:val="nil"/>
              <w:bottom w:val="single" w:sz="4" w:space="0" w:color="auto"/>
              <w:right w:val="single" w:sz="4" w:space="0" w:color="auto"/>
            </w:tcBorders>
            <w:shd w:val="clear" w:color="auto" w:fill="auto"/>
            <w:vAlign w:val="center"/>
            <w:hideMark/>
          </w:tcPr>
          <w:p w14:paraId="3896C55F"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 </w:t>
            </w:r>
          </w:p>
        </w:tc>
      </w:tr>
      <w:tr w:rsidR="00D752AA" w:rsidRPr="00D752AA" w14:paraId="07ECE79D" w14:textId="77777777" w:rsidTr="00E7186F">
        <w:trPr>
          <w:trHeight w:val="346"/>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30468D8B"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rPr>
              <w:t> </w:t>
            </w:r>
          </w:p>
        </w:tc>
        <w:tc>
          <w:tcPr>
            <w:tcW w:w="1667" w:type="pct"/>
            <w:tcBorders>
              <w:top w:val="nil"/>
              <w:left w:val="nil"/>
              <w:bottom w:val="single" w:sz="4" w:space="0" w:color="auto"/>
              <w:right w:val="single" w:sz="4" w:space="0" w:color="auto"/>
            </w:tcBorders>
            <w:shd w:val="clear" w:color="auto" w:fill="auto"/>
            <w:noWrap/>
            <w:vAlign w:val="center"/>
            <w:hideMark/>
          </w:tcPr>
          <w:p w14:paraId="1DB0DD99"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lang w:val="en-ZA"/>
              </w:rPr>
              <w:t> </w:t>
            </w:r>
          </w:p>
        </w:tc>
        <w:tc>
          <w:tcPr>
            <w:tcW w:w="1666" w:type="pct"/>
            <w:tcBorders>
              <w:top w:val="nil"/>
              <w:left w:val="nil"/>
              <w:bottom w:val="single" w:sz="4" w:space="0" w:color="auto"/>
              <w:right w:val="single" w:sz="4" w:space="0" w:color="auto"/>
            </w:tcBorders>
            <w:shd w:val="clear" w:color="auto" w:fill="auto"/>
            <w:vAlign w:val="center"/>
            <w:hideMark/>
          </w:tcPr>
          <w:p w14:paraId="2531F0BA"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 </w:t>
            </w:r>
          </w:p>
        </w:tc>
      </w:tr>
      <w:tr w:rsidR="00D752AA" w:rsidRPr="00D752AA" w14:paraId="0533EB92" w14:textId="77777777" w:rsidTr="00E7186F">
        <w:trPr>
          <w:trHeight w:val="346"/>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267E35EC"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rPr>
              <w:t> </w:t>
            </w:r>
          </w:p>
        </w:tc>
        <w:tc>
          <w:tcPr>
            <w:tcW w:w="1667" w:type="pct"/>
            <w:tcBorders>
              <w:top w:val="nil"/>
              <w:left w:val="nil"/>
              <w:bottom w:val="single" w:sz="4" w:space="0" w:color="auto"/>
              <w:right w:val="single" w:sz="4" w:space="0" w:color="auto"/>
            </w:tcBorders>
            <w:shd w:val="clear" w:color="auto" w:fill="auto"/>
            <w:noWrap/>
            <w:vAlign w:val="center"/>
            <w:hideMark/>
          </w:tcPr>
          <w:p w14:paraId="52E767F0"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lang w:val="en-ZA"/>
              </w:rPr>
              <w:t> </w:t>
            </w:r>
          </w:p>
        </w:tc>
        <w:tc>
          <w:tcPr>
            <w:tcW w:w="1666" w:type="pct"/>
            <w:tcBorders>
              <w:top w:val="nil"/>
              <w:left w:val="nil"/>
              <w:bottom w:val="single" w:sz="4" w:space="0" w:color="auto"/>
              <w:right w:val="single" w:sz="4" w:space="0" w:color="auto"/>
            </w:tcBorders>
            <w:shd w:val="clear" w:color="auto" w:fill="auto"/>
            <w:vAlign w:val="center"/>
            <w:hideMark/>
          </w:tcPr>
          <w:p w14:paraId="128B4DCA"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 </w:t>
            </w:r>
          </w:p>
        </w:tc>
      </w:tr>
      <w:tr w:rsidR="00D752AA" w:rsidRPr="00D752AA" w14:paraId="62C59C4F" w14:textId="77777777" w:rsidTr="00E7186F">
        <w:trPr>
          <w:trHeight w:val="346"/>
        </w:trPr>
        <w:tc>
          <w:tcPr>
            <w:tcW w:w="1667" w:type="pct"/>
            <w:tcBorders>
              <w:top w:val="nil"/>
              <w:left w:val="single" w:sz="4" w:space="0" w:color="auto"/>
              <w:bottom w:val="single" w:sz="4" w:space="0" w:color="auto"/>
              <w:right w:val="nil"/>
            </w:tcBorders>
            <w:shd w:val="clear" w:color="auto" w:fill="auto"/>
            <w:noWrap/>
            <w:vAlign w:val="center"/>
            <w:hideMark/>
          </w:tcPr>
          <w:p w14:paraId="33E0E175"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rPr>
              <w:t> </w:t>
            </w:r>
          </w:p>
        </w:tc>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55361FCB"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lang w:val="en-ZA"/>
              </w:rPr>
              <w:t> </w:t>
            </w:r>
          </w:p>
        </w:tc>
        <w:tc>
          <w:tcPr>
            <w:tcW w:w="1666" w:type="pct"/>
            <w:tcBorders>
              <w:top w:val="nil"/>
              <w:left w:val="nil"/>
              <w:bottom w:val="single" w:sz="4" w:space="0" w:color="auto"/>
              <w:right w:val="single" w:sz="4" w:space="0" w:color="auto"/>
            </w:tcBorders>
            <w:shd w:val="clear" w:color="auto" w:fill="auto"/>
            <w:vAlign w:val="center"/>
            <w:hideMark/>
          </w:tcPr>
          <w:p w14:paraId="186E83DE"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 </w:t>
            </w:r>
          </w:p>
        </w:tc>
      </w:tr>
      <w:tr w:rsidR="00D752AA" w:rsidRPr="00D752AA" w14:paraId="42C818C4" w14:textId="77777777" w:rsidTr="00E7186F">
        <w:trPr>
          <w:trHeight w:val="346"/>
        </w:trPr>
        <w:tc>
          <w:tcPr>
            <w:tcW w:w="1667" w:type="pct"/>
            <w:tcBorders>
              <w:top w:val="nil"/>
              <w:left w:val="nil"/>
              <w:bottom w:val="nil"/>
              <w:right w:val="nil"/>
            </w:tcBorders>
            <w:shd w:val="clear" w:color="000000" w:fill="FFFFFF"/>
            <w:noWrap/>
            <w:vAlign w:val="center"/>
            <w:hideMark/>
          </w:tcPr>
          <w:p w14:paraId="520A7989"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lang w:val="en-US"/>
              </w:rPr>
              <w:t> </w:t>
            </w:r>
          </w:p>
        </w:tc>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6E559C1"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Sub Total</w:t>
            </w:r>
          </w:p>
        </w:tc>
        <w:tc>
          <w:tcPr>
            <w:tcW w:w="1666" w:type="pct"/>
            <w:tcBorders>
              <w:top w:val="nil"/>
              <w:left w:val="nil"/>
              <w:bottom w:val="single" w:sz="4" w:space="0" w:color="auto"/>
              <w:right w:val="single" w:sz="4" w:space="0" w:color="auto"/>
            </w:tcBorders>
            <w:shd w:val="clear" w:color="auto" w:fill="auto"/>
            <w:vAlign w:val="center"/>
            <w:hideMark/>
          </w:tcPr>
          <w:p w14:paraId="57B12AE9"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 </w:t>
            </w:r>
          </w:p>
        </w:tc>
      </w:tr>
      <w:tr w:rsidR="00D752AA" w:rsidRPr="00D752AA" w14:paraId="1F0AC3F8" w14:textId="77777777" w:rsidTr="00E7186F">
        <w:trPr>
          <w:trHeight w:val="346"/>
        </w:trPr>
        <w:tc>
          <w:tcPr>
            <w:tcW w:w="1667" w:type="pct"/>
            <w:tcBorders>
              <w:top w:val="nil"/>
              <w:left w:val="nil"/>
              <w:bottom w:val="nil"/>
              <w:right w:val="nil"/>
            </w:tcBorders>
            <w:shd w:val="clear" w:color="000000" w:fill="FFFFFF"/>
            <w:noWrap/>
            <w:vAlign w:val="center"/>
            <w:hideMark/>
          </w:tcPr>
          <w:p w14:paraId="116AF52B" w14:textId="77777777" w:rsidR="00D752AA" w:rsidRPr="00D752AA" w:rsidRDefault="00D752AA" w:rsidP="00D752AA">
            <w:pPr>
              <w:rPr>
                <w:rFonts w:ascii="Calibri" w:hAnsi="Calibri" w:cs="Calibri"/>
                <w:color w:val="000000"/>
                <w:sz w:val="22"/>
                <w:szCs w:val="22"/>
                <w:lang w:val="en-US"/>
              </w:rPr>
            </w:pPr>
            <w:r w:rsidRPr="00D752AA">
              <w:rPr>
                <w:rFonts w:ascii="Calibri" w:hAnsi="Calibri" w:cs="Calibri"/>
                <w:color w:val="000000"/>
                <w:sz w:val="22"/>
                <w:szCs w:val="22"/>
                <w:lang w:val="en-US"/>
              </w:rPr>
              <w:t> </w:t>
            </w:r>
          </w:p>
        </w:tc>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F4C1D8E"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Total (Including vat)</w:t>
            </w:r>
          </w:p>
        </w:tc>
        <w:tc>
          <w:tcPr>
            <w:tcW w:w="1666" w:type="pct"/>
            <w:tcBorders>
              <w:top w:val="nil"/>
              <w:left w:val="nil"/>
              <w:bottom w:val="single" w:sz="4" w:space="0" w:color="auto"/>
              <w:right w:val="single" w:sz="4" w:space="0" w:color="auto"/>
            </w:tcBorders>
            <w:shd w:val="clear" w:color="auto" w:fill="auto"/>
            <w:vAlign w:val="center"/>
            <w:hideMark/>
          </w:tcPr>
          <w:p w14:paraId="3616AD7F" w14:textId="77777777" w:rsidR="00D752AA" w:rsidRPr="00D752AA" w:rsidRDefault="00D752AA" w:rsidP="00D752AA">
            <w:pPr>
              <w:rPr>
                <w:rFonts w:ascii="Calibri" w:hAnsi="Calibri" w:cs="Calibri"/>
                <w:b/>
                <w:bCs/>
                <w:color w:val="000000"/>
                <w:sz w:val="22"/>
                <w:szCs w:val="22"/>
                <w:lang w:val="en-US"/>
              </w:rPr>
            </w:pPr>
            <w:r w:rsidRPr="00D752AA">
              <w:rPr>
                <w:rFonts w:ascii="Calibri" w:hAnsi="Calibri" w:cs="Calibri"/>
                <w:b/>
                <w:bCs/>
                <w:color w:val="000000"/>
                <w:sz w:val="22"/>
                <w:szCs w:val="22"/>
                <w:lang w:val="en-ZA"/>
              </w:rPr>
              <w:t> </w:t>
            </w:r>
          </w:p>
        </w:tc>
      </w:tr>
    </w:tbl>
    <w:p w14:paraId="36002BA6" w14:textId="7DBB6A94" w:rsidR="005971AF" w:rsidRDefault="005971AF" w:rsidP="005971AF">
      <w:pPr>
        <w:pStyle w:val="Footer"/>
        <w:tabs>
          <w:tab w:val="clear" w:pos="4153"/>
          <w:tab w:val="clear" w:pos="8306"/>
        </w:tabs>
        <w:rPr>
          <w:rFonts w:ascii="Arial Narrow" w:hAnsi="Arial Narrow"/>
          <w:b/>
          <w:snapToGrid w:val="0"/>
          <w:sz w:val="28"/>
        </w:rPr>
      </w:pPr>
    </w:p>
    <w:p w14:paraId="19F4AEFF" w14:textId="5AEA3098" w:rsidR="0067084D" w:rsidRDefault="0067084D" w:rsidP="005971AF">
      <w:pPr>
        <w:pStyle w:val="Footer"/>
        <w:tabs>
          <w:tab w:val="clear" w:pos="4153"/>
          <w:tab w:val="clear" w:pos="8306"/>
        </w:tabs>
        <w:rPr>
          <w:rFonts w:ascii="Arial Narrow" w:hAnsi="Arial Narrow"/>
          <w:b/>
          <w:snapToGrid w:val="0"/>
          <w:sz w:val="28"/>
        </w:rPr>
      </w:pPr>
    </w:p>
    <w:p w14:paraId="65572DC1" w14:textId="5C832C96" w:rsidR="0067084D" w:rsidRDefault="0067084D" w:rsidP="005971AF">
      <w:pPr>
        <w:pStyle w:val="Footer"/>
        <w:tabs>
          <w:tab w:val="clear" w:pos="4153"/>
          <w:tab w:val="clear" w:pos="8306"/>
        </w:tabs>
        <w:rPr>
          <w:rFonts w:ascii="Arial Narrow" w:hAnsi="Arial Narrow"/>
          <w:b/>
          <w:snapToGrid w:val="0"/>
          <w:sz w:val="28"/>
        </w:rPr>
      </w:pPr>
    </w:p>
    <w:p w14:paraId="4A9A44D5" w14:textId="46066B39" w:rsidR="0067084D" w:rsidRDefault="0067084D" w:rsidP="005971AF">
      <w:pPr>
        <w:pStyle w:val="Footer"/>
        <w:tabs>
          <w:tab w:val="clear" w:pos="4153"/>
          <w:tab w:val="clear" w:pos="8306"/>
        </w:tabs>
        <w:rPr>
          <w:rFonts w:ascii="Arial Narrow" w:hAnsi="Arial Narrow"/>
          <w:b/>
          <w:snapToGrid w:val="0"/>
          <w:sz w:val="28"/>
        </w:rPr>
      </w:pPr>
    </w:p>
    <w:p w14:paraId="7F4C5081" w14:textId="77777777" w:rsidR="00E7186F" w:rsidRDefault="00E7186F" w:rsidP="005971AF">
      <w:pPr>
        <w:pStyle w:val="Footer"/>
        <w:tabs>
          <w:tab w:val="clear" w:pos="4153"/>
          <w:tab w:val="clear" w:pos="8306"/>
        </w:tabs>
        <w:rPr>
          <w:rFonts w:ascii="Arial Narrow" w:hAnsi="Arial Narrow"/>
          <w:b/>
          <w:snapToGrid w:val="0"/>
          <w:sz w:val="28"/>
        </w:rPr>
      </w:pPr>
    </w:p>
    <w:p w14:paraId="765A9386" w14:textId="72DA396E" w:rsidR="0067084D" w:rsidRDefault="00B40DA9" w:rsidP="005971AF">
      <w:pPr>
        <w:pStyle w:val="Footer"/>
        <w:tabs>
          <w:tab w:val="clear" w:pos="4153"/>
          <w:tab w:val="clear" w:pos="8306"/>
        </w:tabs>
        <w:rPr>
          <w:rFonts w:ascii="Arial Narrow" w:hAnsi="Arial Narrow"/>
          <w:b/>
          <w:snapToGrid w:val="0"/>
          <w:sz w:val="28"/>
        </w:rPr>
      </w:pPr>
      <w:r>
        <w:rPr>
          <w:rFonts w:ascii="Arial Narrow" w:hAnsi="Arial Narrow"/>
          <w:b/>
          <w:snapToGrid w:val="0"/>
          <w:sz w:val="28"/>
        </w:rPr>
        <w:t>BID SPECIFICATION EVALUATION COMMITTEE (BSEC)</w:t>
      </w:r>
    </w:p>
    <w:p w14:paraId="38DA2CD1" w14:textId="24F63182" w:rsidR="00B40DA9" w:rsidRDefault="00B40DA9" w:rsidP="005971AF">
      <w:pPr>
        <w:pStyle w:val="Footer"/>
        <w:tabs>
          <w:tab w:val="clear" w:pos="4153"/>
          <w:tab w:val="clear" w:pos="8306"/>
        </w:tabs>
        <w:rPr>
          <w:rFonts w:ascii="Arial Narrow" w:hAnsi="Arial Narrow"/>
          <w:b/>
          <w:snapToGrid w:val="0"/>
          <w:sz w:val="28"/>
        </w:rPr>
      </w:pPr>
    </w:p>
    <w:tbl>
      <w:tblPr>
        <w:tblStyle w:val="TableGrid"/>
        <w:tblW w:w="5000" w:type="pct"/>
        <w:tblLook w:val="04A0" w:firstRow="1" w:lastRow="0" w:firstColumn="1" w:lastColumn="0" w:noHBand="0" w:noVBand="1"/>
      </w:tblPr>
      <w:tblGrid>
        <w:gridCol w:w="4839"/>
        <w:gridCol w:w="6318"/>
        <w:gridCol w:w="4245"/>
      </w:tblGrid>
      <w:tr w:rsidR="00874081" w:rsidRPr="003D1896" w14:paraId="440CAACF" w14:textId="77777777" w:rsidTr="00E7186F">
        <w:trPr>
          <w:trHeight w:val="320"/>
        </w:trPr>
        <w:tc>
          <w:tcPr>
            <w:tcW w:w="1571" w:type="pct"/>
          </w:tcPr>
          <w:p w14:paraId="08E625C6" w14:textId="77777777" w:rsidR="00154625" w:rsidRDefault="00154625" w:rsidP="00F95BCE">
            <w:pPr>
              <w:rPr>
                <w:b/>
                <w:lang w:val="en-US"/>
              </w:rPr>
            </w:pPr>
          </w:p>
          <w:p w14:paraId="6FF0826D" w14:textId="1A855A4E" w:rsidR="00874081" w:rsidRPr="003D1896" w:rsidRDefault="00874081" w:rsidP="00F95BCE">
            <w:pPr>
              <w:rPr>
                <w:b/>
                <w:lang w:val="en-US"/>
              </w:rPr>
            </w:pPr>
            <w:r w:rsidRPr="003D1896">
              <w:rPr>
                <w:b/>
                <w:lang w:val="en-US"/>
              </w:rPr>
              <w:t>BSEC Members</w:t>
            </w:r>
          </w:p>
        </w:tc>
        <w:tc>
          <w:tcPr>
            <w:tcW w:w="2051" w:type="pct"/>
          </w:tcPr>
          <w:p w14:paraId="5F838EF3" w14:textId="77777777" w:rsidR="00154625" w:rsidRDefault="00154625" w:rsidP="00F95BCE">
            <w:pPr>
              <w:rPr>
                <w:b/>
                <w:lang w:val="en-US"/>
              </w:rPr>
            </w:pPr>
          </w:p>
          <w:p w14:paraId="78C87A71" w14:textId="23E9E85A" w:rsidR="00874081" w:rsidRPr="003D1896" w:rsidRDefault="00874081" w:rsidP="00F95BCE">
            <w:pPr>
              <w:rPr>
                <w:b/>
                <w:lang w:val="en-US"/>
              </w:rPr>
            </w:pPr>
            <w:r w:rsidRPr="003D1896">
              <w:rPr>
                <w:b/>
                <w:lang w:val="en-US"/>
              </w:rPr>
              <w:t xml:space="preserve">Department </w:t>
            </w:r>
          </w:p>
        </w:tc>
        <w:tc>
          <w:tcPr>
            <w:tcW w:w="1378" w:type="pct"/>
          </w:tcPr>
          <w:p w14:paraId="5C38222E" w14:textId="77777777" w:rsidR="00154625" w:rsidRDefault="00154625" w:rsidP="00F95BCE">
            <w:pPr>
              <w:rPr>
                <w:b/>
                <w:lang w:val="en-US"/>
              </w:rPr>
            </w:pPr>
          </w:p>
          <w:p w14:paraId="3E0E4227" w14:textId="550FDA57" w:rsidR="00874081" w:rsidRPr="003D1896" w:rsidRDefault="00874081" w:rsidP="00F95BCE">
            <w:pPr>
              <w:rPr>
                <w:b/>
                <w:lang w:val="en-US"/>
              </w:rPr>
            </w:pPr>
            <w:r w:rsidRPr="003D1896">
              <w:rPr>
                <w:b/>
                <w:lang w:val="en-US"/>
              </w:rPr>
              <w:t>Signature</w:t>
            </w:r>
          </w:p>
        </w:tc>
      </w:tr>
      <w:tr w:rsidR="00874081" w:rsidRPr="003D1896" w14:paraId="0F14146E" w14:textId="77777777" w:rsidTr="00E7186F">
        <w:trPr>
          <w:trHeight w:val="320"/>
        </w:trPr>
        <w:tc>
          <w:tcPr>
            <w:tcW w:w="1571" w:type="pct"/>
          </w:tcPr>
          <w:p w14:paraId="35019C78" w14:textId="7CFF8D12" w:rsidR="00874081" w:rsidRPr="003D1896" w:rsidRDefault="00874081" w:rsidP="00F95BCE">
            <w:pPr>
              <w:rPr>
                <w:lang w:val="en-US"/>
              </w:rPr>
            </w:pPr>
          </w:p>
        </w:tc>
        <w:tc>
          <w:tcPr>
            <w:tcW w:w="2051" w:type="pct"/>
          </w:tcPr>
          <w:p w14:paraId="19DC7632" w14:textId="193763E2" w:rsidR="00874081" w:rsidRPr="003D1896" w:rsidRDefault="00874081" w:rsidP="00F95BCE">
            <w:pPr>
              <w:rPr>
                <w:lang w:val="en-US"/>
              </w:rPr>
            </w:pPr>
          </w:p>
        </w:tc>
        <w:tc>
          <w:tcPr>
            <w:tcW w:w="1378" w:type="pct"/>
          </w:tcPr>
          <w:p w14:paraId="39AF2465" w14:textId="77777777" w:rsidR="00874081" w:rsidRPr="003D1896" w:rsidRDefault="00874081" w:rsidP="00F95BCE">
            <w:pPr>
              <w:rPr>
                <w:lang w:val="en-US"/>
              </w:rPr>
            </w:pPr>
          </w:p>
        </w:tc>
      </w:tr>
      <w:tr w:rsidR="00874081" w:rsidRPr="003D1896" w14:paraId="700844EA" w14:textId="77777777" w:rsidTr="00E7186F">
        <w:trPr>
          <w:trHeight w:val="320"/>
        </w:trPr>
        <w:tc>
          <w:tcPr>
            <w:tcW w:w="1571" w:type="pct"/>
          </w:tcPr>
          <w:p w14:paraId="10607C5B" w14:textId="4538DEAB" w:rsidR="00874081" w:rsidRPr="003D1896" w:rsidRDefault="00874081" w:rsidP="00F95BCE">
            <w:pPr>
              <w:rPr>
                <w:lang w:val="en-US"/>
              </w:rPr>
            </w:pPr>
          </w:p>
        </w:tc>
        <w:tc>
          <w:tcPr>
            <w:tcW w:w="2051" w:type="pct"/>
          </w:tcPr>
          <w:p w14:paraId="608F71F8" w14:textId="72D3DFAD" w:rsidR="00874081" w:rsidRPr="003D1896" w:rsidRDefault="00874081" w:rsidP="00F95BCE">
            <w:pPr>
              <w:rPr>
                <w:lang w:val="en-US"/>
              </w:rPr>
            </w:pPr>
          </w:p>
        </w:tc>
        <w:tc>
          <w:tcPr>
            <w:tcW w:w="1378" w:type="pct"/>
          </w:tcPr>
          <w:p w14:paraId="7A1418CC" w14:textId="77777777" w:rsidR="00874081" w:rsidRPr="003D1896" w:rsidRDefault="00874081" w:rsidP="00F95BCE">
            <w:pPr>
              <w:rPr>
                <w:lang w:val="en-US"/>
              </w:rPr>
            </w:pPr>
          </w:p>
        </w:tc>
      </w:tr>
      <w:tr w:rsidR="00874081" w:rsidRPr="003D1896" w14:paraId="73555189" w14:textId="77777777" w:rsidTr="00E7186F">
        <w:trPr>
          <w:trHeight w:val="320"/>
        </w:trPr>
        <w:tc>
          <w:tcPr>
            <w:tcW w:w="1571" w:type="pct"/>
          </w:tcPr>
          <w:p w14:paraId="0848BA20" w14:textId="23A88952" w:rsidR="00874081" w:rsidRPr="003D1896" w:rsidRDefault="00874081" w:rsidP="00F95BCE">
            <w:pPr>
              <w:rPr>
                <w:lang w:val="en-US"/>
              </w:rPr>
            </w:pPr>
          </w:p>
        </w:tc>
        <w:tc>
          <w:tcPr>
            <w:tcW w:w="2051" w:type="pct"/>
          </w:tcPr>
          <w:p w14:paraId="69190D81" w14:textId="31C31279" w:rsidR="00874081" w:rsidRPr="003D1896" w:rsidRDefault="00874081" w:rsidP="00F95BCE">
            <w:pPr>
              <w:rPr>
                <w:lang w:val="en-US"/>
              </w:rPr>
            </w:pPr>
          </w:p>
        </w:tc>
        <w:tc>
          <w:tcPr>
            <w:tcW w:w="1378" w:type="pct"/>
          </w:tcPr>
          <w:p w14:paraId="0127EA54" w14:textId="77777777" w:rsidR="00874081" w:rsidRPr="003D1896" w:rsidRDefault="00874081" w:rsidP="00F95BCE">
            <w:pPr>
              <w:rPr>
                <w:lang w:val="en-US"/>
              </w:rPr>
            </w:pPr>
          </w:p>
        </w:tc>
      </w:tr>
      <w:tr w:rsidR="00874081" w:rsidRPr="003D1896" w14:paraId="2A247F89" w14:textId="77777777" w:rsidTr="00E7186F">
        <w:trPr>
          <w:trHeight w:val="320"/>
        </w:trPr>
        <w:tc>
          <w:tcPr>
            <w:tcW w:w="1571" w:type="pct"/>
          </w:tcPr>
          <w:p w14:paraId="2B25D761" w14:textId="4E0EA6E8" w:rsidR="00874081" w:rsidRPr="003D1896" w:rsidRDefault="00874081" w:rsidP="00F95BCE">
            <w:pPr>
              <w:rPr>
                <w:lang w:val="en-US"/>
              </w:rPr>
            </w:pPr>
          </w:p>
        </w:tc>
        <w:tc>
          <w:tcPr>
            <w:tcW w:w="2051" w:type="pct"/>
          </w:tcPr>
          <w:p w14:paraId="65C464C0" w14:textId="13A8CEB5" w:rsidR="00874081" w:rsidRPr="003D1896" w:rsidRDefault="00874081" w:rsidP="00F95BCE">
            <w:pPr>
              <w:rPr>
                <w:lang w:val="en-US"/>
              </w:rPr>
            </w:pPr>
          </w:p>
        </w:tc>
        <w:tc>
          <w:tcPr>
            <w:tcW w:w="1378" w:type="pct"/>
          </w:tcPr>
          <w:p w14:paraId="3A5A02A6" w14:textId="77777777" w:rsidR="00874081" w:rsidRPr="003D1896" w:rsidRDefault="00874081" w:rsidP="00F95BCE">
            <w:pPr>
              <w:rPr>
                <w:lang w:val="en-US"/>
              </w:rPr>
            </w:pPr>
          </w:p>
        </w:tc>
      </w:tr>
      <w:tr w:rsidR="00874081" w:rsidRPr="003D1896" w14:paraId="3171E3FE" w14:textId="77777777" w:rsidTr="00E7186F">
        <w:trPr>
          <w:trHeight w:val="320"/>
        </w:trPr>
        <w:tc>
          <w:tcPr>
            <w:tcW w:w="1571" w:type="pct"/>
          </w:tcPr>
          <w:p w14:paraId="553D6D74" w14:textId="01C62897" w:rsidR="00874081" w:rsidRPr="003D1896" w:rsidRDefault="00874081" w:rsidP="00F95BCE">
            <w:pPr>
              <w:rPr>
                <w:lang w:val="en-US"/>
              </w:rPr>
            </w:pPr>
          </w:p>
        </w:tc>
        <w:tc>
          <w:tcPr>
            <w:tcW w:w="2051" w:type="pct"/>
          </w:tcPr>
          <w:p w14:paraId="309CEE4F" w14:textId="2325F21E" w:rsidR="00874081" w:rsidRPr="003D1896" w:rsidRDefault="00874081" w:rsidP="00F95BCE">
            <w:pPr>
              <w:rPr>
                <w:lang w:val="en-US"/>
              </w:rPr>
            </w:pPr>
          </w:p>
        </w:tc>
        <w:tc>
          <w:tcPr>
            <w:tcW w:w="1378" w:type="pct"/>
          </w:tcPr>
          <w:p w14:paraId="0F6F0726" w14:textId="77777777" w:rsidR="00874081" w:rsidRPr="003D1896" w:rsidRDefault="00874081" w:rsidP="00F95BCE">
            <w:pPr>
              <w:rPr>
                <w:lang w:val="en-US"/>
              </w:rPr>
            </w:pPr>
          </w:p>
        </w:tc>
      </w:tr>
      <w:tr w:rsidR="00D752AA" w:rsidRPr="003D1896" w14:paraId="2268628A" w14:textId="77777777" w:rsidTr="00E7186F">
        <w:trPr>
          <w:trHeight w:val="320"/>
        </w:trPr>
        <w:tc>
          <w:tcPr>
            <w:tcW w:w="1571" w:type="pct"/>
          </w:tcPr>
          <w:p w14:paraId="68F8C20A" w14:textId="77777777" w:rsidR="00D752AA" w:rsidRPr="003D1896" w:rsidRDefault="00D752AA" w:rsidP="00F95BCE">
            <w:pPr>
              <w:rPr>
                <w:lang w:val="en-US"/>
              </w:rPr>
            </w:pPr>
          </w:p>
        </w:tc>
        <w:tc>
          <w:tcPr>
            <w:tcW w:w="2051" w:type="pct"/>
          </w:tcPr>
          <w:p w14:paraId="2A38DC9D" w14:textId="77777777" w:rsidR="00D752AA" w:rsidRPr="003D1896" w:rsidRDefault="00D752AA" w:rsidP="00F95BCE">
            <w:pPr>
              <w:rPr>
                <w:lang w:val="en-US"/>
              </w:rPr>
            </w:pPr>
          </w:p>
        </w:tc>
        <w:tc>
          <w:tcPr>
            <w:tcW w:w="1378" w:type="pct"/>
          </w:tcPr>
          <w:p w14:paraId="62744AD9" w14:textId="77777777" w:rsidR="00D752AA" w:rsidRPr="003D1896" w:rsidRDefault="00D752AA" w:rsidP="00F95BCE">
            <w:pPr>
              <w:rPr>
                <w:lang w:val="en-US"/>
              </w:rPr>
            </w:pPr>
          </w:p>
        </w:tc>
      </w:tr>
      <w:tr w:rsidR="00874081" w:rsidRPr="003D1896" w14:paraId="03FF58D7" w14:textId="77777777" w:rsidTr="00E7186F">
        <w:trPr>
          <w:trHeight w:val="320"/>
        </w:trPr>
        <w:tc>
          <w:tcPr>
            <w:tcW w:w="1571" w:type="pct"/>
          </w:tcPr>
          <w:p w14:paraId="79446109" w14:textId="3FC9206E" w:rsidR="00874081" w:rsidRPr="003D1896" w:rsidRDefault="00874081" w:rsidP="00F95BCE">
            <w:pPr>
              <w:rPr>
                <w:lang w:val="en-US"/>
              </w:rPr>
            </w:pPr>
          </w:p>
        </w:tc>
        <w:tc>
          <w:tcPr>
            <w:tcW w:w="2051" w:type="pct"/>
          </w:tcPr>
          <w:p w14:paraId="4F4B8756" w14:textId="2A0FEB78" w:rsidR="00874081" w:rsidRPr="003D1896" w:rsidRDefault="00874081" w:rsidP="00F95BCE">
            <w:pPr>
              <w:rPr>
                <w:lang w:val="en-US"/>
              </w:rPr>
            </w:pPr>
          </w:p>
        </w:tc>
        <w:tc>
          <w:tcPr>
            <w:tcW w:w="1378" w:type="pct"/>
          </w:tcPr>
          <w:p w14:paraId="1F93CBD4" w14:textId="77777777" w:rsidR="00874081" w:rsidRPr="003D1896" w:rsidRDefault="00874081" w:rsidP="00F95BCE">
            <w:pPr>
              <w:rPr>
                <w:lang w:val="en-US"/>
              </w:rPr>
            </w:pPr>
          </w:p>
        </w:tc>
      </w:tr>
    </w:tbl>
    <w:p w14:paraId="13D60B11" w14:textId="77777777" w:rsidR="00B40DA9" w:rsidRDefault="00B40DA9" w:rsidP="005971AF">
      <w:pPr>
        <w:pStyle w:val="Footer"/>
        <w:tabs>
          <w:tab w:val="clear" w:pos="4153"/>
          <w:tab w:val="clear" w:pos="8306"/>
        </w:tabs>
        <w:rPr>
          <w:rFonts w:ascii="Arial Narrow" w:hAnsi="Arial Narrow"/>
          <w:b/>
          <w:snapToGrid w:val="0"/>
          <w:sz w:val="28"/>
        </w:rPr>
      </w:pPr>
    </w:p>
    <w:sectPr w:rsidR="00B40DA9" w:rsidSect="00941D5A">
      <w:headerReference w:type="default" r:id="rId7"/>
      <w:footerReference w:type="default" r:id="rId8"/>
      <w:pgSz w:w="16838" w:h="11906" w:orient="landscape" w:code="9"/>
      <w:pgMar w:top="907" w:right="864" w:bottom="922" w:left="562" w:header="360"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33CA" w14:textId="77777777" w:rsidR="00A155DB" w:rsidRDefault="00A155DB">
      <w:r>
        <w:separator/>
      </w:r>
    </w:p>
  </w:endnote>
  <w:endnote w:type="continuationSeparator" w:id="0">
    <w:p w14:paraId="1E9B48F5" w14:textId="77777777" w:rsidR="00A155DB" w:rsidRDefault="00A1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MS Gothic"/>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198A" w14:textId="77777777" w:rsidR="00A5646E" w:rsidRDefault="00A5646E" w:rsidP="00EB1865">
    <w:pPr>
      <w:pStyle w:val="Footer"/>
      <w:tabs>
        <w:tab w:val="clear" w:pos="4153"/>
        <w:tab w:val="clear" w:pos="8306"/>
        <w:tab w:val="center" w:pos="4860"/>
        <w:tab w:val="right" w:pos="10080"/>
      </w:tabs>
      <w:rPr>
        <w:rFonts w:cs="Arial"/>
        <w:bCs/>
        <w:snapToGrid w:val="0"/>
        <w:sz w:val="16"/>
        <w:szCs w:val="16"/>
      </w:rPr>
    </w:pPr>
    <w:r>
      <w:rPr>
        <w:rFonts w:cs="Arial"/>
        <w:bCs/>
        <w:snapToGrid w:val="0"/>
        <w:sz w:val="16"/>
        <w:szCs w:val="16"/>
      </w:rPr>
      <w:t xml:space="preserve">Page </w:t>
    </w:r>
    <w:r>
      <w:rPr>
        <w:rFonts w:cs="Arial"/>
        <w:bCs/>
        <w:snapToGrid w:val="0"/>
        <w:sz w:val="16"/>
        <w:szCs w:val="16"/>
      </w:rPr>
      <w:fldChar w:fldCharType="begin"/>
    </w:r>
    <w:r>
      <w:rPr>
        <w:rFonts w:cs="Arial"/>
        <w:bCs/>
        <w:snapToGrid w:val="0"/>
        <w:sz w:val="16"/>
        <w:szCs w:val="16"/>
      </w:rPr>
      <w:instrText xml:space="preserve"> PAGE </w:instrText>
    </w:r>
    <w:r>
      <w:rPr>
        <w:rFonts w:cs="Arial"/>
        <w:bCs/>
        <w:snapToGrid w:val="0"/>
        <w:sz w:val="16"/>
        <w:szCs w:val="16"/>
      </w:rPr>
      <w:fldChar w:fldCharType="separate"/>
    </w:r>
    <w:r w:rsidR="006C7DA4">
      <w:rPr>
        <w:rFonts w:cs="Arial"/>
        <w:bCs/>
        <w:noProof/>
        <w:snapToGrid w:val="0"/>
        <w:sz w:val="16"/>
        <w:szCs w:val="16"/>
      </w:rPr>
      <w:t>5</w:t>
    </w:r>
    <w:r>
      <w:rPr>
        <w:rFonts w:cs="Arial"/>
        <w:bCs/>
        <w:snapToGrid w:val="0"/>
        <w:sz w:val="16"/>
        <w:szCs w:val="16"/>
      </w:rPr>
      <w:fldChar w:fldCharType="end"/>
    </w:r>
    <w:r>
      <w:rPr>
        <w:rFonts w:cs="Arial"/>
        <w:bCs/>
        <w:snapToGrid w:val="0"/>
        <w:sz w:val="16"/>
        <w:szCs w:val="16"/>
      </w:rPr>
      <w:t xml:space="preserve"> of </w:t>
    </w:r>
    <w:r>
      <w:rPr>
        <w:rFonts w:cs="Arial"/>
        <w:bCs/>
        <w:snapToGrid w:val="0"/>
        <w:sz w:val="16"/>
        <w:szCs w:val="16"/>
      </w:rPr>
      <w:fldChar w:fldCharType="begin"/>
    </w:r>
    <w:r>
      <w:rPr>
        <w:rFonts w:cs="Arial"/>
        <w:bCs/>
        <w:snapToGrid w:val="0"/>
        <w:sz w:val="16"/>
        <w:szCs w:val="16"/>
      </w:rPr>
      <w:instrText xml:space="preserve"> NUMPAGES </w:instrText>
    </w:r>
    <w:r>
      <w:rPr>
        <w:rFonts w:cs="Arial"/>
        <w:bCs/>
        <w:snapToGrid w:val="0"/>
        <w:sz w:val="16"/>
        <w:szCs w:val="16"/>
      </w:rPr>
      <w:fldChar w:fldCharType="separate"/>
    </w:r>
    <w:r w:rsidR="006C7DA4">
      <w:rPr>
        <w:rFonts w:cs="Arial"/>
        <w:bCs/>
        <w:noProof/>
        <w:snapToGrid w:val="0"/>
        <w:sz w:val="16"/>
        <w:szCs w:val="16"/>
      </w:rPr>
      <w:t>5</w:t>
    </w:r>
    <w:r>
      <w:rPr>
        <w:rFonts w:cs="Arial"/>
        <w:bCs/>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1D8" w14:textId="77777777" w:rsidR="00A155DB" w:rsidRDefault="00A155DB">
      <w:r>
        <w:separator/>
      </w:r>
    </w:p>
  </w:footnote>
  <w:footnote w:type="continuationSeparator" w:id="0">
    <w:p w14:paraId="7E627566" w14:textId="77777777" w:rsidR="00A155DB" w:rsidRDefault="00A15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93CF" w14:textId="77777777" w:rsidR="00A5646E" w:rsidRDefault="00176292">
    <w:pPr>
      <w:pStyle w:val="Header"/>
    </w:pPr>
    <w:r w:rsidRPr="00176292">
      <w:object w:dxaOrig="9026" w:dyaOrig="1021" w14:anchorId="434E0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0pt">
          <v:imagedata r:id="rId1" o:title=""/>
        </v:shape>
        <o:OLEObject Type="Embed" ProgID="Word.Document.12" ShapeID="_x0000_i1025" DrawAspect="Content" ObjectID="_1695103614"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9CA"/>
    <w:multiLevelType w:val="hybridMultilevel"/>
    <w:tmpl w:val="0E24ECC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 w15:restartNumberingAfterBreak="0">
    <w:nsid w:val="0D4D047E"/>
    <w:multiLevelType w:val="hybridMultilevel"/>
    <w:tmpl w:val="F586A6FA"/>
    <w:lvl w:ilvl="0" w:tplc="04090005">
      <w:start w:val="1"/>
      <w:numFmt w:val="bullet"/>
      <w:lvlText w:val=""/>
      <w:lvlJc w:val="left"/>
      <w:pPr>
        <w:ind w:left="774" w:hanging="360"/>
      </w:pPr>
      <w:rPr>
        <w:rFonts w:ascii="Wingdings" w:hAnsi="Wingdings"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3" w15:restartNumberingAfterBreak="0">
    <w:nsid w:val="1B442CB1"/>
    <w:multiLevelType w:val="hybridMultilevel"/>
    <w:tmpl w:val="68480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CB6826"/>
    <w:multiLevelType w:val="hybridMultilevel"/>
    <w:tmpl w:val="713A5C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5E4C75"/>
    <w:multiLevelType w:val="hybridMultilevel"/>
    <w:tmpl w:val="B88C691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26D50106"/>
    <w:multiLevelType w:val="hybridMultilevel"/>
    <w:tmpl w:val="FF4C982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 w15:restartNumberingAfterBreak="0">
    <w:nsid w:val="49800832"/>
    <w:multiLevelType w:val="hybridMultilevel"/>
    <w:tmpl w:val="2F3697C4"/>
    <w:lvl w:ilvl="0" w:tplc="E2CE993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EC7109"/>
    <w:multiLevelType w:val="hybridMultilevel"/>
    <w:tmpl w:val="2E3E6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81781"/>
    <w:multiLevelType w:val="hybridMultilevel"/>
    <w:tmpl w:val="B48E1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18528F1"/>
    <w:multiLevelType w:val="hybridMultilevel"/>
    <w:tmpl w:val="2CDC3E34"/>
    <w:lvl w:ilvl="0" w:tplc="D0EA4B88">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2A37166"/>
    <w:multiLevelType w:val="hybridMultilevel"/>
    <w:tmpl w:val="50A06C0E"/>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53110B34"/>
    <w:multiLevelType w:val="multilevel"/>
    <w:tmpl w:val="D9E6F68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4F910D8"/>
    <w:multiLevelType w:val="hybridMultilevel"/>
    <w:tmpl w:val="ED4E696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5F4A70E1"/>
    <w:multiLevelType w:val="hybridMultilevel"/>
    <w:tmpl w:val="7464993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62A814E8"/>
    <w:multiLevelType w:val="hybridMultilevel"/>
    <w:tmpl w:val="60A65E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848583C"/>
    <w:multiLevelType w:val="hybridMultilevel"/>
    <w:tmpl w:val="376A4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57624A"/>
    <w:multiLevelType w:val="hybridMultilevel"/>
    <w:tmpl w:val="281A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578F6"/>
    <w:multiLevelType w:val="hybridMultilevel"/>
    <w:tmpl w:val="9FD4FD90"/>
    <w:lvl w:ilvl="0" w:tplc="E410F258">
      <w:start w:val="2"/>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D1D5290"/>
    <w:multiLevelType w:val="hybridMultilevel"/>
    <w:tmpl w:val="3A8A31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6CD5B60"/>
    <w:multiLevelType w:val="multilevel"/>
    <w:tmpl w:val="1C0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7"/>
  </w:num>
  <w:num w:numId="3">
    <w:abstractNumId w:val="15"/>
  </w:num>
  <w:num w:numId="4">
    <w:abstractNumId w:val="10"/>
  </w:num>
  <w:num w:numId="5">
    <w:abstractNumId w:val="9"/>
  </w:num>
  <w:num w:numId="6">
    <w:abstractNumId w:val="6"/>
  </w:num>
  <w:num w:numId="7">
    <w:abstractNumId w:val="1"/>
  </w:num>
  <w:num w:numId="8">
    <w:abstractNumId w:val="18"/>
  </w:num>
  <w:num w:numId="9">
    <w:abstractNumId w:val="19"/>
  </w:num>
  <w:num w:numId="10">
    <w:abstractNumId w:val="5"/>
  </w:num>
  <w:num w:numId="11">
    <w:abstractNumId w:val="13"/>
  </w:num>
  <w:num w:numId="12">
    <w:abstractNumId w:val="0"/>
  </w:num>
  <w:num w:numId="13">
    <w:abstractNumId w:val="8"/>
  </w:num>
  <w:num w:numId="14">
    <w:abstractNumId w:val="3"/>
  </w:num>
  <w:num w:numId="15">
    <w:abstractNumId w:val="16"/>
  </w:num>
  <w:num w:numId="16">
    <w:abstractNumId w:val="11"/>
  </w:num>
  <w:num w:numId="17">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14"/>
  </w:num>
  <w:num w:numId="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C7"/>
    <w:rsid w:val="00004C23"/>
    <w:rsid w:val="000113C2"/>
    <w:rsid w:val="00012351"/>
    <w:rsid w:val="000151F3"/>
    <w:rsid w:val="000153C2"/>
    <w:rsid w:val="000156BE"/>
    <w:rsid w:val="00020F96"/>
    <w:rsid w:val="00021D79"/>
    <w:rsid w:val="00024007"/>
    <w:rsid w:val="00032489"/>
    <w:rsid w:val="000402D6"/>
    <w:rsid w:val="00043EBB"/>
    <w:rsid w:val="00044384"/>
    <w:rsid w:val="0005650F"/>
    <w:rsid w:val="00057580"/>
    <w:rsid w:val="000638F9"/>
    <w:rsid w:val="00071917"/>
    <w:rsid w:val="00072096"/>
    <w:rsid w:val="00075B20"/>
    <w:rsid w:val="0008382E"/>
    <w:rsid w:val="00086A91"/>
    <w:rsid w:val="00092FCD"/>
    <w:rsid w:val="00094A00"/>
    <w:rsid w:val="000972FD"/>
    <w:rsid w:val="000B3FF4"/>
    <w:rsid w:val="000B56C7"/>
    <w:rsid w:val="000B6573"/>
    <w:rsid w:val="000C58EE"/>
    <w:rsid w:val="000D079B"/>
    <w:rsid w:val="000D2787"/>
    <w:rsid w:val="000D736A"/>
    <w:rsid w:val="000E07FA"/>
    <w:rsid w:val="000E4665"/>
    <w:rsid w:val="000F778C"/>
    <w:rsid w:val="000F7FCD"/>
    <w:rsid w:val="00101252"/>
    <w:rsid w:val="00103DEB"/>
    <w:rsid w:val="00116516"/>
    <w:rsid w:val="001222C4"/>
    <w:rsid w:val="00125F0C"/>
    <w:rsid w:val="00131CDF"/>
    <w:rsid w:val="0013615D"/>
    <w:rsid w:val="00136BAE"/>
    <w:rsid w:val="00146D0C"/>
    <w:rsid w:val="00152399"/>
    <w:rsid w:val="00154625"/>
    <w:rsid w:val="0015602A"/>
    <w:rsid w:val="00161BBB"/>
    <w:rsid w:val="001653BD"/>
    <w:rsid w:val="00167843"/>
    <w:rsid w:val="001749E0"/>
    <w:rsid w:val="00176292"/>
    <w:rsid w:val="00176B18"/>
    <w:rsid w:val="0018482C"/>
    <w:rsid w:val="001921E1"/>
    <w:rsid w:val="001A4DA4"/>
    <w:rsid w:val="001B2D0C"/>
    <w:rsid w:val="001B6178"/>
    <w:rsid w:val="001C0148"/>
    <w:rsid w:val="001C12BC"/>
    <w:rsid w:val="001D1ABD"/>
    <w:rsid w:val="001E0405"/>
    <w:rsid w:val="001E0D78"/>
    <w:rsid w:val="001E198B"/>
    <w:rsid w:val="001E3DCC"/>
    <w:rsid w:val="001E6433"/>
    <w:rsid w:val="001F237B"/>
    <w:rsid w:val="001F2AE1"/>
    <w:rsid w:val="001F51CD"/>
    <w:rsid w:val="002110DB"/>
    <w:rsid w:val="00211D3D"/>
    <w:rsid w:val="00220302"/>
    <w:rsid w:val="00223C1F"/>
    <w:rsid w:val="00224C9B"/>
    <w:rsid w:val="002305E6"/>
    <w:rsid w:val="0023096F"/>
    <w:rsid w:val="00232A9E"/>
    <w:rsid w:val="002339B5"/>
    <w:rsid w:val="00235EE7"/>
    <w:rsid w:val="002370F4"/>
    <w:rsid w:val="00240289"/>
    <w:rsid w:val="00245CF3"/>
    <w:rsid w:val="0025660E"/>
    <w:rsid w:val="00275572"/>
    <w:rsid w:val="00285FB5"/>
    <w:rsid w:val="002876BE"/>
    <w:rsid w:val="002905CE"/>
    <w:rsid w:val="002963AB"/>
    <w:rsid w:val="002A6BB2"/>
    <w:rsid w:val="002B2E75"/>
    <w:rsid w:val="002B7E5C"/>
    <w:rsid w:val="002C51A6"/>
    <w:rsid w:val="002C6D04"/>
    <w:rsid w:val="002C7E5B"/>
    <w:rsid w:val="002E2094"/>
    <w:rsid w:val="002E7867"/>
    <w:rsid w:val="002F2AA4"/>
    <w:rsid w:val="00300BAA"/>
    <w:rsid w:val="00301287"/>
    <w:rsid w:val="003025C8"/>
    <w:rsid w:val="00306497"/>
    <w:rsid w:val="00307651"/>
    <w:rsid w:val="003117AB"/>
    <w:rsid w:val="003155D9"/>
    <w:rsid w:val="0032428D"/>
    <w:rsid w:val="00331245"/>
    <w:rsid w:val="0033401F"/>
    <w:rsid w:val="003341D6"/>
    <w:rsid w:val="003372C7"/>
    <w:rsid w:val="003378B7"/>
    <w:rsid w:val="0034190C"/>
    <w:rsid w:val="0034276C"/>
    <w:rsid w:val="00346524"/>
    <w:rsid w:val="00351CEE"/>
    <w:rsid w:val="00352D45"/>
    <w:rsid w:val="00362D68"/>
    <w:rsid w:val="00365507"/>
    <w:rsid w:val="00366748"/>
    <w:rsid w:val="00366852"/>
    <w:rsid w:val="003947E9"/>
    <w:rsid w:val="00397F90"/>
    <w:rsid w:val="003A2D52"/>
    <w:rsid w:val="003B2579"/>
    <w:rsid w:val="003B6FBE"/>
    <w:rsid w:val="003B715D"/>
    <w:rsid w:val="003D4094"/>
    <w:rsid w:val="003D435C"/>
    <w:rsid w:val="003D5801"/>
    <w:rsid w:val="003D7DCE"/>
    <w:rsid w:val="003E1C2D"/>
    <w:rsid w:val="003E1FD8"/>
    <w:rsid w:val="003E7465"/>
    <w:rsid w:val="003F13AF"/>
    <w:rsid w:val="003F2BF9"/>
    <w:rsid w:val="003F3067"/>
    <w:rsid w:val="003F34AD"/>
    <w:rsid w:val="003F4747"/>
    <w:rsid w:val="003F6905"/>
    <w:rsid w:val="00402FCE"/>
    <w:rsid w:val="00411AEB"/>
    <w:rsid w:val="00421D03"/>
    <w:rsid w:val="004267F7"/>
    <w:rsid w:val="00430B8B"/>
    <w:rsid w:val="00430CBF"/>
    <w:rsid w:val="00435993"/>
    <w:rsid w:val="0044014E"/>
    <w:rsid w:val="0044052E"/>
    <w:rsid w:val="00440979"/>
    <w:rsid w:val="004444CD"/>
    <w:rsid w:val="0044460E"/>
    <w:rsid w:val="00445B9D"/>
    <w:rsid w:val="00446E05"/>
    <w:rsid w:val="00450825"/>
    <w:rsid w:val="0045251F"/>
    <w:rsid w:val="004544A6"/>
    <w:rsid w:val="00455E7F"/>
    <w:rsid w:val="004644DA"/>
    <w:rsid w:val="004652E6"/>
    <w:rsid w:val="00466D22"/>
    <w:rsid w:val="0046752F"/>
    <w:rsid w:val="00472EAD"/>
    <w:rsid w:val="00473501"/>
    <w:rsid w:val="00473F38"/>
    <w:rsid w:val="004778F5"/>
    <w:rsid w:val="004805A4"/>
    <w:rsid w:val="00482781"/>
    <w:rsid w:val="00484267"/>
    <w:rsid w:val="00491184"/>
    <w:rsid w:val="00491488"/>
    <w:rsid w:val="004931F2"/>
    <w:rsid w:val="00494CF4"/>
    <w:rsid w:val="00496FF6"/>
    <w:rsid w:val="004A5B50"/>
    <w:rsid w:val="004A7E90"/>
    <w:rsid w:val="004B1DAF"/>
    <w:rsid w:val="004B4829"/>
    <w:rsid w:val="004B4BFD"/>
    <w:rsid w:val="004C13CA"/>
    <w:rsid w:val="004D08DB"/>
    <w:rsid w:val="004D0BD2"/>
    <w:rsid w:val="004E215C"/>
    <w:rsid w:val="004F361A"/>
    <w:rsid w:val="004F3FD8"/>
    <w:rsid w:val="005015C7"/>
    <w:rsid w:val="0050418F"/>
    <w:rsid w:val="005113E1"/>
    <w:rsid w:val="00515793"/>
    <w:rsid w:val="00517A1C"/>
    <w:rsid w:val="00524C76"/>
    <w:rsid w:val="00525A10"/>
    <w:rsid w:val="005309B7"/>
    <w:rsid w:val="00532375"/>
    <w:rsid w:val="00547434"/>
    <w:rsid w:val="00554CA5"/>
    <w:rsid w:val="00556490"/>
    <w:rsid w:val="00560D6A"/>
    <w:rsid w:val="00561540"/>
    <w:rsid w:val="00561FAB"/>
    <w:rsid w:val="00563C93"/>
    <w:rsid w:val="005641E4"/>
    <w:rsid w:val="00564243"/>
    <w:rsid w:val="00571C77"/>
    <w:rsid w:val="005748C1"/>
    <w:rsid w:val="0057670E"/>
    <w:rsid w:val="005839AD"/>
    <w:rsid w:val="005867E3"/>
    <w:rsid w:val="005958D0"/>
    <w:rsid w:val="005971AF"/>
    <w:rsid w:val="005A20BD"/>
    <w:rsid w:val="005A2389"/>
    <w:rsid w:val="005A4017"/>
    <w:rsid w:val="005A6665"/>
    <w:rsid w:val="005B233E"/>
    <w:rsid w:val="005B7CBF"/>
    <w:rsid w:val="005C260B"/>
    <w:rsid w:val="005D6786"/>
    <w:rsid w:val="005D7BAF"/>
    <w:rsid w:val="005F09C0"/>
    <w:rsid w:val="005F1CD6"/>
    <w:rsid w:val="005F4F34"/>
    <w:rsid w:val="005F5A9C"/>
    <w:rsid w:val="005F770E"/>
    <w:rsid w:val="006078C4"/>
    <w:rsid w:val="00612505"/>
    <w:rsid w:val="0061334C"/>
    <w:rsid w:val="00623BCE"/>
    <w:rsid w:val="00627293"/>
    <w:rsid w:val="00635A22"/>
    <w:rsid w:val="00650E38"/>
    <w:rsid w:val="00651C58"/>
    <w:rsid w:val="00653B7F"/>
    <w:rsid w:val="00655042"/>
    <w:rsid w:val="006626B6"/>
    <w:rsid w:val="00670651"/>
    <w:rsid w:val="0067084D"/>
    <w:rsid w:val="00673741"/>
    <w:rsid w:val="006779E8"/>
    <w:rsid w:val="00682E48"/>
    <w:rsid w:val="00684B2D"/>
    <w:rsid w:val="006A0752"/>
    <w:rsid w:val="006A4116"/>
    <w:rsid w:val="006A4B2D"/>
    <w:rsid w:val="006A4E15"/>
    <w:rsid w:val="006B4B85"/>
    <w:rsid w:val="006C084A"/>
    <w:rsid w:val="006C39CE"/>
    <w:rsid w:val="006C7DA4"/>
    <w:rsid w:val="006C7FFA"/>
    <w:rsid w:val="006E5146"/>
    <w:rsid w:val="00722C2C"/>
    <w:rsid w:val="0072488B"/>
    <w:rsid w:val="00725739"/>
    <w:rsid w:val="0073115B"/>
    <w:rsid w:val="0073502F"/>
    <w:rsid w:val="00741BB8"/>
    <w:rsid w:val="007442D5"/>
    <w:rsid w:val="00753E03"/>
    <w:rsid w:val="00754909"/>
    <w:rsid w:val="007634BE"/>
    <w:rsid w:val="00770B27"/>
    <w:rsid w:val="00771477"/>
    <w:rsid w:val="007718ED"/>
    <w:rsid w:val="00774909"/>
    <w:rsid w:val="007758E4"/>
    <w:rsid w:val="00775A23"/>
    <w:rsid w:val="007820AC"/>
    <w:rsid w:val="0078566A"/>
    <w:rsid w:val="0078598E"/>
    <w:rsid w:val="00785AC4"/>
    <w:rsid w:val="00791FC2"/>
    <w:rsid w:val="00795A71"/>
    <w:rsid w:val="007A03BA"/>
    <w:rsid w:val="007B4F56"/>
    <w:rsid w:val="007B58A4"/>
    <w:rsid w:val="007C6C37"/>
    <w:rsid w:val="007C6E91"/>
    <w:rsid w:val="007D076E"/>
    <w:rsid w:val="007D0D50"/>
    <w:rsid w:val="007D1D8E"/>
    <w:rsid w:val="007D21CA"/>
    <w:rsid w:val="007E0A3D"/>
    <w:rsid w:val="007E661F"/>
    <w:rsid w:val="007F30AF"/>
    <w:rsid w:val="00803187"/>
    <w:rsid w:val="00806B57"/>
    <w:rsid w:val="00811626"/>
    <w:rsid w:val="0081311B"/>
    <w:rsid w:val="00816976"/>
    <w:rsid w:val="00820C72"/>
    <w:rsid w:val="008243F4"/>
    <w:rsid w:val="00824E8A"/>
    <w:rsid w:val="008349E7"/>
    <w:rsid w:val="0083610B"/>
    <w:rsid w:val="00837422"/>
    <w:rsid w:val="00843791"/>
    <w:rsid w:val="00843C5E"/>
    <w:rsid w:val="00845504"/>
    <w:rsid w:val="00845E04"/>
    <w:rsid w:val="00850258"/>
    <w:rsid w:val="00856AD0"/>
    <w:rsid w:val="0086560E"/>
    <w:rsid w:val="008676FB"/>
    <w:rsid w:val="008707FE"/>
    <w:rsid w:val="00871D78"/>
    <w:rsid w:val="00873CBE"/>
    <w:rsid w:val="00874081"/>
    <w:rsid w:val="00893F52"/>
    <w:rsid w:val="00897436"/>
    <w:rsid w:val="008A3A16"/>
    <w:rsid w:val="008A5A62"/>
    <w:rsid w:val="008D6074"/>
    <w:rsid w:val="008D6D59"/>
    <w:rsid w:val="008E478B"/>
    <w:rsid w:val="008F3B46"/>
    <w:rsid w:val="0090159D"/>
    <w:rsid w:val="00907B69"/>
    <w:rsid w:val="00912DCB"/>
    <w:rsid w:val="0093757A"/>
    <w:rsid w:val="00941D5A"/>
    <w:rsid w:val="00951E3B"/>
    <w:rsid w:val="00952749"/>
    <w:rsid w:val="0095767C"/>
    <w:rsid w:val="009776AD"/>
    <w:rsid w:val="00983A49"/>
    <w:rsid w:val="00983EBA"/>
    <w:rsid w:val="009922D1"/>
    <w:rsid w:val="009A338A"/>
    <w:rsid w:val="009A5B96"/>
    <w:rsid w:val="009B458A"/>
    <w:rsid w:val="009B4BA1"/>
    <w:rsid w:val="009B50E0"/>
    <w:rsid w:val="009B6C32"/>
    <w:rsid w:val="009C5FE8"/>
    <w:rsid w:val="009D362B"/>
    <w:rsid w:val="009D3DC1"/>
    <w:rsid w:val="009F0178"/>
    <w:rsid w:val="00A05350"/>
    <w:rsid w:val="00A132AB"/>
    <w:rsid w:val="00A133C9"/>
    <w:rsid w:val="00A155DB"/>
    <w:rsid w:val="00A17BCD"/>
    <w:rsid w:val="00A22AC1"/>
    <w:rsid w:val="00A23795"/>
    <w:rsid w:val="00A2654E"/>
    <w:rsid w:val="00A26CAD"/>
    <w:rsid w:val="00A379BA"/>
    <w:rsid w:val="00A418BA"/>
    <w:rsid w:val="00A43C9B"/>
    <w:rsid w:val="00A47215"/>
    <w:rsid w:val="00A4745A"/>
    <w:rsid w:val="00A51128"/>
    <w:rsid w:val="00A51F2B"/>
    <w:rsid w:val="00A527F2"/>
    <w:rsid w:val="00A5646E"/>
    <w:rsid w:val="00A60CF6"/>
    <w:rsid w:val="00A65683"/>
    <w:rsid w:val="00A770EE"/>
    <w:rsid w:val="00A828EF"/>
    <w:rsid w:val="00A82B97"/>
    <w:rsid w:val="00A9142F"/>
    <w:rsid w:val="00A92026"/>
    <w:rsid w:val="00AA0CD3"/>
    <w:rsid w:val="00AA2782"/>
    <w:rsid w:val="00AB4EA8"/>
    <w:rsid w:val="00AC506B"/>
    <w:rsid w:val="00AC77D4"/>
    <w:rsid w:val="00AD4441"/>
    <w:rsid w:val="00AD4676"/>
    <w:rsid w:val="00AF3415"/>
    <w:rsid w:val="00AF4CC7"/>
    <w:rsid w:val="00AF786F"/>
    <w:rsid w:val="00B13F12"/>
    <w:rsid w:val="00B24B05"/>
    <w:rsid w:val="00B2642D"/>
    <w:rsid w:val="00B27672"/>
    <w:rsid w:val="00B27A50"/>
    <w:rsid w:val="00B27B31"/>
    <w:rsid w:val="00B35687"/>
    <w:rsid w:val="00B35C2B"/>
    <w:rsid w:val="00B40DA9"/>
    <w:rsid w:val="00B436FA"/>
    <w:rsid w:val="00B5251E"/>
    <w:rsid w:val="00B52C8D"/>
    <w:rsid w:val="00B60097"/>
    <w:rsid w:val="00B60C7A"/>
    <w:rsid w:val="00B636DE"/>
    <w:rsid w:val="00B66B15"/>
    <w:rsid w:val="00B67497"/>
    <w:rsid w:val="00B7277C"/>
    <w:rsid w:val="00B75C09"/>
    <w:rsid w:val="00B76EA6"/>
    <w:rsid w:val="00B81FF2"/>
    <w:rsid w:val="00B8554A"/>
    <w:rsid w:val="00B924AF"/>
    <w:rsid w:val="00B94932"/>
    <w:rsid w:val="00B963B2"/>
    <w:rsid w:val="00BA0BE9"/>
    <w:rsid w:val="00BA14F1"/>
    <w:rsid w:val="00BA2538"/>
    <w:rsid w:val="00BA2D50"/>
    <w:rsid w:val="00BA71C9"/>
    <w:rsid w:val="00BB2BA0"/>
    <w:rsid w:val="00BD1A57"/>
    <w:rsid w:val="00BD7863"/>
    <w:rsid w:val="00C010D6"/>
    <w:rsid w:val="00C02133"/>
    <w:rsid w:val="00C03484"/>
    <w:rsid w:val="00C150D3"/>
    <w:rsid w:val="00C15B05"/>
    <w:rsid w:val="00C16F2D"/>
    <w:rsid w:val="00C20498"/>
    <w:rsid w:val="00C220AF"/>
    <w:rsid w:val="00C25609"/>
    <w:rsid w:val="00C31409"/>
    <w:rsid w:val="00C33EA5"/>
    <w:rsid w:val="00C35F82"/>
    <w:rsid w:val="00C4495C"/>
    <w:rsid w:val="00C45F63"/>
    <w:rsid w:val="00C477D9"/>
    <w:rsid w:val="00C504BC"/>
    <w:rsid w:val="00C54847"/>
    <w:rsid w:val="00C57014"/>
    <w:rsid w:val="00C57912"/>
    <w:rsid w:val="00C606EE"/>
    <w:rsid w:val="00C653E6"/>
    <w:rsid w:val="00C67D15"/>
    <w:rsid w:val="00C82871"/>
    <w:rsid w:val="00C91900"/>
    <w:rsid w:val="00C95457"/>
    <w:rsid w:val="00CA0179"/>
    <w:rsid w:val="00CA503F"/>
    <w:rsid w:val="00CD4CE7"/>
    <w:rsid w:val="00CD7218"/>
    <w:rsid w:val="00CE17B7"/>
    <w:rsid w:val="00CE79D6"/>
    <w:rsid w:val="00CF165A"/>
    <w:rsid w:val="00CF2ABB"/>
    <w:rsid w:val="00CF686E"/>
    <w:rsid w:val="00D03381"/>
    <w:rsid w:val="00D03982"/>
    <w:rsid w:val="00D12DAC"/>
    <w:rsid w:val="00D13A85"/>
    <w:rsid w:val="00D15534"/>
    <w:rsid w:val="00D16566"/>
    <w:rsid w:val="00D170B8"/>
    <w:rsid w:val="00D236A0"/>
    <w:rsid w:val="00D26A4C"/>
    <w:rsid w:val="00D37B2F"/>
    <w:rsid w:val="00D40B23"/>
    <w:rsid w:val="00D418CC"/>
    <w:rsid w:val="00D734A9"/>
    <w:rsid w:val="00D752AA"/>
    <w:rsid w:val="00D80E4E"/>
    <w:rsid w:val="00D80E6A"/>
    <w:rsid w:val="00D810F8"/>
    <w:rsid w:val="00D8224B"/>
    <w:rsid w:val="00D82A2F"/>
    <w:rsid w:val="00D87278"/>
    <w:rsid w:val="00D93177"/>
    <w:rsid w:val="00D94470"/>
    <w:rsid w:val="00D9454E"/>
    <w:rsid w:val="00D971DC"/>
    <w:rsid w:val="00DA0053"/>
    <w:rsid w:val="00DA3C27"/>
    <w:rsid w:val="00DA519F"/>
    <w:rsid w:val="00DB7A3D"/>
    <w:rsid w:val="00DC0BC0"/>
    <w:rsid w:val="00DC530A"/>
    <w:rsid w:val="00DD2D73"/>
    <w:rsid w:val="00DD4F6C"/>
    <w:rsid w:val="00DE0793"/>
    <w:rsid w:val="00DE2BE4"/>
    <w:rsid w:val="00DF1EB8"/>
    <w:rsid w:val="00DF4880"/>
    <w:rsid w:val="00DF6E80"/>
    <w:rsid w:val="00E02A6C"/>
    <w:rsid w:val="00E036A6"/>
    <w:rsid w:val="00E04733"/>
    <w:rsid w:val="00E115FF"/>
    <w:rsid w:val="00E12736"/>
    <w:rsid w:val="00E209FB"/>
    <w:rsid w:val="00E25089"/>
    <w:rsid w:val="00E3103E"/>
    <w:rsid w:val="00E32484"/>
    <w:rsid w:val="00E35242"/>
    <w:rsid w:val="00E40720"/>
    <w:rsid w:val="00E43628"/>
    <w:rsid w:val="00E50BD5"/>
    <w:rsid w:val="00E66F43"/>
    <w:rsid w:val="00E7186F"/>
    <w:rsid w:val="00E73022"/>
    <w:rsid w:val="00E73F49"/>
    <w:rsid w:val="00E82CAA"/>
    <w:rsid w:val="00E83B23"/>
    <w:rsid w:val="00E847AF"/>
    <w:rsid w:val="00E86263"/>
    <w:rsid w:val="00E92BF1"/>
    <w:rsid w:val="00E92F78"/>
    <w:rsid w:val="00EA3A64"/>
    <w:rsid w:val="00EA4767"/>
    <w:rsid w:val="00EA5497"/>
    <w:rsid w:val="00EA6D1F"/>
    <w:rsid w:val="00EB1865"/>
    <w:rsid w:val="00EB3BD1"/>
    <w:rsid w:val="00EB760C"/>
    <w:rsid w:val="00ED37A4"/>
    <w:rsid w:val="00ED7CDC"/>
    <w:rsid w:val="00EE3A5C"/>
    <w:rsid w:val="00EE4EF9"/>
    <w:rsid w:val="00EF008C"/>
    <w:rsid w:val="00EF4B60"/>
    <w:rsid w:val="00EF7E0F"/>
    <w:rsid w:val="00F162A9"/>
    <w:rsid w:val="00F164A4"/>
    <w:rsid w:val="00F176DB"/>
    <w:rsid w:val="00F24230"/>
    <w:rsid w:val="00F3020E"/>
    <w:rsid w:val="00F316CC"/>
    <w:rsid w:val="00F34F22"/>
    <w:rsid w:val="00F36509"/>
    <w:rsid w:val="00F36DE1"/>
    <w:rsid w:val="00F37556"/>
    <w:rsid w:val="00F40BC0"/>
    <w:rsid w:val="00F46D54"/>
    <w:rsid w:val="00F46E08"/>
    <w:rsid w:val="00F513CA"/>
    <w:rsid w:val="00F522F1"/>
    <w:rsid w:val="00F626FA"/>
    <w:rsid w:val="00F6656C"/>
    <w:rsid w:val="00F6731B"/>
    <w:rsid w:val="00F73837"/>
    <w:rsid w:val="00F816B4"/>
    <w:rsid w:val="00F8210D"/>
    <w:rsid w:val="00F93EB4"/>
    <w:rsid w:val="00F9740B"/>
    <w:rsid w:val="00FA0B95"/>
    <w:rsid w:val="00FA5AE8"/>
    <w:rsid w:val="00FC1B04"/>
    <w:rsid w:val="00FC7042"/>
    <w:rsid w:val="00FC7BA3"/>
    <w:rsid w:val="00FD2092"/>
    <w:rsid w:val="00FD4A7D"/>
    <w:rsid w:val="00FE7B50"/>
    <w:rsid w:val="00FF00C7"/>
    <w:rsid w:val="00FF3721"/>
    <w:rsid w:val="00FF3D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4157C88"/>
  <w15:docId w15:val="{4695BB2F-989C-4833-A06C-379C85BE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B97"/>
    <w:pPr>
      <w:jc w:val="both"/>
    </w:pPr>
    <w:rPr>
      <w:rFonts w:ascii="Arial" w:hAnsi="Arial"/>
      <w:szCs w:val="24"/>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link w:val="CommentTextChar"/>
    <w:semiHidden/>
    <w:rPr>
      <w:szCs w:val="20"/>
    </w:rPr>
  </w:style>
  <w:style w:type="paragraph" w:customStyle="1" w:styleId="Para">
    <w:name w:val="Par(a)"/>
    <w:basedOn w:val="Normal"/>
    <w:pPr>
      <w:spacing w:after="240"/>
      <w:ind w:left="1560" w:hanging="539"/>
    </w:pPr>
    <w:rPr>
      <w:szCs w:val="20"/>
    </w:rPr>
  </w:style>
  <w:style w:type="paragraph" w:styleId="BlockText">
    <w:name w:val="Block Text"/>
    <w:basedOn w:val="Normal"/>
    <w:pPr>
      <w:ind w:left="1080" w:right="278"/>
    </w:pPr>
    <w:rPr>
      <w:rFonts w:cs="Arial"/>
      <w:i/>
      <w:iCs/>
      <w:snapToGrid w:val="0"/>
    </w:rPr>
  </w:style>
  <w:style w:type="paragraph" w:styleId="BodyTextIndent3">
    <w:name w:val="Body Text Indent 3"/>
    <w:basedOn w:val="Normal"/>
    <w:pPr>
      <w:ind w:left="360" w:hanging="360"/>
    </w:pPr>
    <w:rPr>
      <w:sz w:val="24"/>
      <w:szCs w:val="20"/>
    </w:rPr>
  </w:style>
  <w:style w:type="paragraph" w:styleId="BodyText2">
    <w:name w:val="Body Text 2"/>
    <w:basedOn w:val="Normal"/>
    <w:pPr>
      <w:spacing w:after="120" w:line="480" w:lineRule="auto"/>
    </w:pPr>
  </w:style>
  <w:style w:type="paragraph" w:styleId="BalloonText">
    <w:name w:val="Balloon Text"/>
    <w:basedOn w:val="Normal"/>
    <w:semiHidden/>
    <w:rsid w:val="00C15B05"/>
    <w:rPr>
      <w:rFonts w:ascii="Tahoma" w:hAnsi="Tahoma" w:cs="Tahoma"/>
      <w:sz w:val="16"/>
      <w:szCs w:val="16"/>
    </w:rPr>
  </w:style>
  <w:style w:type="paragraph" w:styleId="DocumentMap">
    <w:name w:val="Document Map"/>
    <w:basedOn w:val="Normal"/>
    <w:semiHidden/>
    <w:rsid w:val="00F93EB4"/>
    <w:pPr>
      <w:shd w:val="clear" w:color="auto" w:fill="000080"/>
    </w:pPr>
    <w:rPr>
      <w:rFonts w:ascii="Tahoma" w:hAnsi="Tahoma" w:cs="Tahoma"/>
      <w:szCs w:val="20"/>
    </w:rPr>
  </w:style>
  <w:style w:type="table" w:styleId="TableGrid">
    <w:name w:val="Table Grid"/>
    <w:basedOn w:val="TableNormal"/>
    <w:uiPriority w:val="39"/>
    <w:rsid w:val="0022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next w:val="Normal"/>
    <w:autoRedefine/>
    <w:semiHidden/>
    <w:rsid w:val="00116516"/>
    <w:pPr>
      <w:spacing w:after="160" w:line="240" w:lineRule="exact"/>
      <w:jc w:val="left"/>
    </w:pPr>
    <w:rPr>
      <w:rFonts w:ascii="Tahoma" w:eastAsia="MS Mincho" w:hAnsi="Tahoma"/>
      <w:sz w:val="18"/>
      <w:szCs w:val="20"/>
      <w:lang w:val="en-AU" w:eastAsia="ja-JP"/>
    </w:rPr>
  </w:style>
  <w:style w:type="character" w:styleId="Hyperlink">
    <w:name w:val="Hyperlink"/>
    <w:rsid w:val="006E5146"/>
    <w:rPr>
      <w:color w:val="0000FF"/>
      <w:u w:val="single"/>
    </w:rPr>
  </w:style>
  <w:style w:type="character" w:customStyle="1" w:styleId="FooterChar">
    <w:name w:val="Footer Char"/>
    <w:link w:val="Footer"/>
    <w:rsid w:val="00E35242"/>
    <w:rPr>
      <w:rFonts w:ascii="Arial" w:hAnsi="Arial"/>
      <w:szCs w:val="24"/>
      <w:lang w:val="en-GB" w:eastAsia="en-US"/>
    </w:rPr>
  </w:style>
  <w:style w:type="paragraph" w:styleId="ListParagraph">
    <w:name w:val="List Paragraph"/>
    <w:aliases w:val="EOH bullet,Use Case List Paragraph,EOH paragraph,List Paragraph1,Table (List),Indent Paragraph,List Paragraph Char Char,List Paragraph11,b1 + Justified,b1,b1 Char,Bullet 11,b1 + Justified1,Bullet 111,b1 + Justified11"/>
    <w:basedOn w:val="Normal"/>
    <w:link w:val="ListParagraphChar"/>
    <w:uiPriority w:val="34"/>
    <w:qFormat/>
    <w:rsid w:val="00235EE7"/>
    <w:pPr>
      <w:ind w:left="720"/>
      <w:contextualSpacing/>
    </w:pPr>
  </w:style>
  <w:style w:type="character" w:styleId="Strong">
    <w:name w:val="Strong"/>
    <w:basedOn w:val="DefaultParagraphFont"/>
    <w:uiPriority w:val="22"/>
    <w:qFormat/>
    <w:rsid w:val="00B8554A"/>
    <w:rPr>
      <w:b/>
      <w:bCs/>
    </w:rPr>
  </w:style>
  <w:style w:type="paragraph" w:customStyle="1" w:styleId="CM97">
    <w:name w:val="CM97"/>
    <w:rsid w:val="0044014E"/>
    <w:pPr>
      <w:widowControl w:val="0"/>
      <w:suppressAutoHyphens/>
      <w:autoSpaceDE w:val="0"/>
    </w:pPr>
    <w:rPr>
      <w:rFonts w:eastAsia="DejaVu Sans" w:cs="DejaVu Sans"/>
      <w:sz w:val="24"/>
      <w:szCs w:val="24"/>
      <w:lang w:eastAsia="hi-IN" w:bidi="hi-IN"/>
    </w:rPr>
  </w:style>
  <w:style w:type="table" w:customStyle="1" w:styleId="TableGrid1">
    <w:name w:val="Table Grid1"/>
    <w:basedOn w:val="TableNormal"/>
    <w:next w:val="TableGrid"/>
    <w:uiPriority w:val="39"/>
    <w:rsid w:val="00176B1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5507"/>
    <w:rPr>
      <w:sz w:val="16"/>
      <w:szCs w:val="16"/>
    </w:rPr>
  </w:style>
  <w:style w:type="paragraph" w:styleId="CommentSubject">
    <w:name w:val="annotation subject"/>
    <w:basedOn w:val="CommentText"/>
    <w:next w:val="CommentText"/>
    <w:link w:val="CommentSubjectChar"/>
    <w:semiHidden/>
    <w:unhideWhenUsed/>
    <w:rsid w:val="00365507"/>
    <w:rPr>
      <w:b/>
      <w:bCs/>
    </w:rPr>
  </w:style>
  <w:style w:type="character" w:customStyle="1" w:styleId="CommentTextChar">
    <w:name w:val="Comment Text Char"/>
    <w:basedOn w:val="DefaultParagraphFont"/>
    <w:link w:val="CommentText"/>
    <w:semiHidden/>
    <w:rsid w:val="00365507"/>
    <w:rPr>
      <w:rFonts w:ascii="Arial" w:hAnsi="Arial"/>
      <w:lang w:val="en-GB" w:eastAsia="en-US"/>
    </w:rPr>
  </w:style>
  <w:style w:type="character" w:customStyle="1" w:styleId="CommentSubjectChar">
    <w:name w:val="Comment Subject Char"/>
    <w:basedOn w:val="CommentTextChar"/>
    <w:link w:val="CommentSubject"/>
    <w:semiHidden/>
    <w:rsid w:val="00365507"/>
    <w:rPr>
      <w:rFonts w:ascii="Arial" w:hAnsi="Arial"/>
      <w:b/>
      <w:bCs/>
      <w:lang w:val="en-GB" w:eastAsia="en-US"/>
    </w:rPr>
  </w:style>
  <w:style w:type="character" w:customStyle="1" w:styleId="HeaderChar">
    <w:name w:val="Header Char"/>
    <w:link w:val="Header"/>
    <w:uiPriority w:val="99"/>
    <w:rsid w:val="00525A10"/>
    <w:rPr>
      <w:rFonts w:ascii="Arial" w:hAnsi="Arial" w:cs="Arial"/>
      <w:lang w:val="en-US" w:eastAsia="en-US"/>
    </w:rPr>
  </w:style>
  <w:style w:type="character" w:customStyle="1" w:styleId="ListParagraphChar">
    <w:name w:val="List Paragraph Char"/>
    <w:aliases w:val="EOH bullet Char,Use Case List Paragraph Char,EOH paragraph Char,List Paragraph1 Char,Table (List) Char,Indent Paragraph Char,List Paragraph Char Char Char,List Paragraph11 Char,b1 + Justified Char,b1 Char1,b1 Char Char,Bullet 11 Char"/>
    <w:link w:val="ListParagraph"/>
    <w:uiPriority w:val="34"/>
    <w:qFormat/>
    <w:rsid w:val="004A7E90"/>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2999">
      <w:bodyDiv w:val="1"/>
      <w:marLeft w:val="0"/>
      <w:marRight w:val="0"/>
      <w:marTop w:val="0"/>
      <w:marBottom w:val="0"/>
      <w:divBdr>
        <w:top w:val="none" w:sz="0" w:space="0" w:color="auto"/>
        <w:left w:val="none" w:sz="0" w:space="0" w:color="auto"/>
        <w:bottom w:val="none" w:sz="0" w:space="0" w:color="auto"/>
        <w:right w:val="none" w:sz="0" w:space="0" w:color="auto"/>
      </w:divBdr>
    </w:div>
    <w:div w:id="76094609">
      <w:bodyDiv w:val="1"/>
      <w:marLeft w:val="0"/>
      <w:marRight w:val="0"/>
      <w:marTop w:val="0"/>
      <w:marBottom w:val="0"/>
      <w:divBdr>
        <w:top w:val="none" w:sz="0" w:space="0" w:color="auto"/>
        <w:left w:val="none" w:sz="0" w:space="0" w:color="auto"/>
        <w:bottom w:val="none" w:sz="0" w:space="0" w:color="auto"/>
        <w:right w:val="none" w:sz="0" w:space="0" w:color="auto"/>
      </w:divBdr>
    </w:div>
    <w:div w:id="233468686">
      <w:bodyDiv w:val="1"/>
      <w:marLeft w:val="0"/>
      <w:marRight w:val="0"/>
      <w:marTop w:val="0"/>
      <w:marBottom w:val="0"/>
      <w:divBdr>
        <w:top w:val="none" w:sz="0" w:space="0" w:color="auto"/>
        <w:left w:val="none" w:sz="0" w:space="0" w:color="auto"/>
        <w:bottom w:val="none" w:sz="0" w:space="0" w:color="auto"/>
        <w:right w:val="none" w:sz="0" w:space="0" w:color="auto"/>
      </w:divBdr>
    </w:div>
    <w:div w:id="308822422">
      <w:bodyDiv w:val="1"/>
      <w:marLeft w:val="0"/>
      <w:marRight w:val="0"/>
      <w:marTop w:val="0"/>
      <w:marBottom w:val="0"/>
      <w:divBdr>
        <w:top w:val="none" w:sz="0" w:space="0" w:color="auto"/>
        <w:left w:val="none" w:sz="0" w:space="0" w:color="auto"/>
        <w:bottom w:val="none" w:sz="0" w:space="0" w:color="auto"/>
        <w:right w:val="none" w:sz="0" w:space="0" w:color="auto"/>
      </w:divBdr>
    </w:div>
    <w:div w:id="695735512">
      <w:bodyDiv w:val="1"/>
      <w:marLeft w:val="0"/>
      <w:marRight w:val="0"/>
      <w:marTop w:val="0"/>
      <w:marBottom w:val="0"/>
      <w:divBdr>
        <w:top w:val="none" w:sz="0" w:space="0" w:color="auto"/>
        <w:left w:val="none" w:sz="0" w:space="0" w:color="auto"/>
        <w:bottom w:val="none" w:sz="0" w:space="0" w:color="auto"/>
        <w:right w:val="none" w:sz="0" w:space="0" w:color="auto"/>
      </w:divBdr>
    </w:div>
    <w:div w:id="721900912">
      <w:bodyDiv w:val="1"/>
      <w:marLeft w:val="0"/>
      <w:marRight w:val="0"/>
      <w:marTop w:val="0"/>
      <w:marBottom w:val="0"/>
      <w:divBdr>
        <w:top w:val="none" w:sz="0" w:space="0" w:color="auto"/>
        <w:left w:val="none" w:sz="0" w:space="0" w:color="auto"/>
        <w:bottom w:val="none" w:sz="0" w:space="0" w:color="auto"/>
        <w:right w:val="none" w:sz="0" w:space="0" w:color="auto"/>
      </w:divBdr>
    </w:div>
    <w:div w:id="866680090">
      <w:bodyDiv w:val="1"/>
      <w:marLeft w:val="0"/>
      <w:marRight w:val="0"/>
      <w:marTop w:val="0"/>
      <w:marBottom w:val="0"/>
      <w:divBdr>
        <w:top w:val="none" w:sz="0" w:space="0" w:color="auto"/>
        <w:left w:val="none" w:sz="0" w:space="0" w:color="auto"/>
        <w:bottom w:val="none" w:sz="0" w:space="0" w:color="auto"/>
        <w:right w:val="none" w:sz="0" w:space="0" w:color="auto"/>
      </w:divBdr>
    </w:div>
    <w:div w:id="872572749">
      <w:bodyDiv w:val="1"/>
      <w:marLeft w:val="0"/>
      <w:marRight w:val="0"/>
      <w:marTop w:val="0"/>
      <w:marBottom w:val="0"/>
      <w:divBdr>
        <w:top w:val="none" w:sz="0" w:space="0" w:color="auto"/>
        <w:left w:val="none" w:sz="0" w:space="0" w:color="auto"/>
        <w:bottom w:val="none" w:sz="0" w:space="0" w:color="auto"/>
        <w:right w:val="none" w:sz="0" w:space="0" w:color="auto"/>
      </w:divBdr>
    </w:div>
    <w:div w:id="959995550">
      <w:bodyDiv w:val="1"/>
      <w:marLeft w:val="0"/>
      <w:marRight w:val="0"/>
      <w:marTop w:val="0"/>
      <w:marBottom w:val="0"/>
      <w:divBdr>
        <w:top w:val="none" w:sz="0" w:space="0" w:color="auto"/>
        <w:left w:val="none" w:sz="0" w:space="0" w:color="auto"/>
        <w:bottom w:val="none" w:sz="0" w:space="0" w:color="auto"/>
        <w:right w:val="none" w:sz="0" w:space="0" w:color="auto"/>
      </w:divBdr>
    </w:div>
    <w:div w:id="980426492">
      <w:bodyDiv w:val="1"/>
      <w:marLeft w:val="0"/>
      <w:marRight w:val="0"/>
      <w:marTop w:val="0"/>
      <w:marBottom w:val="0"/>
      <w:divBdr>
        <w:top w:val="none" w:sz="0" w:space="0" w:color="auto"/>
        <w:left w:val="none" w:sz="0" w:space="0" w:color="auto"/>
        <w:bottom w:val="none" w:sz="0" w:space="0" w:color="auto"/>
        <w:right w:val="none" w:sz="0" w:space="0" w:color="auto"/>
      </w:divBdr>
    </w:div>
    <w:div w:id="1014185950">
      <w:bodyDiv w:val="1"/>
      <w:marLeft w:val="0"/>
      <w:marRight w:val="0"/>
      <w:marTop w:val="0"/>
      <w:marBottom w:val="0"/>
      <w:divBdr>
        <w:top w:val="none" w:sz="0" w:space="0" w:color="auto"/>
        <w:left w:val="none" w:sz="0" w:space="0" w:color="auto"/>
        <w:bottom w:val="none" w:sz="0" w:space="0" w:color="auto"/>
        <w:right w:val="none" w:sz="0" w:space="0" w:color="auto"/>
      </w:divBdr>
    </w:div>
    <w:div w:id="1116825785">
      <w:bodyDiv w:val="1"/>
      <w:marLeft w:val="0"/>
      <w:marRight w:val="0"/>
      <w:marTop w:val="0"/>
      <w:marBottom w:val="0"/>
      <w:divBdr>
        <w:top w:val="none" w:sz="0" w:space="0" w:color="auto"/>
        <w:left w:val="none" w:sz="0" w:space="0" w:color="auto"/>
        <w:bottom w:val="none" w:sz="0" w:space="0" w:color="auto"/>
        <w:right w:val="none" w:sz="0" w:space="0" w:color="auto"/>
      </w:divBdr>
    </w:div>
    <w:div w:id="1219971826">
      <w:bodyDiv w:val="1"/>
      <w:marLeft w:val="0"/>
      <w:marRight w:val="0"/>
      <w:marTop w:val="0"/>
      <w:marBottom w:val="0"/>
      <w:divBdr>
        <w:top w:val="none" w:sz="0" w:space="0" w:color="auto"/>
        <w:left w:val="none" w:sz="0" w:space="0" w:color="auto"/>
        <w:bottom w:val="none" w:sz="0" w:space="0" w:color="auto"/>
        <w:right w:val="none" w:sz="0" w:space="0" w:color="auto"/>
      </w:divBdr>
    </w:div>
    <w:div w:id="1256476743">
      <w:bodyDiv w:val="1"/>
      <w:marLeft w:val="0"/>
      <w:marRight w:val="0"/>
      <w:marTop w:val="0"/>
      <w:marBottom w:val="0"/>
      <w:divBdr>
        <w:top w:val="none" w:sz="0" w:space="0" w:color="auto"/>
        <w:left w:val="none" w:sz="0" w:space="0" w:color="auto"/>
        <w:bottom w:val="none" w:sz="0" w:space="0" w:color="auto"/>
        <w:right w:val="none" w:sz="0" w:space="0" w:color="auto"/>
      </w:divBdr>
    </w:div>
    <w:div w:id="1350260667">
      <w:bodyDiv w:val="1"/>
      <w:marLeft w:val="0"/>
      <w:marRight w:val="0"/>
      <w:marTop w:val="0"/>
      <w:marBottom w:val="0"/>
      <w:divBdr>
        <w:top w:val="none" w:sz="0" w:space="0" w:color="auto"/>
        <w:left w:val="none" w:sz="0" w:space="0" w:color="auto"/>
        <w:bottom w:val="none" w:sz="0" w:space="0" w:color="auto"/>
        <w:right w:val="none" w:sz="0" w:space="0" w:color="auto"/>
      </w:divBdr>
    </w:div>
    <w:div w:id="1417751043">
      <w:bodyDiv w:val="1"/>
      <w:marLeft w:val="0"/>
      <w:marRight w:val="0"/>
      <w:marTop w:val="0"/>
      <w:marBottom w:val="0"/>
      <w:divBdr>
        <w:top w:val="none" w:sz="0" w:space="0" w:color="auto"/>
        <w:left w:val="none" w:sz="0" w:space="0" w:color="auto"/>
        <w:bottom w:val="none" w:sz="0" w:space="0" w:color="auto"/>
        <w:right w:val="none" w:sz="0" w:space="0" w:color="auto"/>
      </w:divBdr>
      <w:divsChild>
        <w:div w:id="390736367">
          <w:marLeft w:val="0"/>
          <w:marRight w:val="0"/>
          <w:marTop w:val="0"/>
          <w:marBottom w:val="0"/>
          <w:divBdr>
            <w:top w:val="none" w:sz="0" w:space="0" w:color="auto"/>
            <w:left w:val="none" w:sz="0" w:space="0" w:color="auto"/>
            <w:bottom w:val="none" w:sz="0" w:space="0" w:color="auto"/>
            <w:right w:val="none" w:sz="0" w:space="0" w:color="auto"/>
          </w:divBdr>
          <w:divsChild>
            <w:div w:id="1118111942">
              <w:marLeft w:val="0"/>
              <w:marRight w:val="0"/>
              <w:marTop w:val="0"/>
              <w:marBottom w:val="0"/>
              <w:divBdr>
                <w:top w:val="none" w:sz="0" w:space="0" w:color="auto"/>
                <w:left w:val="none" w:sz="0" w:space="0" w:color="auto"/>
                <w:bottom w:val="none" w:sz="0" w:space="0" w:color="auto"/>
                <w:right w:val="none" w:sz="0" w:space="0" w:color="auto"/>
              </w:divBdr>
              <w:divsChild>
                <w:div w:id="1630284571">
                  <w:marLeft w:val="0"/>
                  <w:marRight w:val="0"/>
                  <w:marTop w:val="0"/>
                  <w:marBottom w:val="0"/>
                  <w:divBdr>
                    <w:top w:val="none" w:sz="0" w:space="0" w:color="auto"/>
                    <w:left w:val="none" w:sz="0" w:space="0" w:color="auto"/>
                    <w:bottom w:val="none" w:sz="0" w:space="0" w:color="auto"/>
                    <w:right w:val="none" w:sz="0" w:space="0" w:color="auto"/>
                  </w:divBdr>
                  <w:divsChild>
                    <w:div w:id="1256286154">
                      <w:marLeft w:val="0"/>
                      <w:marRight w:val="0"/>
                      <w:marTop w:val="0"/>
                      <w:marBottom w:val="0"/>
                      <w:divBdr>
                        <w:top w:val="none" w:sz="0" w:space="0" w:color="auto"/>
                        <w:left w:val="none" w:sz="0" w:space="0" w:color="auto"/>
                        <w:bottom w:val="none" w:sz="0" w:space="0" w:color="auto"/>
                        <w:right w:val="none" w:sz="0" w:space="0" w:color="auto"/>
                      </w:divBdr>
                      <w:divsChild>
                        <w:div w:id="116921474">
                          <w:marLeft w:val="0"/>
                          <w:marRight w:val="0"/>
                          <w:marTop w:val="0"/>
                          <w:marBottom w:val="0"/>
                          <w:divBdr>
                            <w:top w:val="none" w:sz="0" w:space="0" w:color="auto"/>
                            <w:left w:val="none" w:sz="0" w:space="0" w:color="auto"/>
                            <w:bottom w:val="none" w:sz="0" w:space="0" w:color="auto"/>
                            <w:right w:val="none" w:sz="0" w:space="0" w:color="auto"/>
                          </w:divBdr>
                          <w:divsChild>
                            <w:div w:id="1507478530">
                              <w:marLeft w:val="0"/>
                              <w:marRight w:val="0"/>
                              <w:marTop w:val="0"/>
                              <w:marBottom w:val="0"/>
                              <w:divBdr>
                                <w:top w:val="none" w:sz="0" w:space="0" w:color="auto"/>
                                <w:left w:val="none" w:sz="0" w:space="0" w:color="auto"/>
                                <w:bottom w:val="none" w:sz="0" w:space="0" w:color="auto"/>
                                <w:right w:val="none" w:sz="0" w:space="0" w:color="auto"/>
                              </w:divBdr>
                              <w:divsChild>
                                <w:div w:id="1310555888">
                                  <w:marLeft w:val="0"/>
                                  <w:marRight w:val="0"/>
                                  <w:marTop w:val="0"/>
                                  <w:marBottom w:val="360"/>
                                  <w:divBdr>
                                    <w:top w:val="none" w:sz="0" w:space="0" w:color="auto"/>
                                    <w:left w:val="none" w:sz="0" w:space="0" w:color="auto"/>
                                    <w:bottom w:val="none" w:sz="0" w:space="0" w:color="auto"/>
                                    <w:right w:val="none" w:sz="0" w:space="0" w:color="auto"/>
                                  </w:divBdr>
                                  <w:divsChild>
                                    <w:div w:id="1569343512">
                                      <w:marLeft w:val="0"/>
                                      <w:marRight w:val="0"/>
                                      <w:marTop w:val="0"/>
                                      <w:marBottom w:val="0"/>
                                      <w:divBdr>
                                        <w:top w:val="none" w:sz="0" w:space="0" w:color="auto"/>
                                        <w:left w:val="none" w:sz="0" w:space="0" w:color="auto"/>
                                        <w:bottom w:val="none" w:sz="0" w:space="0" w:color="auto"/>
                                        <w:right w:val="none" w:sz="0" w:space="0" w:color="auto"/>
                                      </w:divBdr>
                                      <w:divsChild>
                                        <w:div w:id="243612658">
                                          <w:marLeft w:val="0"/>
                                          <w:marRight w:val="0"/>
                                          <w:marTop w:val="0"/>
                                          <w:marBottom w:val="0"/>
                                          <w:divBdr>
                                            <w:top w:val="none" w:sz="0" w:space="0" w:color="auto"/>
                                            <w:left w:val="none" w:sz="0" w:space="0" w:color="auto"/>
                                            <w:bottom w:val="none" w:sz="0" w:space="0" w:color="auto"/>
                                            <w:right w:val="none" w:sz="0" w:space="0" w:color="auto"/>
                                          </w:divBdr>
                                          <w:divsChild>
                                            <w:div w:id="48965165">
                                              <w:marLeft w:val="0"/>
                                              <w:marRight w:val="0"/>
                                              <w:marTop w:val="0"/>
                                              <w:marBottom w:val="0"/>
                                              <w:divBdr>
                                                <w:top w:val="none" w:sz="0" w:space="0" w:color="auto"/>
                                                <w:left w:val="none" w:sz="0" w:space="0" w:color="auto"/>
                                                <w:bottom w:val="none" w:sz="0" w:space="0" w:color="auto"/>
                                                <w:right w:val="none" w:sz="0" w:space="0" w:color="auto"/>
                                              </w:divBdr>
                                              <w:divsChild>
                                                <w:div w:id="1072698413">
                                                  <w:marLeft w:val="0"/>
                                                  <w:marRight w:val="0"/>
                                                  <w:marTop w:val="0"/>
                                                  <w:marBottom w:val="0"/>
                                                  <w:divBdr>
                                                    <w:top w:val="none" w:sz="0" w:space="0" w:color="auto"/>
                                                    <w:left w:val="none" w:sz="0" w:space="0" w:color="auto"/>
                                                    <w:bottom w:val="none" w:sz="0" w:space="0" w:color="auto"/>
                                                    <w:right w:val="none" w:sz="0" w:space="0" w:color="auto"/>
                                                  </w:divBdr>
                                                  <w:divsChild>
                                                    <w:div w:id="718281354">
                                                      <w:marLeft w:val="0"/>
                                                      <w:marRight w:val="300"/>
                                                      <w:marTop w:val="0"/>
                                                      <w:marBottom w:val="0"/>
                                                      <w:divBdr>
                                                        <w:top w:val="none" w:sz="0" w:space="0" w:color="auto"/>
                                                        <w:left w:val="none" w:sz="0" w:space="0" w:color="auto"/>
                                                        <w:bottom w:val="none" w:sz="0" w:space="0" w:color="auto"/>
                                                        <w:right w:val="none" w:sz="0" w:space="0" w:color="auto"/>
                                                      </w:divBdr>
                                                      <w:divsChild>
                                                        <w:div w:id="442305444">
                                                          <w:marLeft w:val="0"/>
                                                          <w:marRight w:val="0"/>
                                                          <w:marTop w:val="0"/>
                                                          <w:marBottom w:val="0"/>
                                                          <w:divBdr>
                                                            <w:top w:val="none" w:sz="0" w:space="0" w:color="auto"/>
                                                            <w:left w:val="none" w:sz="0" w:space="0" w:color="auto"/>
                                                            <w:bottom w:val="none" w:sz="0" w:space="0" w:color="auto"/>
                                                            <w:right w:val="none" w:sz="0" w:space="0" w:color="auto"/>
                                                          </w:divBdr>
                                                          <w:divsChild>
                                                            <w:div w:id="197939566">
                                                              <w:marLeft w:val="0"/>
                                                              <w:marRight w:val="0"/>
                                                              <w:marTop w:val="0"/>
                                                              <w:marBottom w:val="0"/>
                                                              <w:divBdr>
                                                                <w:top w:val="none" w:sz="0" w:space="0" w:color="auto"/>
                                                                <w:left w:val="none" w:sz="0" w:space="0" w:color="auto"/>
                                                                <w:bottom w:val="none" w:sz="0" w:space="0" w:color="auto"/>
                                                                <w:right w:val="none" w:sz="0" w:space="0" w:color="auto"/>
                                                              </w:divBdr>
                                                              <w:divsChild>
                                                                <w:div w:id="463079982">
                                                                  <w:marLeft w:val="0"/>
                                                                  <w:marRight w:val="0"/>
                                                                  <w:marTop w:val="0"/>
                                                                  <w:marBottom w:val="0"/>
                                                                  <w:divBdr>
                                                                    <w:top w:val="none" w:sz="0" w:space="0" w:color="auto"/>
                                                                    <w:left w:val="none" w:sz="0" w:space="0" w:color="auto"/>
                                                                    <w:bottom w:val="none" w:sz="0" w:space="0" w:color="auto"/>
                                                                    <w:right w:val="none" w:sz="0" w:space="0" w:color="auto"/>
                                                                  </w:divBdr>
                                                                  <w:divsChild>
                                                                    <w:div w:id="1782529496">
                                                                      <w:marLeft w:val="0"/>
                                                                      <w:marRight w:val="0"/>
                                                                      <w:marTop w:val="0"/>
                                                                      <w:marBottom w:val="450"/>
                                                                      <w:divBdr>
                                                                        <w:top w:val="single" w:sz="2" w:space="0" w:color="CCCCCC"/>
                                                                        <w:left w:val="single" w:sz="2" w:space="0" w:color="CCCCCC"/>
                                                                        <w:bottom w:val="single" w:sz="6" w:space="8" w:color="CCCCCC"/>
                                                                        <w:right w:val="single" w:sz="2" w:space="0" w:color="CCCCCC"/>
                                                                      </w:divBdr>
                                                                      <w:divsChild>
                                                                        <w:div w:id="388308952">
                                                                          <w:marLeft w:val="0"/>
                                                                          <w:marRight w:val="0"/>
                                                                          <w:marTop w:val="0"/>
                                                                          <w:marBottom w:val="300"/>
                                                                          <w:divBdr>
                                                                            <w:top w:val="none" w:sz="0" w:space="0" w:color="auto"/>
                                                                            <w:left w:val="none" w:sz="0" w:space="0" w:color="auto"/>
                                                                            <w:bottom w:val="none" w:sz="0" w:space="0" w:color="auto"/>
                                                                            <w:right w:val="none" w:sz="0" w:space="0" w:color="auto"/>
                                                                          </w:divBdr>
                                                                        </w:div>
                                                                        <w:div w:id="12124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323220">
      <w:bodyDiv w:val="1"/>
      <w:marLeft w:val="0"/>
      <w:marRight w:val="0"/>
      <w:marTop w:val="0"/>
      <w:marBottom w:val="0"/>
      <w:divBdr>
        <w:top w:val="none" w:sz="0" w:space="0" w:color="auto"/>
        <w:left w:val="none" w:sz="0" w:space="0" w:color="auto"/>
        <w:bottom w:val="none" w:sz="0" w:space="0" w:color="auto"/>
        <w:right w:val="none" w:sz="0" w:space="0" w:color="auto"/>
      </w:divBdr>
    </w:div>
    <w:div w:id="1556769209">
      <w:bodyDiv w:val="1"/>
      <w:marLeft w:val="0"/>
      <w:marRight w:val="0"/>
      <w:marTop w:val="0"/>
      <w:marBottom w:val="0"/>
      <w:divBdr>
        <w:top w:val="none" w:sz="0" w:space="0" w:color="auto"/>
        <w:left w:val="none" w:sz="0" w:space="0" w:color="auto"/>
        <w:bottom w:val="none" w:sz="0" w:space="0" w:color="auto"/>
        <w:right w:val="none" w:sz="0" w:space="0" w:color="auto"/>
      </w:divBdr>
    </w:div>
    <w:div w:id="1579174887">
      <w:bodyDiv w:val="1"/>
      <w:marLeft w:val="0"/>
      <w:marRight w:val="0"/>
      <w:marTop w:val="0"/>
      <w:marBottom w:val="0"/>
      <w:divBdr>
        <w:top w:val="none" w:sz="0" w:space="0" w:color="auto"/>
        <w:left w:val="none" w:sz="0" w:space="0" w:color="auto"/>
        <w:bottom w:val="none" w:sz="0" w:space="0" w:color="auto"/>
        <w:right w:val="none" w:sz="0" w:space="0" w:color="auto"/>
      </w:divBdr>
    </w:div>
    <w:div w:id="1665163241">
      <w:bodyDiv w:val="1"/>
      <w:marLeft w:val="0"/>
      <w:marRight w:val="0"/>
      <w:marTop w:val="0"/>
      <w:marBottom w:val="0"/>
      <w:divBdr>
        <w:top w:val="none" w:sz="0" w:space="0" w:color="auto"/>
        <w:left w:val="none" w:sz="0" w:space="0" w:color="auto"/>
        <w:bottom w:val="none" w:sz="0" w:space="0" w:color="auto"/>
        <w:right w:val="none" w:sz="0" w:space="0" w:color="auto"/>
      </w:divBdr>
    </w:div>
    <w:div w:id="1768689606">
      <w:bodyDiv w:val="1"/>
      <w:marLeft w:val="0"/>
      <w:marRight w:val="0"/>
      <w:marTop w:val="0"/>
      <w:marBottom w:val="0"/>
      <w:divBdr>
        <w:top w:val="none" w:sz="0" w:space="0" w:color="auto"/>
        <w:left w:val="none" w:sz="0" w:space="0" w:color="auto"/>
        <w:bottom w:val="none" w:sz="0" w:space="0" w:color="auto"/>
        <w:right w:val="none" w:sz="0" w:space="0" w:color="auto"/>
      </w:divBdr>
    </w:div>
    <w:div w:id="1799102887">
      <w:bodyDiv w:val="1"/>
      <w:marLeft w:val="0"/>
      <w:marRight w:val="0"/>
      <w:marTop w:val="0"/>
      <w:marBottom w:val="0"/>
      <w:divBdr>
        <w:top w:val="none" w:sz="0" w:space="0" w:color="auto"/>
        <w:left w:val="none" w:sz="0" w:space="0" w:color="auto"/>
        <w:bottom w:val="none" w:sz="0" w:space="0" w:color="auto"/>
        <w:right w:val="none" w:sz="0" w:space="0" w:color="auto"/>
      </w:divBdr>
    </w:div>
    <w:div w:id="1901935522">
      <w:bodyDiv w:val="1"/>
      <w:marLeft w:val="0"/>
      <w:marRight w:val="0"/>
      <w:marTop w:val="0"/>
      <w:marBottom w:val="0"/>
      <w:divBdr>
        <w:top w:val="none" w:sz="0" w:space="0" w:color="auto"/>
        <w:left w:val="none" w:sz="0" w:space="0" w:color="auto"/>
        <w:bottom w:val="none" w:sz="0" w:space="0" w:color="auto"/>
        <w:right w:val="none" w:sz="0" w:space="0" w:color="auto"/>
      </w:divBdr>
    </w:div>
    <w:div w:id="2085835553">
      <w:bodyDiv w:val="1"/>
      <w:marLeft w:val="0"/>
      <w:marRight w:val="0"/>
      <w:marTop w:val="0"/>
      <w:marBottom w:val="0"/>
      <w:divBdr>
        <w:top w:val="none" w:sz="0" w:space="0" w:color="auto"/>
        <w:left w:val="none" w:sz="0" w:space="0" w:color="auto"/>
        <w:bottom w:val="none" w:sz="0" w:space="0" w:color="auto"/>
        <w:right w:val="none" w:sz="0" w:space="0" w:color="auto"/>
      </w:divBdr>
    </w:div>
    <w:div w:id="21346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hal\AppData\Local\Microsoft\Windows\Temporary%20Internet%20Files\Content.Outlook\QASL91KN\Sentech%20Procurement%20Approach%20Quot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Sentech Procurement Approach Quotations</Template>
  <TotalTime>12</TotalTime>
  <Pages>6</Pages>
  <Words>1337</Words>
  <Characters>7457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SOW Template 2021</vt:lpstr>
    </vt:vector>
  </TitlesOfParts>
  <Company>csir</Company>
  <LinksUpToDate>false</LinksUpToDate>
  <CharactersWithSpaces>8777</CharactersWithSpaces>
  <SharedDoc>false</SharedDoc>
  <HLinks>
    <vt:vector size="6" baseType="variant">
      <vt:variant>
        <vt:i4>6881295</vt:i4>
      </vt:variant>
      <vt:variant>
        <vt:i4>0</vt:i4>
      </vt:variant>
      <vt:variant>
        <vt:i4>0</vt:i4>
      </vt:variant>
      <vt:variant>
        <vt:i4>5</vt:i4>
      </vt:variant>
      <vt:variant>
        <vt:lpwstr>mailto:rasellop@sentech.co.za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Template 2021</dc:title>
  <dc:subject/>
  <dc:creator>B. Mgabi</dc:creator>
  <cp:keywords/>
  <dc:description/>
  <cp:lastModifiedBy>Zanele ZP. Zulu</cp:lastModifiedBy>
  <cp:revision>2</cp:revision>
  <cp:lastPrinted>2015-06-03T09:23:00Z</cp:lastPrinted>
  <dcterms:created xsi:type="dcterms:W3CDTF">2021-10-07T07:21:00Z</dcterms:created>
  <dcterms:modified xsi:type="dcterms:W3CDTF">2021-10-07T07:21:00Z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