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3CE702C5"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0562136A" w14:textId="77777777" w:rsidR="00870839" w:rsidRPr="00870839" w:rsidRDefault="00870839"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870839" w:rsidRDefault="00870839" w:rsidP="00870839">
      <w:pPr>
        <w:spacing w:after="0" w:line="360" w:lineRule="auto"/>
        <w:jc w:val="center"/>
        <w:rPr>
          <w:rFonts w:ascii="Arial" w:eastAsia="Times New Roman" w:hAnsi="Arial" w:cs="Arial"/>
          <w:b/>
          <w:lang w:val="en-GB"/>
        </w:rPr>
      </w:pPr>
    </w:p>
    <w:p w14:paraId="5DCFEA69"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0C609717"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4B9106A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EAEBC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8283" w14:textId="77777777" w:rsidR="00870839" w:rsidRDefault="00870839" w:rsidP="00870839">
      <w:pPr>
        <w:spacing w:after="0" w:line="360" w:lineRule="auto"/>
        <w:ind w:left="720" w:hanging="720"/>
        <w:jc w:val="both"/>
        <w:rPr>
          <w:rFonts w:ascii="Arial" w:eastAsia="Times New Roman" w:hAnsi="Arial" w:cs="Arial"/>
          <w:lang w:val="en-GB"/>
        </w:rPr>
      </w:pPr>
    </w:p>
    <w:p w14:paraId="1D1BA3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85A2DA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696F07B" w14:textId="77777777" w:rsidR="00870839" w:rsidRPr="00870839" w:rsidRDefault="00870839" w:rsidP="00870839">
      <w:pPr>
        <w:spacing w:after="0" w:line="360" w:lineRule="auto"/>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 xml:space="preserve">Except as otherwise contemplated in this Agreement, the Parties agree in favour of one another not to utilise, exploit or in any other manner whatsoever use the Confidential Information disclosed pursuant to the provisions of this Agreement for any </w:t>
      </w:r>
      <w:r w:rsidRPr="00870839">
        <w:rPr>
          <w:rFonts w:ascii="Arial" w:eastAsia="Times New Roman" w:hAnsi="Arial" w:cs="Arial"/>
          <w:lang w:val="en-GB"/>
        </w:rPr>
        <w:lastRenderedPageBreak/>
        <w:t>purpose whatsoever other than the Project without the prior written consent of the Disclosing Party.</w:t>
      </w:r>
    </w:p>
    <w:p w14:paraId="4F306F1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77777777" w:rsidR="00870839" w:rsidRDefault="0087083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77777777" w:rsidR="00870839" w:rsidRPr="00870839" w:rsidRDefault="0087083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77777777" w:rsidR="00870839" w:rsidRPr="00870839" w:rsidRDefault="0087083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lastRenderedPageBreak/>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31685347" w14:textId="77777777" w:rsidTr="00870839">
        <w:tc>
          <w:tcPr>
            <w:tcW w:w="1231" w:type="dxa"/>
          </w:tcPr>
          <w:p w14:paraId="26AC712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4BE063D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7A634E0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4EB5465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1B589C1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732752D9" w14:textId="77777777" w:rsidTr="00870839">
        <w:tc>
          <w:tcPr>
            <w:tcW w:w="1231" w:type="dxa"/>
          </w:tcPr>
          <w:p w14:paraId="0A4FA47C"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2C65ECC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5D399649"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0547625D"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1E953638"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5D4DD12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0D5E3BC3"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7FB260D5" w14:textId="77777777" w:rsidTr="00870839">
        <w:tc>
          <w:tcPr>
            <w:tcW w:w="1231" w:type="dxa"/>
          </w:tcPr>
          <w:p w14:paraId="46A232B6"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57804EE6"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05FC523"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251ACC06"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1011C2D9"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46CA8F2" w14:textId="77777777" w:rsidR="00870839" w:rsidRPr="00870839" w:rsidRDefault="00870839" w:rsidP="00870839">
            <w:pPr>
              <w:spacing w:after="0" w:line="360" w:lineRule="auto"/>
              <w:jc w:val="both"/>
              <w:rPr>
                <w:rFonts w:ascii="Arial" w:eastAsia="Times New Roman" w:hAnsi="Arial" w:cs="Arial"/>
                <w:smallCaps/>
                <w:lang w:val="en-GB"/>
              </w:rPr>
            </w:pPr>
          </w:p>
          <w:p w14:paraId="279A028A" w14:textId="77777777" w:rsidR="00870839" w:rsidRPr="00870839" w:rsidRDefault="00870839" w:rsidP="00870839">
            <w:pPr>
              <w:spacing w:after="0" w:line="360" w:lineRule="auto"/>
              <w:jc w:val="both"/>
              <w:rPr>
                <w:rFonts w:ascii="Arial" w:eastAsia="Times New Roman" w:hAnsi="Arial" w:cs="Arial"/>
                <w:smallCaps/>
                <w:lang w:val="en-GB"/>
              </w:rPr>
            </w:pPr>
          </w:p>
          <w:p w14:paraId="5A602B91" w14:textId="77777777" w:rsidR="00870839" w:rsidRPr="00870839" w:rsidRDefault="00870839" w:rsidP="00870839">
            <w:pPr>
              <w:spacing w:after="0" w:line="360" w:lineRule="auto"/>
              <w:jc w:val="both"/>
              <w:rPr>
                <w:rFonts w:ascii="Arial" w:eastAsia="Times New Roman" w:hAnsi="Arial" w:cs="Arial"/>
                <w:smallCaps/>
                <w:lang w:val="en-GB"/>
              </w:rPr>
            </w:pPr>
          </w:p>
          <w:p w14:paraId="367445CC" w14:textId="77777777" w:rsidR="00870839" w:rsidRPr="00870839" w:rsidRDefault="00870839" w:rsidP="00870839">
            <w:pPr>
              <w:spacing w:after="0" w:line="360" w:lineRule="auto"/>
              <w:jc w:val="both"/>
              <w:rPr>
                <w:rFonts w:ascii="Arial" w:eastAsia="Times New Roman" w:hAnsi="Arial" w:cs="Arial"/>
                <w:smallCaps/>
                <w:lang w:val="en-GB"/>
              </w:rPr>
            </w:pPr>
          </w:p>
          <w:p w14:paraId="25A68112"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lastRenderedPageBreak/>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65E93137"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E1204AA"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5449C6FF"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agreement, </w:t>
      </w:r>
      <w:proofErr w:type="gramStart"/>
      <w:r w:rsidRPr="00870839">
        <w:rPr>
          <w:rFonts w:ascii="Arial" w:eastAsia="Times New Roman" w:hAnsi="Arial" w:cs="Arial"/>
          <w:lang w:val="en-GB"/>
        </w:rPr>
        <w:t>document</w:t>
      </w:r>
      <w:proofErr w:type="gramEnd"/>
      <w:r w:rsidRPr="00870839">
        <w:rPr>
          <w:rFonts w:ascii="Arial" w:eastAsia="Times New Roman" w:hAnsi="Arial" w:cs="Arial"/>
          <w:lang w:val="en-GB"/>
        </w:rPr>
        <w:t xml:space="preserve">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lastRenderedPageBreak/>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02C9CE60" w14:textId="77777777" w:rsidR="00870839" w:rsidRPr="00870839" w:rsidRDefault="00870839" w:rsidP="00870839">
      <w:pPr>
        <w:spacing w:after="0" w:line="480" w:lineRule="auto"/>
        <w:jc w:val="both"/>
        <w:rPr>
          <w:rFonts w:ascii="Arial" w:eastAsia="Times New Roman" w:hAnsi="Arial" w:cs="Arial"/>
        </w:rPr>
      </w:pPr>
    </w:p>
    <w:p w14:paraId="12FED98C"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09130319" w14:textId="77777777" w:rsidTr="00870839">
        <w:trPr>
          <w:trHeight w:hRule="exact" w:val="1120"/>
        </w:trPr>
        <w:tc>
          <w:tcPr>
            <w:tcW w:w="4403" w:type="dxa"/>
            <w:gridSpan w:val="2"/>
            <w:tcBorders>
              <w:top w:val="single" w:sz="8" w:space="0" w:color="auto"/>
              <w:left w:val="nil"/>
              <w:bottom w:val="single" w:sz="8" w:space="0" w:color="auto"/>
              <w:right w:val="nil"/>
            </w:tcBorders>
          </w:tcPr>
          <w:p w14:paraId="26C46E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8DB8B75"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7981F14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7E482EBF" w14:textId="77777777" w:rsidTr="00870839">
        <w:trPr>
          <w:trHeight w:hRule="exact" w:val="400"/>
        </w:trPr>
        <w:tc>
          <w:tcPr>
            <w:tcW w:w="4403" w:type="dxa"/>
            <w:gridSpan w:val="2"/>
            <w:tcBorders>
              <w:top w:val="single" w:sz="8" w:space="0" w:color="auto"/>
              <w:left w:val="nil"/>
              <w:bottom w:val="nil"/>
              <w:right w:val="nil"/>
            </w:tcBorders>
          </w:tcPr>
          <w:p w14:paraId="396A8D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236421C"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2EAF97E" w14:textId="77777777" w:rsidTr="00870839">
        <w:trPr>
          <w:trHeight w:hRule="exact" w:val="400"/>
        </w:trPr>
        <w:tc>
          <w:tcPr>
            <w:tcW w:w="1242" w:type="dxa"/>
            <w:tcBorders>
              <w:top w:val="nil"/>
              <w:left w:val="nil"/>
              <w:bottom w:val="nil"/>
              <w:right w:val="nil"/>
            </w:tcBorders>
            <w:vAlign w:val="bottom"/>
          </w:tcPr>
          <w:p w14:paraId="6692F53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2ED68FB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7854D4B8"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971843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056019A" w14:textId="77777777" w:rsidTr="00870839">
        <w:trPr>
          <w:trHeight w:hRule="exact" w:val="720"/>
        </w:trPr>
        <w:tc>
          <w:tcPr>
            <w:tcW w:w="4403" w:type="dxa"/>
            <w:gridSpan w:val="2"/>
            <w:tcBorders>
              <w:top w:val="nil"/>
              <w:left w:val="nil"/>
              <w:bottom w:val="nil"/>
              <w:right w:val="nil"/>
            </w:tcBorders>
            <w:vAlign w:val="bottom"/>
          </w:tcPr>
          <w:p w14:paraId="4B722EBD"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677EB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1A349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9033596" w14:textId="77777777" w:rsidTr="00870839">
        <w:trPr>
          <w:trHeight w:hRule="exact" w:val="800"/>
        </w:trPr>
        <w:tc>
          <w:tcPr>
            <w:tcW w:w="4403" w:type="dxa"/>
            <w:gridSpan w:val="2"/>
            <w:tcBorders>
              <w:top w:val="nil"/>
              <w:left w:val="nil"/>
              <w:bottom w:val="single" w:sz="8" w:space="0" w:color="auto"/>
              <w:right w:val="nil"/>
            </w:tcBorders>
          </w:tcPr>
          <w:p w14:paraId="1E8821B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782998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849FD9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69930A68"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50E07BA0" w14:textId="77777777" w:rsidTr="00870839">
        <w:trPr>
          <w:trHeight w:hRule="exact" w:val="1120"/>
        </w:trPr>
        <w:tc>
          <w:tcPr>
            <w:tcW w:w="4403" w:type="dxa"/>
            <w:gridSpan w:val="2"/>
            <w:tcBorders>
              <w:top w:val="single" w:sz="8" w:space="0" w:color="auto"/>
              <w:left w:val="nil"/>
              <w:bottom w:val="single" w:sz="8" w:space="0" w:color="auto"/>
              <w:right w:val="nil"/>
            </w:tcBorders>
          </w:tcPr>
          <w:p w14:paraId="1B2B945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1E7513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52242D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F4CE060" w14:textId="77777777" w:rsidTr="00870839">
        <w:trPr>
          <w:trHeight w:hRule="exact" w:val="400"/>
        </w:trPr>
        <w:tc>
          <w:tcPr>
            <w:tcW w:w="4403" w:type="dxa"/>
            <w:gridSpan w:val="2"/>
            <w:tcBorders>
              <w:top w:val="single" w:sz="8" w:space="0" w:color="auto"/>
              <w:left w:val="nil"/>
              <w:bottom w:val="nil"/>
              <w:right w:val="nil"/>
            </w:tcBorders>
          </w:tcPr>
          <w:p w14:paraId="4EF37C4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6DF43AE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D84EB8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348BB82" w14:textId="77777777" w:rsidR="003914DE" w:rsidRDefault="003914DE">
      <w:pPr>
        <w:rPr>
          <w:rFonts w:ascii="Arial" w:hAnsi="Arial" w:cs="Arial"/>
          <w:sz w:val="20"/>
          <w:szCs w:val="20"/>
          <w:lang w:val="en-GB"/>
        </w:rPr>
      </w:pPr>
    </w:p>
    <w:sectPr w:rsidR="003914DE" w:rsidSect="00A22E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1F50" w14:textId="77777777" w:rsidR="005E1813" w:rsidRDefault="005E1813" w:rsidP="00201A98">
      <w:pPr>
        <w:spacing w:after="0" w:line="240" w:lineRule="auto"/>
      </w:pPr>
      <w:r>
        <w:separator/>
      </w:r>
    </w:p>
  </w:endnote>
  <w:endnote w:type="continuationSeparator" w:id="0">
    <w:p w14:paraId="444A05F9" w14:textId="77777777" w:rsidR="005E1813" w:rsidRDefault="005E181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CAE5" w14:textId="77777777" w:rsidR="00947FF5" w:rsidRDefault="00947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74B0956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5737074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71F0B0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11BE44B"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2EB8" w14:textId="77777777" w:rsidR="00947FF5" w:rsidRDefault="0094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AB36" w14:textId="77777777" w:rsidR="005E1813" w:rsidRDefault="005E1813" w:rsidP="00201A98">
      <w:pPr>
        <w:spacing w:after="0" w:line="240" w:lineRule="auto"/>
      </w:pPr>
      <w:r>
        <w:separator/>
      </w:r>
    </w:p>
  </w:footnote>
  <w:footnote w:type="continuationSeparator" w:id="0">
    <w:p w14:paraId="7BC122E0" w14:textId="77777777" w:rsidR="005E1813" w:rsidRDefault="005E181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9505" w14:textId="77777777" w:rsidR="00947FF5" w:rsidRDefault="00947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092F50D1" w14:textId="77777777" w:rsidTr="00870839">
      <w:trPr>
        <w:cantSplit/>
        <w:trHeight w:val="263"/>
        <w:jc w:val="center"/>
      </w:trPr>
      <w:tc>
        <w:tcPr>
          <w:tcW w:w="2410" w:type="dxa"/>
          <w:vMerge w:val="restart"/>
          <w:vAlign w:val="bottom"/>
        </w:tcPr>
        <w:p w14:paraId="5A2C9E5C"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32193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1117679" r:id="rId2"/>
            </w:object>
          </w:r>
        </w:p>
      </w:tc>
      <w:tc>
        <w:tcPr>
          <w:tcW w:w="3544" w:type="dxa"/>
          <w:vMerge w:val="restart"/>
          <w:vAlign w:val="center"/>
        </w:tcPr>
        <w:p w14:paraId="7CC408F5"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0798A188"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579A212"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264B40D7"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300349B4"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4DBE6E99" w14:textId="77777777" w:rsidTr="00870839">
      <w:trPr>
        <w:cantSplit/>
        <w:trHeight w:val="261"/>
        <w:jc w:val="center"/>
      </w:trPr>
      <w:tc>
        <w:tcPr>
          <w:tcW w:w="2410" w:type="dxa"/>
          <w:vMerge/>
          <w:vAlign w:val="bottom"/>
        </w:tcPr>
        <w:p w14:paraId="773C0DE8" w14:textId="77777777" w:rsidR="00947FF5" w:rsidRPr="003914DE" w:rsidRDefault="00947FF5" w:rsidP="00EA1B3D">
          <w:pPr>
            <w:spacing w:before="840"/>
            <w:rPr>
              <w:rFonts w:ascii="Arial" w:hAnsi="Arial"/>
              <w:b/>
              <w:lang w:val="en-GB"/>
            </w:rPr>
          </w:pPr>
        </w:p>
      </w:tc>
      <w:tc>
        <w:tcPr>
          <w:tcW w:w="3544" w:type="dxa"/>
          <w:vMerge/>
          <w:vAlign w:val="center"/>
        </w:tcPr>
        <w:p w14:paraId="55EE6F05" w14:textId="77777777" w:rsidR="00947FF5" w:rsidRPr="003914DE" w:rsidRDefault="00947FF5" w:rsidP="00EA1B3D">
          <w:pPr>
            <w:jc w:val="center"/>
            <w:rPr>
              <w:rFonts w:ascii="Arial" w:hAnsi="Arial" w:cs="Arial"/>
              <w:b/>
              <w:lang w:val="en-GB"/>
            </w:rPr>
          </w:pPr>
        </w:p>
      </w:tc>
      <w:tc>
        <w:tcPr>
          <w:tcW w:w="1559" w:type="dxa"/>
          <w:shd w:val="clear" w:color="auto" w:fill="auto"/>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92D8A14"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515BE71F"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5C32F576" w14:textId="77777777" w:rsidTr="00870839">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544" w:type="dxa"/>
          <w:vMerge/>
          <w:vAlign w:val="center"/>
        </w:tcPr>
        <w:p w14:paraId="7891DEB9"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036BDE11"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43EC59DF" w14:textId="77777777" w:rsidTr="00870839">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544" w:type="dxa"/>
          <w:vMerge/>
          <w:vAlign w:val="center"/>
        </w:tcPr>
        <w:p w14:paraId="4BF96EED"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07397FE6"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007281CC" w14:textId="77777777" w:rsidTr="00870839">
      <w:trPr>
        <w:cantSplit/>
        <w:trHeight w:hRule="exact" w:val="514"/>
        <w:jc w:val="center"/>
      </w:trPr>
      <w:tc>
        <w:tcPr>
          <w:tcW w:w="5954" w:type="dxa"/>
          <w:gridSpan w:val="2"/>
          <w:vAlign w:val="bottom"/>
        </w:tcPr>
        <w:p w14:paraId="5D408625"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shd w:val="clear" w:color="auto" w:fill="auto"/>
          <w:vAlign w:val="center"/>
        </w:tcPr>
        <w:p w14:paraId="0F6713E2" w14:textId="77777777" w:rsidR="00870839" w:rsidRPr="00870839" w:rsidRDefault="00870839" w:rsidP="00870839">
          <w:pPr>
            <w:spacing w:after="0"/>
            <w:jc w:val="center"/>
            <w:rPr>
              <w:rFonts w:ascii="Arial" w:hAnsi="Arial"/>
              <w:sz w:val="20"/>
              <w:lang w:val="en-GB"/>
            </w:rPr>
          </w:pPr>
          <w:r w:rsidRPr="00870839">
            <w:rPr>
              <w:rFonts w:ascii="Arial" w:eastAsia="Times New Roman" w:hAnsi="Arial" w:cs="Arial"/>
              <w:b/>
              <w:i/>
              <w:sz w:val="20"/>
              <w:szCs w:val="20"/>
              <w:highlight w:val="yellow"/>
              <w:lang w:val="en-US"/>
            </w:rPr>
            <w:t>[insert Project Title in the header of each page]</w:t>
          </w:r>
        </w:p>
      </w:tc>
    </w:tr>
  </w:tbl>
  <w:p w14:paraId="43EA2788" w14:textId="77777777" w:rsidR="00870839" w:rsidRDefault="00870839"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DE08" w14:textId="77777777" w:rsidR="00947FF5" w:rsidRDefault="00947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82CC4"/>
    <w:rsid w:val="000A01FA"/>
    <w:rsid w:val="000B165C"/>
    <w:rsid w:val="000B656D"/>
    <w:rsid w:val="000F790D"/>
    <w:rsid w:val="001477A3"/>
    <w:rsid w:val="00155248"/>
    <w:rsid w:val="001D042C"/>
    <w:rsid w:val="00201A98"/>
    <w:rsid w:val="00202BB5"/>
    <w:rsid w:val="003113D9"/>
    <w:rsid w:val="00332369"/>
    <w:rsid w:val="003914DE"/>
    <w:rsid w:val="003B3ABD"/>
    <w:rsid w:val="003E4D3F"/>
    <w:rsid w:val="003F2387"/>
    <w:rsid w:val="003F7B1E"/>
    <w:rsid w:val="00457274"/>
    <w:rsid w:val="00460577"/>
    <w:rsid w:val="004E19F4"/>
    <w:rsid w:val="00550760"/>
    <w:rsid w:val="005765A0"/>
    <w:rsid w:val="005E1813"/>
    <w:rsid w:val="005E3BE0"/>
    <w:rsid w:val="005E6044"/>
    <w:rsid w:val="00627923"/>
    <w:rsid w:val="00657B8A"/>
    <w:rsid w:val="00732A3F"/>
    <w:rsid w:val="007A6F13"/>
    <w:rsid w:val="00870839"/>
    <w:rsid w:val="0088295E"/>
    <w:rsid w:val="00947FF5"/>
    <w:rsid w:val="00A22EF4"/>
    <w:rsid w:val="00A235A1"/>
    <w:rsid w:val="00A67C16"/>
    <w:rsid w:val="00A72491"/>
    <w:rsid w:val="00A92D53"/>
    <w:rsid w:val="00B71023"/>
    <w:rsid w:val="00BA5C88"/>
    <w:rsid w:val="00BE6D5F"/>
    <w:rsid w:val="00C40E58"/>
    <w:rsid w:val="00C72E5D"/>
    <w:rsid w:val="00C8088F"/>
    <w:rsid w:val="00CA666C"/>
    <w:rsid w:val="00DB22F3"/>
    <w:rsid w:val="00E3469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Xolani Mhlakaza</cp:lastModifiedBy>
  <cp:revision>2</cp:revision>
  <dcterms:created xsi:type="dcterms:W3CDTF">2023-03-23T21:02:00Z</dcterms:created>
  <dcterms:modified xsi:type="dcterms:W3CDTF">2023-03-23T21:02:00Z</dcterms:modified>
</cp:coreProperties>
</file>