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116887A" w:rsidR="00EC662F" w:rsidRPr="00CA1205" w:rsidRDefault="00480CAA" w:rsidP="003907E7">
            <w:pPr>
              <w:spacing w:line="360" w:lineRule="auto"/>
              <w:jc w:val="both"/>
              <w:rPr>
                <w:rFonts w:ascii="Arial" w:hAnsi="Arial" w:cs="Arial"/>
                <w:sz w:val="20"/>
              </w:rPr>
            </w:pPr>
            <w:r w:rsidRPr="00480CAA">
              <w:rPr>
                <w:rFonts w:ascii="Arial" w:hAnsi="Arial" w:cs="Arial"/>
                <w:sz w:val="20"/>
              </w:rPr>
              <w:t>Secure Web Gateway Solution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617D2C9" w:rsidR="00EB6A30" w:rsidRPr="00F0521B" w:rsidRDefault="00480CAA" w:rsidP="00EB03A4">
            <w:pPr>
              <w:spacing w:before="60" w:after="60" w:line="276" w:lineRule="auto"/>
              <w:jc w:val="both"/>
              <w:rPr>
                <w:rFonts w:ascii="Arial" w:hAnsi="Arial" w:cs="Arial"/>
                <w:sz w:val="20"/>
              </w:rPr>
            </w:pPr>
            <w:r>
              <w:rPr>
                <w:rFonts w:ascii="Arial" w:hAnsi="Arial" w:cs="Arial"/>
                <w:sz w:val="20"/>
              </w:rPr>
              <w:t>5</w:t>
            </w:r>
            <w:r w:rsidR="00EB03A4">
              <w:rPr>
                <w:rFonts w:ascii="Arial" w:hAnsi="Arial" w:cs="Arial"/>
                <w:sz w:val="20"/>
              </w:rPr>
              <w:t xml:space="preserve"> year</w:t>
            </w:r>
            <w:r w:rsidR="003D78F9" w:rsidRPr="00CF781D">
              <w:rPr>
                <w:rFonts w:ascii="Arial" w:hAnsi="Arial" w:cs="Arial"/>
                <w:sz w:val="20"/>
              </w:rPr>
              <w:t>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4AAA55F5" w:rsidR="00304117" w:rsidRPr="00CF781D" w:rsidRDefault="00480CAA" w:rsidP="00F0521B">
            <w:pPr>
              <w:spacing w:before="60" w:after="60" w:line="276" w:lineRule="auto"/>
              <w:jc w:val="both"/>
              <w:rPr>
                <w:rFonts w:ascii="Arial" w:hAnsi="Arial" w:cs="Arial"/>
                <w:sz w:val="20"/>
              </w:rPr>
            </w:pPr>
            <w:r>
              <w:rPr>
                <w:rFonts w:ascii="Arial" w:hAnsi="Arial" w:cs="Arial"/>
                <w:sz w:val="20"/>
              </w:rPr>
              <w:t>Mbulelo Mncengani</w:t>
            </w:r>
          </w:p>
        </w:tc>
      </w:tr>
    </w:tbl>
    <w:p w14:paraId="7E0C69C0" w14:textId="77777777" w:rsidR="00EB6A30" w:rsidRPr="00EB6A30" w:rsidRDefault="00EB6A30" w:rsidP="00EB6A30">
      <w:pPr>
        <w:spacing w:line="276" w:lineRule="auto"/>
        <w:rPr>
          <w:rFonts w:ascii="Arial" w:hAnsi="Arial" w:cs="Arial"/>
        </w:rPr>
      </w:pPr>
    </w:p>
    <w:p w14:paraId="3D41DB38"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33582D49" w14:textId="77777777" w:rsidTr="00304117">
        <w:tc>
          <w:tcPr>
            <w:tcW w:w="9016" w:type="dxa"/>
            <w:shd w:val="clear" w:color="auto" w:fill="000000" w:themeFill="text1"/>
          </w:tcPr>
          <w:p w14:paraId="2283BF8C"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5071F37C" w14:textId="77777777" w:rsidTr="00115ECC">
        <w:trPr>
          <w:trHeight w:val="298"/>
        </w:trPr>
        <w:tc>
          <w:tcPr>
            <w:tcW w:w="9016" w:type="dxa"/>
          </w:tcPr>
          <w:p w14:paraId="58CE11AD"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2E158599" w14:textId="77777777" w:rsidTr="00304117">
              <w:tc>
                <w:tcPr>
                  <w:tcW w:w="5680" w:type="dxa"/>
                  <w:tcBorders>
                    <w:right w:val="single" w:sz="4" w:space="0" w:color="auto"/>
                  </w:tcBorders>
                </w:tcPr>
                <w:p w14:paraId="7488F09D"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77430BE6" w14:textId="77777777" w:rsidTr="00304117">
              <w:tc>
                <w:tcPr>
                  <w:tcW w:w="5680" w:type="dxa"/>
                  <w:tcBorders>
                    <w:right w:val="single" w:sz="4" w:space="0" w:color="auto"/>
                  </w:tcBorders>
                </w:tcPr>
                <w:p w14:paraId="0AB2FD27"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79C5D270" w14:textId="77777777" w:rsidTr="00304117">
              <w:tc>
                <w:tcPr>
                  <w:tcW w:w="5680" w:type="dxa"/>
                  <w:tcBorders>
                    <w:right w:val="single" w:sz="4" w:space="0" w:color="auto"/>
                  </w:tcBorders>
                </w:tcPr>
                <w:p w14:paraId="622C788E"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1B150FD6" w14:textId="77777777" w:rsidTr="00304117">
              <w:tc>
                <w:tcPr>
                  <w:tcW w:w="5680" w:type="dxa"/>
                  <w:tcBorders>
                    <w:right w:val="single" w:sz="4" w:space="0" w:color="auto"/>
                  </w:tcBorders>
                </w:tcPr>
                <w:p w14:paraId="3609D237"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41D18957" w14:textId="77777777" w:rsidTr="00304117">
              <w:tc>
                <w:tcPr>
                  <w:tcW w:w="5680" w:type="dxa"/>
                  <w:tcBorders>
                    <w:right w:val="single" w:sz="4" w:space="0" w:color="auto"/>
                  </w:tcBorders>
                </w:tcPr>
                <w:p w14:paraId="120D3406"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1558FD11" w14:textId="77777777" w:rsidTr="00304117">
              <w:tc>
                <w:tcPr>
                  <w:tcW w:w="5680" w:type="dxa"/>
                  <w:tcBorders>
                    <w:right w:val="single" w:sz="4" w:space="0" w:color="auto"/>
                  </w:tcBorders>
                </w:tcPr>
                <w:p w14:paraId="1E8E9FC1"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304117" w:rsidRPr="00EB6A30" w:rsidRDefault="00304117" w:rsidP="00304117">
            <w:pPr>
              <w:rPr>
                <w:rFonts w:ascii="Arial" w:hAnsi="Arial" w:cs="Arial"/>
                <w:sz w:val="20"/>
              </w:rPr>
            </w:pPr>
          </w:p>
          <w:p w14:paraId="6EF01AF6"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2671099D"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598A916B"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33F9975B"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09303D9A" w14:textId="77777777"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3FC880C6" w14:textId="77777777" w:rsidTr="00304117">
              <w:tc>
                <w:tcPr>
                  <w:tcW w:w="5680" w:type="dxa"/>
                  <w:tcBorders>
                    <w:right w:val="single" w:sz="4" w:space="0" w:color="auto"/>
                  </w:tcBorders>
                </w:tcPr>
                <w:p w14:paraId="1DBD2ED7"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213AC551" w14:textId="77777777" w:rsidTr="00304117">
              <w:tc>
                <w:tcPr>
                  <w:tcW w:w="5680" w:type="dxa"/>
                  <w:tcBorders>
                    <w:right w:val="single" w:sz="4" w:space="0" w:color="auto"/>
                  </w:tcBorders>
                </w:tcPr>
                <w:p w14:paraId="0A010792"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7FE7AC30" w14:textId="77777777" w:rsidTr="00304117">
              <w:tc>
                <w:tcPr>
                  <w:tcW w:w="5680" w:type="dxa"/>
                  <w:tcBorders>
                    <w:right w:val="single" w:sz="4" w:space="0" w:color="auto"/>
                  </w:tcBorders>
                </w:tcPr>
                <w:p w14:paraId="66B07862"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304117" w:rsidRPr="00EB6A30" w:rsidRDefault="00304117" w:rsidP="00304117">
            <w:pPr>
              <w:rPr>
                <w:rFonts w:ascii="Arial" w:hAnsi="Arial" w:cs="Arial"/>
                <w:sz w:val="20"/>
              </w:rPr>
            </w:pPr>
          </w:p>
          <w:p w14:paraId="3AC02878"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EF748F" w:rsidRPr="00977B70" w:rsidRDefault="00EF748F"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977B70" w:rsidRPr="00977B70" w:rsidRDefault="00977B70" w:rsidP="00977B70">
            <w:pPr>
              <w:shd w:val="clear" w:color="auto" w:fill="DDD9C3" w:themeFill="background2" w:themeFillShade="E6"/>
              <w:spacing w:line="276" w:lineRule="auto"/>
              <w:ind w:left="360"/>
              <w:rPr>
                <w:rFonts w:ascii="Arial" w:hAnsi="Arial" w:cs="Arial"/>
                <w:b/>
                <w:sz w:val="16"/>
                <w:szCs w:val="16"/>
              </w:rPr>
            </w:pPr>
          </w:p>
          <w:p w14:paraId="17309C36"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sidR="003363BE">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lastRenderedPageBreak/>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3FE45757" w:rsidR="0037609B" w:rsidRDefault="0037609B" w:rsidP="002319CA">
      <w:pPr>
        <w:spacing w:before="60" w:after="60" w:line="276" w:lineRule="auto"/>
        <w:rPr>
          <w:rFonts w:ascii="Arial" w:hAnsi="Arial" w:cs="Arial"/>
          <w:b/>
          <w:sz w:val="20"/>
        </w:rPr>
      </w:pPr>
    </w:p>
    <w:p w14:paraId="35F78484" w14:textId="0DBB7F04" w:rsidR="00F83033" w:rsidRDefault="00F83033" w:rsidP="002319CA">
      <w:pPr>
        <w:spacing w:before="60" w:after="60" w:line="276" w:lineRule="auto"/>
        <w:rPr>
          <w:rFonts w:ascii="Arial" w:hAnsi="Arial" w:cs="Arial"/>
          <w:b/>
          <w:sz w:val="20"/>
        </w:rPr>
      </w:pPr>
    </w:p>
    <w:p w14:paraId="6D0462F7" w14:textId="77777777" w:rsidR="00460368" w:rsidRDefault="00460368" w:rsidP="002319CA">
      <w:pPr>
        <w:spacing w:before="60" w:after="60" w:line="276" w:lineRule="auto"/>
        <w:rPr>
          <w:rFonts w:ascii="Arial" w:hAnsi="Arial" w:cs="Arial"/>
          <w:b/>
          <w:sz w:val="20"/>
        </w:rPr>
      </w:pPr>
    </w:p>
    <w:p w14:paraId="62D67F86" w14:textId="77777777" w:rsidR="00F83033" w:rsidRDefault="00F83033"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23518DD5"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2B2EED" w:rsidRPr="002B2EED">
              <w:rPr>
                <w:rFonts w:ascii="Arial" w:hAnsi="Arial" w:cs="Arial"/>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0FE32DBE" w:rsidR="007D4E0A" w:rsidRPr="007D4E0A" w:rsidRDefault="002B2EED" w:rsidP="00DE2368">
                  <w:pPr>
                    <w:spacing w:line="276" w:lineRule="auto"/>
                    <w:jc w:val="center"/>
                    <w:rPr>
                      <w:rFonts w:ascii="Arial" w:hAnsi="Arial" w:cs="Arial"/>
                      <w:sz w:val="20"/>
                    </w:rPr>
                  </w:pPr>
                  <w:r>
                    <w:rPr>
                      <w:rFonts w:ascii="Arial" w:hAnsi="Arial" w:cs="Arial"/>
                      <w:sz w:val="20"/>
                    </w:rPr>
                    <w:t>25</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713E63" w:rsidRPr="000C5130" w14:paraId="5E5023AD" w14:textId="77777777" w:rsidTr="008A3FC8">
              <w:trPr>
                <w:trHeight w:val="359"/>
              </w:trPr>
              <w:tc>
                <w:tcPr>
                  <w:tcW w:w="3422"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480CAA" w:rsidRPr="000C5130" w14:paraId="54141FE4" w14:textId="77777777" w:rsidTr="008A3FC8">
              <w:trPr>
                <w:trHeight w:val="359"/>
              </w:trPr>
              <w:tc>
                <w:tcPr>
                  <w:tcW w:w="3422" w:type="dxa"/>
                  <w:shd w:val="clear" w:color="auto" w:fill="auto"/>
                  <w:vAlign w:val="bottom"/>
                </w:tcPr>
                <w:p w14:paraId="43758F5F" w14:textId="7C9CD194" w:rsidR="00480CAA" w:rsidRPr="008A3FC8" w:rsidRDefault="00480CAA" w:rsidP="00480CAA">
                  <w:pPr>
                    <w:spacing w:line="276" w:lineRule="auto"/>
                    <w:rPr>
                      <w:rFonts w:ascii="Arial" w:hAnsi="Arial" w:cs="Arial"/>
                      <w:sz w:val="20"/>
                    </w:rPr>
                  </w:pPr>
                  <w:r w:rsidRPr="00140917">
                    <w:rPr>
                      <w:rFonts w:ascii="Arial" w:hAnsi="Arial" w:cs="Arial"/>
                      <w:sz w:val="20"/>
                    </w:rPr>
                    <w:t>C</w:t>
                  </w:r>
                  <w:r>
                    <w:rPr>
                      <w:rFonts w:ascii="Arial" w:hAnsi="Arial" w:cs="Arial"/>
                      <w:sz w:val="20"/>
                    </w:rPr>
                    <w:t>ompTIA Cloud+</w:t>
                  </w:r>
                </w:p>
              </w:tc>
              <w:tc>
                <w:tcPr>
                  <w:tcW w:w="1920" w:type="dxa"/>
                </w:tcPr>
                <w:p w14:paraId="1009FC17" w14:textId="28B639A4" w:rsidR="00480CAA" w:rsidRDefault="000F6F93" w:rsidP="00480CAA">
                  <w:pPr>
                    <w:jc w:val="center"/>
                    <w:rPr>
                      <w:rFonts w:ascii="Arial" w:hAnsi="Arial" w:cs="Arial"/>
                      <w:sz w:val="20"/>
                    </w:rPr>
                  </w:pPr>
                  <w:r>
                    <w:rPr>
                      <w:rFonts w:ascii="Arial" w:hAnsi="Arial" w:cs="Arial"/>
                      <w:sz w:val="20"/>
                    </w:rPr>
                    <w:t>10</w:t>
                  </w:r>
                </w:p>
              </w:tc>
              <w:tc>
                <w:tcPr>
                  <w:tcW w:w="1984" w:type="dxa"/>
                </w:tcPr>
                <w:p w14:paraId="6A18CA41" w14:textId="77777777" w:rsidR="00480CAA" w:rsidRPr="008A3FC8" w:rsidRDefault="00480CAA" w:rsidP="00480CAA">
                  <w:pPr>
                    <w:tabs>
                      <w:tab w:val="left" w:pos="720"/>
                    </w:tabs>
                    <w:jc w:val="center"/>
                    <w:rPr>
                      <w:rFonts w:ascii="Arial" w:hAnsi="Arial" w:cs="Arial"/>
                      <w:b/>
                      <w:sz w:val="20"/>
                    </w:rPr>
                  </w:pPr>
                </w:p>
              </w:tc>
            </w:tr>
            <w:tr w:rsidR="000F6F93" w:rsidRPr="000C5130" w14:paraId="77943FE5" w14:textId="77777777" w:rsidTr="008A3FC8">
              <w:trPr>
                <w:trHeight w:val="359"/>
              </w:trPr>
              <w:tc>
                <w:tcPr>
                  <w:tcW w:w="3422" w:type="dxa"/>
                  <w:shd w:val="clear" w:color="auto" w:fill="auto"/>
                  <w:vAlign w:val="bottom"/>
                </w:tcPr>
                <w:p w14:paraId="6338D90F" w14:textId="68DD2572" w:rsidR="000F6F93" w:rsidRPr="00140917" w:rsidRDefault="000F6F93" w:rsidP="00480CAA">
                  <w:pPr>
                    <w:spacing w:line="276" w:lineRule="auto"/>
                    <w:rPr>
                      <w:rFonts w:ascii="Arial" w:hAnsi="Arial" w:cs="Arial"/>
                      <w:sz w:val="20"/>
                    </w:rPr>
                  </w:pPr>
                  <w:r w:rsidRPr="000F6F93">
                    <w:rPr>
                      <w:rFonts w:ascii="Arial" w:hAnsi="Arial" w:cs="Arial"/>
                      <w:sz w:val="20"/>
                    </w:rPr>
                    <w:t>Microsoft Certified: Azure Fundamentals</w:t>
                  </w:r>
                </w:p>
              </w:tc>
              <w:tc>
                <w:tcPr>
                  <w:tcW w:w="1920" w:type="dxa"/>
                </w:tcPr>
                <w:p w14:paraId="16EC0BD0" w14:textId="02741807" w:rsidR="000F6F93" w:rsidRDefault="000F6F93" w:rsidP="00480CAA">
                  <w:pPr>
                    <w:jc w:val="center"/>
                    <w:rPr>
                      <w:rFonts w:ascii="Arial" w:hAnsi="Arial" w:cs="Arial"/>
                      <w:sz w:val="20"/>
                    </w:rPr>
                  </w:pPr>
                  <w:r>
                    <w:rPr>
                      <w:rFonts w:ascii="Arial" w:hAnsi="Arial" w:cs="Arial"/>
                      <w:sz w:val="20"/>
                    </w:rPr>
                    <w:t>10</w:t>
                  </w:r>
                </w:p>
              </w:tc>
              <w:tc>
                <w:tcPr>
                  <w:tcW w:w="1984" w:type="dxa"/>
                </w:tcPr>
                <w:p w14:paraId="788DEB99" w14:textId="77777777" w:rsidR="000F6F93" w:rsidRPr="008A3FC8" w:rsidRDefault="000F6F93" w:rsidP="00480CAA">
                  <w:pPr>
                    <w:tabs>
                      <w:tab w:val="left" w:pos="720"/>
                    </w:tabs>
                    <w:jc w:val="center"/>
                    <w:rPr>
                      <w:rFonts w:ascii="Arial" w:hAnsi="Arial" w:cs="Arial"/>
                      <w:b/>
                      <w:sz w:val="20"/>
                    </w:rPr>
                  </w:pPr>
                </w:p>
              </w:tc>
            </w:tr>
            <w:tr w:rsidR="000F6F93" w:rsidRPr="000C5130" w14:paraId="7F5E1AFB" w14:textId="77777777" w:rsidTr="008A3FC8">
              <w:trPr>
                <w:trHeight w:val="359"/>
              </w:trPr>
              <w:tc>
                <w:tcPr>
                  <w:tcW w:w="3422" w:type="dxa"/>
                  <w:shd w:val="clear" w:color="auto" w:fill="auto"/>
                  <w:vAlign w:val="bottom"/>
                </w:tcPr>
                <w:p w14:paraId="7465E653" w14:textId="6A788A5C" w:rsidR="000F6F93" w:rsidRPr="000F6F93" w:rsidRDefault="000F6F93" w:rsidP="00480CAA">
                  <w:pPr>
                    <w:spacing w:line="276" w:lineRule="auto"/>
                    <w:rPr>
                      <w:rFonts w:ascii="Arial" w:hAnsi="Arial" w:cs="Arial"/>
                      <w:sz w:val="20"/>
                    </w:rPr>
                  </w:pPr>
                  <w:r>
                    <w:rPr>
                      <w:rFonts w:ascii="Arial" w:hAnsi="Arial" w:cs="Arial"/>
                      <w:sz w:val="20"/>
                    </w:rPr>
                    <w:t>CompTIA Security</w:t>
                  </w:r>
                </w:p>
              </w:tc>
              <w:tc>
                <w:tcPr>
                  <w:tcW w:w="1920" w:type="dxa"/>
                </w:tcPr>
                <w:p w14:paraId="0441F631" w14:textId="3B6EEE64" w:rsidR="000F6F93" w:rsidRDefault="000F6F93" w:rsidP="00480CAA">
                  <w:pPr>
                    <w:jc w:val="center"/>
                    <w:rPr>
                      <w:rFonts w:ascii="Arial" w:hAnsi="Arial" w:cs="Arial"/>
                      <w:sz w:val="20"/>
                    </w:rPr>
                  </w:pPr>
                  <w:r>
                    <w:rPr>
                      <w:rFonts w:ascii="Arial" w:hAnsi="Arial" w:cs="Arial"/>
                      <w:sz w:val="20"/>
                    </w:rPr>
                    <w:t>10</w:t>
                  </w:r>
                </w:p>
              </w:tc>
              <w:tc>
                <w:tcPr>
                  <w:tcW w:w="1984" w:type="dxa"/>
                </w:tcPr>
                <w:p w14:paraId="718E68F9" w14:textId="77777777" w:rsidR="000F6F93" w:rsidRPr="008A3FC8" w:rsidRDefault="000F6F93" w:rsidP="00480CAA">
                  <w:pPr>
                    <w:tabs>
                      <w:tab w:val="left" w:pos="720"/>
                    </w:tabs>
                    <w:jc w:val="center"/>
                    <w:rPr>
                      <w:rFonts w:ascii="Arial" w:hAnsi="Arial" w:cs="Arial"/>
                      <w:b/>
                      <w:sz w:val="20"/>
                    </w:rPr>
                  </w:pPr>
                </w:p>
              </w:tc>
            </w:tr>
            <w:tr w:rsidR="00480CAA" w:rsidRPr="000C5130" w14:paraId="3CEAD927" w14:textId="77777777" w:rsidTr="008A3FC8">
              <w:trPr>
                <w:trHeight w:val="359"/>
              </w:trPr>
              <w:tc>
                <w:tcPr>
                  <w:tcW w:w="3422" w:type="dxa"/>
                  <w:shd w:val="clear" w:color="auto" w:fill="auto"/>
                  <w:vAlign w:val="bottom"/>
                </w:tcPr>
                <w:p w14:paraId="5F6E227E" w14:textId="1F34EFB1" w:rsidR="00480CAA" w:rsidRPr="00140917" w:rsidRDefault="00980FAD" w:rsidP="00480CAA">
                  <w:pPr>
                    <w:spacing w:line="276" w:lineRule="auto"/>
                    <w:rPr>
                      <w:rFonts w:ascii="Arial" w:hAnsi="Arial" w:cs="Arial"/>
                      <w:sz w:val="20"/>
                    </w:rPr>
                  </w:pPr>
                  <w:r>
                    <w:rPr>
                      <w:rFonts w:ascii="Arial" w:hAnsi="Arial" w:cs="Arial"/>
                      <w:sz w:val="20"/>
                    </w:rPr>
                    <w:t xml:space="preserve">CompTIA </w:t>
                  </w:r>
                  <w:proofErr w:type="spellStart"/>
                  <w:r>
                    <w:rPr>
                      <w:rFonts w:ascii="Arial" w:hAnsi="Arial" w:cs="Arial"/>
                      <w:sz w:val="20"/>
                    </w:rPr>
                    <w:t>CySA</w:t>
                  </w:r>
                  <w:proofErr w:type="spellEnd"/>
                </w:p>
              </w:tc>
              <w:tc>
                <w:tcPr>
                  <w:tcW w:w="1920" w:type="dxa"/>
                </w:tcPr>
                <w:p w14:paraId="1F2E2400" w14:textId="7C1AF509" w:rsidR="00480CAA" w:rsidRDefault="000F6F93" w:rsidP="00480CAA">
                  <w:pPr>
                    <w:jc w:val="center"/>
                    <w:rPr>
                      <w:rFonts w:ascii="Arial" w:hAnsi="Arial" w:cs="Arial"/>
                      <w:sz w:val="20"/>
                    </w:rPr>
                  </w:pPr>
                  <w:r>
                    <w:rPr>
                      <w:rFonts w:ascii="Arial" w:hAnsi="Arial" w:cs="Arial"/>
                      <w:sz w:val="20"/>
                    </w:rPr>
                    <w:t>10</w:t>
                  </w:r>
                </w:p>
              </w:tc>
              <w:tc>
                <w:tcPr>
                  <w:tcW w:w="1984" w:type="dxa"/>
                </w:tcPr>
                <w:p w14:paraId="4827E0E0" w14:textId="77777777" w:rsidR="00480CAA" w:rsidRPr="008A3FC8" w:rsidRDefault="00480CAA" w:rsidP="00480CAA">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5A865E9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136C4C67" w14:textId="77777777" w:rsidR="00F83033" w:rsidRDefault="00F83033" w:rsidP="00C7656D">
      <w:pPr>
        <w:spacing w:after="200" w:line="276" w:lineRule="auto"/>
        <w:rPr>
          <w:rFonts w:ascii="Arial" w:hAnsi="Arial" w:cs="Arial"/>
          <w:b/>
          <w:sz w:val="22"/>
        </w:rPr>
      </w:pPr>
    </w:p>
    <w:p w14:paraId="091E6E4C" w14:textId="77777777" w:rsidR="00F83033" w:rsidRDefault="00F83033" w:rsidP="00C7656D">
      <w:pPr>
        <w:spacing w:after="200" w:line="276" w:lineRule="auto"/>
        <w:rPr>
          <w:rFonts w:ascii="Arial" w:hAnsi="Arial" w:cs="Arial"/>
          <w:b/>
          <w:sz w:val="22"/>
        </w:rPr>
      </w:pPr>
    </w:p>
    <w:p w14:paraId="3B34B58F" w14:textId="77777777" w:rsidR="00F83033" w:rsidRDefault="00F83033" w:rsidP="00C7656D">
      <w:pPr>
        <w:spacing w:after="200" w:line="276" w:lineRule="auto"/>
        <w:rPr>
          <w:rFonts w:ascii="Arial" w:hAnsi="Arial" w:cs="Arial"/>
          <w:b/>
          <w:sz w:val="22"/>
        </w:rPr>
      </w:pPr>
    </w:p>
    <w:p w14:paraId="7B40A0AD" w14:textId="77777777" w:rsidR="00F83033" w:rsidRDefault="00F83033" w:rsidP="00C7656D">
      <w:pPr>
        <w:spacing w:after="200" w:line="276" w:lineRule="auto"/>
        <w:rPr>
          <w:rFonts w:ascii="Arial" w:hAnsi="Arial" w:cs="Arial"/>
          <w:b/>
          <w:sz w:val="22"/>
        </w:rPr>
      </w:pPr>
    </w:p>
    <w:p w14:paraId="35DAD45A" w14:textId="0C5FB96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6D5E7B6" w14:textId="77777777" w:rsidR="007C58C6" w:rsidRDefault="007C58C6" w:rsidP="00EB6A30">
      <w:pPr>
        <w:spacing w:after="120" w:line="276" w:lineRule="auto"/>
        <w:rPr>
          <w:rFonts w:ascii="Arial" w:hAnsi="Arial" w:cs="Arial"/>
          <w:b/>
          <w:sz w:val="22"/>
        </w:rPr>
      </w:pPr>
    </w:p>
    <w:p w14:paraId="486E9A04" w14:textId="75D77CA6"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5C558581" w:rsidR="002E453E" w:rsidRPr="00FB2E48" w:rsidRDefault="002E453E" w:rsidP="003907E7">
            <w:pPr>
              <w:pStyle w:val="ListParagraph"/>
              <w:numPr>
                <w:ilvl w:val="0"/>
                <w:numId w:val="34"/>
              </w:numPr>
              <w:rPr>
                <w:rFonts w:ascii="Arial" w:hAnsi="Arial" w:cs="Arial"/>
                <w:sz w:val="20"/>
              </w:rPr>
            </w:pP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7777777" w:rsidR="00713E63" w:rsidRPr="00692B80" w:rsidRDefault="00FB1E51"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57EF95BB"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1D50080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2251510F"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249F75B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5FA" w14:textId="77777777" w:rsidR="00AC5810" w:rsidRDefault="00AC5810" w:rsidP="00201A98">
      <w:r>
        <w:separator/>
      </w:r>
    </w:p>
  </w:endnote>
  <w:endnote w:type="continuationSeparator" w:id="0">
    <w:p w14:paraId="2A9211AE" w14:textId="77777777" w:rsidR="00AC5810" w:rsidRDefault="00AC581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9367" w14:textId="77777777" w:rsidR="00AC5810" w:rsidRDefault="00AC5810" w:rsidP="00201A98">
      <w:r>
        <w:separator/>
      </w:r>
    </w:p>
  </w:footnote>
  <w:footnote w:type="continuationSeparator" w:id="0">
    <w:p w14:paraId="337BD443" w14:textId="77777777" w:rsidR="00AC5810" w:rsidRDefault="00AC581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AC581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5099115"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B165C"/>
    <w:rsid w:val="000B28F1"/>
    <w:rsid w:val="000B6B22"/>
    <w:rsid w:val="000B7D6D"/>
    <w:rsid w:val="000C33EB"/>
    <w:rsid w:val="000C6C73"/>
    <w:rsid w:val="000D4357"/>
    <w:rsid w:val="000F6F93"/>
    <w:rsid w:val="001022DD"/>
    <w:rsid w:val="00105474"/>
    <w:rsid w:val="00115ECC"/>
    <w:rsid w:val="00140917"/>
    <w:rsid w:val="001477A3"/>
    <w:rsid w:val="001521AD"/>
    <w:rsid w:val="00154240"/>
    <w:rsid w:val="00155040"/>
    <w:rsid w:val="00155248"/>
    <w:rsid w:val="001645BF"/>
    <w:rsid w:val="00173BE4"/>
    <w:rsid w:val="00180894"/>
    <w:rsid w:val="001829A7"/>
    <w:rsid w:val="001A408A"/>
    <w:rsid w:val="001A57D9"/>
    <w:rsid w:val="001B2323"/>
    <w:rsid w:val="001B3B2A"/>
    <w:rsid w:val="001C599B"/>
    <w:rsid w:val="001C61B6"/>
    <w:rsid w:val="001D0409"/>
    <w:rsid w:val="001D042C"/>
    <w:rsid w:val="001D1614"/>
    <w:rsid w:val="001D391D"/>
    <w:rsid w:val="001D3F40"/>
    <w:rsid w:val="00201A98"/>
    <w:rsid w:val="00222155"/>
    <w:rsid w:val="002319CA"/>
    <w:rsid w:val="002341C9"/>
    <w:rsid w:val="00253B8A"/>
    <w:rsid w:val="002632AA"/>
    <w:rsid w:val="00270763"/>
    <w:rsid w:val="002763F5"/>
    <w:rsid w:val="00276C45"/>
    <w:rsid w:val="0027700C"/>
    <w:rsid w:val="002855B7"/>
    <w:rsid w:val="00296B82"/>
    <w:rsid w:val="002A7C4A"/>
    <w:rsid w:val="002B02CB"/>
    <w:rsid w:val="002B19FA"/>
    <w:rsid w:val="002B2EED"/>
    <w:rsid w:val="002E453E"/>
    <w:rsid w:val="002F4F5C"/>
    <w:rsid w:val="00304117"/>
    <w:rsid w:val="003113D9"/>
    <w:rsid w:val="003127C7"/>
    <w:rsid w:val="00317372"/>
    <w:rsid w:val="0032593D"/>
    <w:rsid w:val="003317CA"/>
    <w:rsid w:val="00332369"/>
    <w:rsid w:val="003363BE"/>
    <w:rsid w:val="003462C3"/>
    <w:rsid w:val="00347894"/>
    <w:rsid w:val="003633CD"/>
    <w:rsid w:val="00373CF8"/>
    <w:rsid w:val="0037426F"/>
    <w:rsid w:val="0037609B"/>
    <w:rsid w:val="003840F2"/>
    <w:rsid w:val="003907E7"/>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368"/>
    <w:rsid w:val="00460577"/>
    <w:rsid w:val="00470A92"/>
    <w:rsid w:val="00480CAA"/>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6FB1"/>
    <w:rsid w:val="00766FE5"/>
    <w:rsid w:val="00784A54"/>
    <w:rsid w:val="00785295"/>
    <w:rsid w:val="00791C9C"/>
    <w:rsid w:val="0079769C"/>
    <w:rsid w:val="007A6DC8"/>
    <w:rsid w:val="007A6F13"/>
    <w:rsid w:val="007B57E6"/>
    <w:rsid w:val="007C0A56"/>
    <w:rsid w:val="007C58C6"/>
    <w:rsid w:val="007D4E0A"/>
    <w:rsid w:val="007E0CE5"/>
    <w:rsid w:val="007F15E3"/>
    <w:rsid w:val="00801262"/>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C60FB"/>
    <w:rsid w:val="008F5BEC"/>
    <w:rsid w:val="009017B9"/>
    <w:rsid w:val="00903604"/>
    <w:rsid w:val="0091446E"/>
    <w:rsid w:val="00914474"/>
    <w:rsid w:val="009214A0"/>
    <w:rsid w:val="00924E22"/>
    <w:rsid w:val="00944D59"/>
    <w:rsid w:val="0095525E"/>
    <w:rsid w:val="00965504"/>
    <w:rsid w:val="00970379"/>
    <w:rsid w:val="00977B70"/>
    <w:rsid w:val="009801BA"/>
    <w:rsid w:val="00980FAD"/>
    <w:rsid w:val="00990864"/>
    <w:rsid w:val="009A77EC"/>
    <w:rsid w:val="009F3555"/>
    <w:rsid w:val="00A05C1D"/>
    <w:rsid w:val="00A111DA"/>
    <w:rsid w:val="00A22EF4"/>
    <w:rsid w:val="00A256F9"/>
    <w:rsid w:val="00A346F0"/>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C5810"/>
    <w:rsid w:val="00AD784B"/>
    <w:rsid w:val="00AE7139"/>
    <w:rsid w:val="00AF35DE"/>
    <w:rsid w:val="00AF6824"/>
    <w:rsid w:val="00B0566F"/>
    <w:rsid w:val="00B16C39"/>
    <w:rsid w:val="00B263C0"/>
    <w:rsid w:val="00B3212E"/>
    <w:rsid w:val="00B35AA2"/>
    <w:rsid w:val="00B44389"/>
    <w:rsid w:val="00B47EA0"/>
    <w:rsid w:val="00B54B80"/>
    <w:rsid w:val="00B57DBD"/>
    <w:rsid w:val="00B70E33"/>
    <w:rsid w:val="00B77CC9"/>
    <w:rsid w:val="00B85F6B"/>
    <w:rsid w:val="00B93602"/>
    <w:rsid w:val="00BA5C88"/>
    <w:rsid w:val="00BB6D00"/>
    <w:rsid w:val="00BC6F34"/>
    <w:rsid w:val="00BD1BEB"/>
    <w:rsid w:val="00BD2863"/>
    <w:rsid w:val="00BD65E2"/>
    <w:rsid w:val="00BE0CD8"/>
    <w:rsid w:val="00BE3DBD"/>
    <w:rsid w:val="00BE56E8"/>
    <w:rsid w:val="00BE6D5F"/>
    <w:rsid w:val="00BE79DB"/>
    <w:rsid w:val="00BF476B"/>
    <w:rsid w:val="00C12D3D"/>
    <w:rsid w:val="00C2594A"/>
    <w:rsid w:val="00C2623C"/>
    <w:rsid w:val="00C369AF"/>
    <w:rsid w:val="00C40E58"/>
    <w:rsid w:val="00C413FB"/>
    <w:rsid w:val="00C4471F"/>
    <w:rsid w:val="00C469F5"/>
    <w:rsid w:val="00C5004E"/>
    <w:rsid w:val="00C610B6"/>
    <w:rsid w:val="00C64D96"/>
    <w:rsid w:val="00C67975"/>
    <w:rsid w:val="00C71201"/>
    <w:rsid w:val="00C71402"/>
    <w:rsid w:val="00C72E5D"/>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36CEE"/>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3774F"/>
    <w:rsid w:val="00E500CF"/>
    <w:rsid w:val="00E534E2"/>
    <w:rsid w:val="00E71288"/>
    <w:rsid w:val="00E71A93"/>
    <w:rsid w:val="00E74D52"/>
    <w:rsid w:val="00E86BFC"/>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24DC2"/>
    <w:rsid w:val="00F3247D"/>
    <w:rsid w:val="00F337F6"/>
    <w:rsid w:val="00F43E37"/>
    <w:rsid w:val="00F45833"/>
    <w:rsid w:val="00F53FC5"/>
    <w:rsid w:val="00F64443"/>
    <w:rsid w:val="00F819D3"/>
    <w:rsid w:val="00F83033"/>
    <w:rsid w:val="00F92697"/>
    <w:rsid w:val="00F9323F"/>
    <w:rsid w:val="00F9702A"/>
    <w:rsid w:val="00FA1238"/>
    <w:rsid w:val="00FA31B2"/>
    <w:rsid w:val="00FB1E51"/>
    <w:rsid w:val="00FB2E48"/>
    <w:rsid w:val="00FB3F38"/>
    <w:rsid w:val="00FC0343"/>
    <w:rsid w:val="00FD21F0"/>
    <w:rsid w:val="00FD73A1"/>
    <w:rsid w:val="00FE27D9"/>
    <w:rsid w:val="00FE6AD8"/>
    <w:rsid w:val="00FF55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2022-02-02T07:20:00Z</cp:lastPrinted>
  <dcterms:created xsi:type="dcterms:W3CDTF">2022-09-19T11:22:00Z</dcterms:created>
  <dcterms:modified xsi:type="dcterms:W3CDTF">2022-09-19T11:22:00Z</dcterms:modified>
</cp:coreProperties>
</file>